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September 21, 2009.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Act Registration No. 333-150033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73025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91440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Post-Effective Amendment No. 2 </w:t>
      </w:r>
      <w:r>
        <w:rPr>
          <w:rFonts w:ascii="MS PGothic" w:cs="MS PGothic" w:eastAsia="MS PGothic" w:hAnsi="MS PGothic"/>
          <w:sz w:val="18"/>
          <w:szCs w:val="18"/>
          <w:color w:val="auto"/>
          <w:highlight w:val="black"/>
        </w:rPr>
        <w:t>☑</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PennantPark Investment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-232410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69215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590 Madison Avenue</w:t>
      </w:r>
    </w:p>
    <w:p>
      <w:pPr>
        <w:jc w:val="center"/>
        <w:spacing w:after="0" w:line="223" w:lineRule="auto"/>
        <w:rPr>
          <w:sz w:val="20"/>
          <w:szCs w:val="20"/>
          <w:color w:val="auto"/>
        </w:rPr>
      </w:pPr>
      <w:r>
        <w:rPr>
          <w:rFonts w:ascii="Arial" w:cs="Arial" w:eastAsia="Arial" w:hAnsi="Arial"/>
          <w:sz w:val="14"/>
          <w:szCs w:val="14"/>
          <w:b w:val="1"/>
          <w:bCs w:val="1"/>
          <w:color w:val="auto"/>
        </w:rPr>
        <w:t>15th Floor</w:t>
      </w:r>
    </w:p>
    <w:p>
      <w:pPr>
        <w:jc w:val="center"/>
        <w:spacing w:after="0" w:line="222" w:lineRule="auto"/>
        <w:rPr>
          <w:sz w:val="20"/>
          <w:szCs w:val="20"/>
          <w:color w:val="auto"/>
        </w:rPr>
      </w:pPr>
      <w:r>
        <w:rPr>
          <w:rFonts w:ascii="Arial" w:cs="Arial" w:eastAsia="Arial" w:hAnsi="Arial"/>
          <w:sz w:val="14"/>
          <w:szCs w:val="14"/>
          <w:b w:val="1"/>
          <w:bCs w:val="1"/>
          <w:color w:val="auto"/>
        </w:rPr>
        <w:t>New York, NY 10022</w:t>
      </w:r>
    </w:p>
    <w:p>
      <w:pPr>
        <w:jc w:val="center"/>
        <w:spacing w:after="0" w:line="221" w:lineRule="auto"/>
        <w:rPr>
          <w:sz w:val="20"/>
          <w:szCs w:val="20"/>
          <w:color w:val="auto"/>
        </w:rPr>
      </w:pPr>
      <w:r>
        <w:rPr>
          <w:rFonts w:ascii="Arial" w:cs="Arial" w:eastAsia="Arial" w:hAnsi="Arial"/>
          <w:sz w:val="14"/>
          <w:szCs w:val="14"/>
          <w:b w:val="1"/>
          <w:bCs w:val="1"/>
          <w:color w:val="auto"/>
        </w:rPr>
        <w:t>(Address of Principal Executive Offices)</w:t>
      </w:r>
    </w:p>
    <w:p>
      <w:pPr>
        <w:jc w:val="center"/>
        <w:spacing w:after="0" w:line="222" w:lineRule="auto"/>
        <w:rPr>
          <w:sz w:val="20"/>
          <w:szCs w:val="20"/>
          <w:color w:val="auto"/>
        </w:rPr>
      </w:pPr>
      <w:r>
        <w:rPr>
          <w:rFonts w:ascii="Arial" w:cs="Arial" w:eastAsia="Arial" w:hAnsi="Arial"/>
          <w:sz w:val="14"/>
          <w:szCs w:val="14"/>
          <w:b w:val="1"/>
          <w:bCs w:val="1"/>
          <w:color w:val="auto"/>
        </w:rPr>
        <w:t>(212) 905-1000</w:t>
      </w: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Arthur H. Penn</w:t>
      </w:r>
    </w:p>
    <w:p>
      <w:pPr>
        <w:jc w:val="center"/>
        <w:spacing w:after="0" w:line="223" w:lineRule="auto"/>
        <w:rPr>
          <w:sz w:val="20"/>
          <w:szCs w:val="20"/>
          <w:color w:val="auto"/>
        </w:rPr>
      </w:pPr>
      <w:r>
        <w:rPr>
          <w:rFonts w:ascii="Arial" w:cs="Arial" w:eastAsia="Arial" w:hAnsi="Arial"/>
          <w:sz w:val="14"/>
          <w:szCs w:val="14"/>
          <w:b w:val="1"/>
          <w:bCs w:val="1"/>
          <w:color w:val="auto"/>
        </w:rPr>
        <w:t>c/o PennantPark Investment Corporation</w:t>
      </w:r>
    </w:p>
    <w:p>
      <w:pPr>
        <w:jc w:val="center"/>
        <w:spacing w:after="0" w:line="222" w:lineRule="auto"/>
        <w:rPr>
          <w:sz w:val="20"/>
          <w:szCs w:val="20"/>
          <w:color w:val="auto"/>
        </w:rPr>
      </w:pPr>
      <w:r>
        <w:rPr>
          <w:rFonts w:ascii="Arial" w:cs="Arial" w:eastAsia="Arial" w:hAnsi="Arial"/>
          <w:sz w:val="14"/>
          <w:szCs w:val="14"/>
          <w:b w:val="1"/>
          <w:bCs w:val="1"/>
          <w:color w:val="auto"/>
        </w:rPr>
        <w:t>590 Madison Avenue</w:t>
      </w:r>
    </w:p>
    <w:p>
      <w:pPr>
        <w:jc w:val="center"/>
        <w:spacing w:after="0" w:line="221" w:lineRule="auto"/>
        <w:rPr>
          <w:sz w:val="20"/>
          <w:szCs w:val="20"/>
          <w:color w:val="auto"/>
        </w:rPr>
      </w:pPr>
      <w:r>
        <w:rPr>
          <w:rFonts w:ascii="Arial" w:cs="Arial" w:eastAsia="Arial" w:hAnsi="Arial"/>
          <w:sz w:val="14"/>
          <w:szCs w:val="14"/>
          <w:b w:val="1"/>
          <w:bCs w:val="1"/>
          <w:color w:val="auto"/>
        </w:rPr>
        <w:t>15th Floor</w:t>
      </w:r>
    </w:p>
    <w:p>
      <w:pPr>
        <w:jc w:val="center"/>
        <w:spacing w:after="0" w:line="222" w:lineRule="auto"/>
        <w:rPr>
          <w:sz w:val="20"/>
          <w:szCs w:val="20"/>
          <w:color w:val="auto"/>
        </w:rPr>
      </w:pPr>
      <w:r>
        <w:rPr>
          <w:rFonts w:ascii="Arial" w:cs="Arial" w:eastAsia="Arial" w:hAnsi="Arial"/>
          <w:sz w:val="14"/>
          <w:szCs w:val="14"/>
          <w:b w:val="1"/>
          <w:bCs w:val="1"/>
          <w:color w:val="auto"/>
        </w:rPr>
        <w:t>New York, NY 10022</w:t>
      </w: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60325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Copies to:</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Thomas Friedmann, Esq.</w:t>
      </w:r>
    </w:p>
    <w:p>
      <w:pPr>
        <w:jc w:val="center"/>
        <w:spacing w:after="0" w:line="223" w:lineRule="auto"/>
        <w:rPr>
          <w:sz w:val="20"/>
          <w:szCs w:val="20"/>
          <w:color w:val="auto"/>
        </w:rPr>
      </w:pPr>
      <w:r>
        <w:rPr>
          <w:rFonts w:ascii="Arial" w:cs="Arial" w:eastAsia="Arial" w:hAnsi="Arial"/>
          <w:sz w:val="14"/>
          <w:szCs w:val="14"/>
          <w:b w:val="1"/>
          <w:bCs w:val="1"/>
          <w:color w:val="auto"/>
        </w:rPr>
        <w:t>David Harris, Esq.</w:t>
      </w:r>
    </w:p>
    <w:p>
      <w:pPr>
        <w:jc w:val="center"/>
        <w:spacing w:after="0" w:line="222" w:lineRule="auto"/>
        <w:rPr>
          <w:sz w:val="20"/>
          <w:szCs w:val="20"/>
          <w:color w:val="auto"/>
        </w:rPr>
      </w:pPr>
      <w:r>
        <w:rPr>
          <w:rFonts w:ascii="Arial" w:cs="Arial" w:eastAsia="Arial" w:hAnsi="Arial"/>
          <w:sz w:val="14"/>
          <w:szCs w:val="14"/>
          <w:b w:val="1"/>
          <w:bCs w:val="1"/>
          <w:color w:val="auto"/>
        </w:rPr>
        <w:t>Dechert, LLP</w:t>
      </w:r>
    </w:p>
    <w:p>
      <w:pPr>
        <w:jc w:val="center"/>
        <w:spacing w:after="0" w:line="221" w:lineRule="auto"/>
        <w:rPr>
          <w:sz w:val="20"/>
          <w:szCs w:val="20"/>
          <w:color w:val="auto"/>
        </w:rPr>
      </w:pPr>
      <w:r>
        <w:rPr>
          <w:rFonts w:ascii="Arial" w:cs="Arial" w:eastAsia="Arial" w:hAnsi="Arial"/>
          <w:sz w:val="14"/>
          <w:szCs w:val="14"/>
          <w:b w:val="1"/>
          <w:bCs w:val="1"/>
          <w:color w:val="auto"/>
        </w:rPr>
        <w:t>1775 I Street, N.W.</w:t>
      </w:r>
    </w:p>
    <w:p>
      <w:pPr>
        <w:jc w:val="center"/>
        <w:spacing w:after="0" w:line="222" w:lineRule="auto"/>
        <w:rPr>
          <w:sz w:val="20"/>
          <w:szCs w:val="20"/>
          <w:color w:val="auto"/>
        </w:rPr>
      </w:pPr>
      <w:r>
        <w:rPr>
          <w:rFonts w:ascii="Arial" w:cs="Arial" w:eastAsia="Arial" w:hAnsi="Arial"/>
          <w:sz w:val="14"/>
          <w:szCs w:val="14"/>
          <w:b w:val="1"/>
          <w:bCs w:val="1"/>
          <w:color w:val="auto"/>
        </w:rPr>
        <w:t>Washington, DC 20006-2401</w:t>
      </w:r>
    </w:p>
    <w:p>
      <w:pPr>
        <w:jc w:val="center"/>
        <w:spacing w:after="0" w:line="221" w:lineRule="auto"/>
        <w:rPr>
          <w:sz w:val="20"/>
          <w:szCs w:val="20"/>
          <w:color w:val="auto"/>
        </w:rPr>
      </w:pPr>
      <w:r>
        <w:rPr>
          <w:rFonts w:ascii="Arial" w:cs="Arial" w:eastAsia="Arial" w:hAnsi="Arial"/>
          <w:sz w:val="14"/>
          <w:szCs w:val="14"/>
          <w:b w:val="1"/>
          <w:bCs w:val="1"/>
          <w:color w:val="auto"/>
        </w:rPr>
        <w:t>APPROXIMATE DATE OF PROPOSED PUBLIC OFFERING:</w:t>
      </w:r>
    </w:p>
    <w:p>
      <w:pPr>
        <w:jc w:val="center"/>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60325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5" w:lineRule="exact"/>
        <w:rPr>
          <w:sz w:val="24"/>
          <w:szCs w:val="24"/>
          <w:color w:val="auto"/>
        </w:rPr>
      </w:pPr>
    </w:p>
    <w:p>
      <w:pPr>
        <w:ind w:right="200" w:firstLine="342"/>
        <w:spacing w:after="0" w:line="168" w:lineRule="exact"/>
        <w:rPr>
          <w:sz w:val="20"/>
          <w:szCs w:val="20"/>
          <w:color w:val="auto"/>
        </w:rPr>
      </w:pPr>
      <w:r>
        <w:rPr>
          <w:rFonts w:ascii="Arial" w:cs="Arial" w:eastAsia="Arial" w:hAnsi="Arial"/>
          <w:sz w:val="14"/>
          <w:szCs w:val="14"/>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360"/>
        <w:spacing w:after="0"/>
        <w:rPr>
          <w:sz w:val="20"/>
          <w:szCs w:val="20"/>
          <w:color w:val="auto"/>
        </w:rPr>
      </w:pPr>
      <w:r>
        <w:rPr>
          <w:rFonts w:ascii="Arial" w:cs="Arial" w:eastAsia="Arial" w:hAnsi="Arial"/>
          <w:sz w:val="14"/>
          <w:szCs w:val="14"/>
          <w:color w:val="auto"/>
        </w:rPr>
        <w:t>It is proposed that this filing will become effective (check appropriate box):</w:t>
      </w:r>
    </w:p>
    <w:p>
      <w:pPr>
        <w:spacing w:after="0" w:line="31" w:lineRule="exact"/>
        <w:rPr>
          <w:sz w:val="24"/>
          <w:szCs w:val="24"/>
          <w:color w:val="auto"/>
        </w:rPr>
      </w:pPr>
    </w:p>
    <w:p>
      <w:pPr>
        <w:ind w:left="540" w:hanging="190"/>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when declared effective pursuant to section 8(c).</w:t>
      </w:r>
    </w:p>
    <w:p>
      <w:pPr>
        <w:spacing w:after="0" w:line="41" w:lineRule="exact"/>
        <w:rPr>
          <w:rFonts w:ascii="MS PGothic" w:cs="MS PGothic" w:eastAsia="MS PGothic" w:hAnsi="MS PGothic"/>
          <w:sz w:val="14"/>
          <w:szCs w:val="14"/>
          <w:color w:val="auto"/>
        </w:rPr>
      </w:pPr>
    </w:p>
    <w:p>
      <w:pPr>
        <w:ind w:left="360"/>
        <w:spacing w:after="0"/>
        <w:rPr>
          <w:rFonts w:ascii="MS PGothic" w:cs="MS PGothic" w:eastAsia="MS PGothic" w:hAnsi="MS PGothic"/>
          <w:sz w:val="14"/>
          <w:szCs w:val="14"/>
          <w:color w:val="auto"/>
        </w:rPr>
      </w:pPr>
      <w:r>
        <w:rPr>
          <w:rFonts w:ascii="Arial" w:cs="Arial" w:eastAsia="Arial" w:hAnsi="Arial"/>
          <w:sz w:val="14"/>
          <w:szCs w:val="14"/>
          <w:color w:val="auto"/>
        </w:rPr>
        <w:t>If appropriate, check the following box:</w:t>
      </w:r>
    </w:p>
    <w:p>
      <w:pPr>
        <w:spacing w:after="0" w:line="16" w:lineRule="exact"/>
        <w:rPr>
          <w:rFonts w:ascii="MS PGothic" w:cs="MS PGothic" w:eastAsia="MS PGothic" w:hAnsi="MS PGothic"/>
          <w:sz w:val="14"/>
          <w:szCs w:val="14"/>
          <w:color w:val="auto"/>
        </w:rPr>
      </w:pPr>
    </w:p>
    <w:p>
      <w:pPr>
        <w:ind w:left="360"/>
        <w:spacing w:after="0" w:line="161"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This amendment designates a new effective date for a previously filed registration statement.</w:t>
      </w:r>
    </w:p>
    <w:p>
      <w:pPr>
        <w:spacing w:after="0" w:line="67" w:lineRule="exact"/>
        <w:rPr>
          <w:sz w:val="24"/>
          <w:szCs w:val="24"/>
          <w:color w:val="auto"/>
        </w:rPr>
      </w:pPr>
    </w:p>
    <w:p>
      <w:pPr>
        <w:ind w:right="20" w:firstLine="350"/>
        <w:spacing w:after="0" w:line="239" w:lineRule="auto"/>
        <w:tabs>
          <w:tab w:leader="none" w:pos="529"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This form is filed to register additional securities for an offering pursuant to Rule 462(b) under the Securities Act and the Securities Act registration statement number of the earlier effective registration statement for the same offering is</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 UNDER THE SECURITIES ACT OF 1933</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50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14"/>
              <w:spacing w:after="0" w:line="117" w:lineRule="exact"/>
              <w:rPr>
                <w:sz w:val="20"/>
                <w:szCs w:val="20"/>
                <w:color w:val="auto"/>
              </w:rPr>
            </w:pPr>
            <w:r>
              <w:rPr>
                <w:rFonts w:ascii="Arial" w:cs="Arial" w:eastAsia="Arial" w:hAnsi="Arial"/>
                <w:sz w:val="12"/>
                <w:szCs w:val="12"/>
                <w:b w:val="1"/>
                <w:bCs w:val="1"/>
                <w:color w:val="auto"/>
              </w:rPr>
              <w:t>Proposed Maximum</w:t>
            </w:r>
          </w:p>
        </w:tc>
        <w:tc>
          <w:tcPr>
            <w:tcW w:w="1600" w:type="dxa"/>
            <w:vAlign w:val="bottom"/>
            <w:tcBorders>
              <w:right w:val="single" w:sz="8" w:color="auto"/>
            </w:tcBorders>
          </w:tcPr>
          <w:p>
            <w:pPr>
              <w:jc w:val="center"/>
              <w:ind w:left="18"/>
              <w:spacing w:after="0" w:line="117" w:lineRule="exact"/>
              <w:rPr>
                <w:sz w:val="20"/>
                <w:szCs w:val="20"/>
                <w:color w:val="auto"/>
              </w:rPr>
            </w:pPr>
            <w:r>
              <w:rPr>
                <w:rFonts w:ascii="Arial" w:cs="Arial" w:eastAsia="Arial" w:hAnsi="Arial"/>
                <w:sz w:val="12"/>
                <w:szCs w:val="12"/>
                <w:b w:val="1"/>
                <w:bCs w:val="1"/>
                <w:color w:val="auto"/>
              </w:rPr>
              <w:t>Proposed Maximum</w:t>
            </w:r>
          </w:p>
        </w:tc>
        <w:tc>
          <w:tcPr>
            <w:tcW w:w="1560" w:type="dxa"/>
            <w:vAlign w:val="bottom"/>
          </w:tcPr>
          <w:p>
            <w:pPr>
              <w:spacing w:after="0"/>
              <w:rPr>
                <w:sz w:val="10"/>
                <w:szCs w:val="10"/>
                <w:color w:val="auto"/>
              </w:rPr>
            </w:pPr>
          </w:p>
        </w:tc>
      </w:tr>
      <w:tr>
        <w:trPr>
          <w:trHeight w:val="148"/>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2"/>
              <w:spacing w:after="0" w:line="148" w:lineRule="exact"/>
              <w:rPr>
                <w:sz w:val="20"/>
                <w:szCs w:val="20"/>
                <w:color w:val="auto"/>
              </w:rPr>
            </w:pPr>
            <w:r>
              <w:rPr>
                <w:rFonts w:ascii="Arial" w:cs="Arial" w:eastAsia="Arial" w:hAnsi="Arial"/>
                <w:sz w:val="14"/>
                <w:szCs w:val="14"/>
                <w:b w:val="1"/>
                <w:bCs w:val="1"/>
                <w:color w:val="auto"/>
                <w:w w:val="87"/>
              </w:rPr>
              <w:t>Amount Being</w:t>
            </w:r>
          </w:p>
        </w:tc>
        <w:tc>
          <w:tcPr>
            <w:tcW w:w="1600" w:type="dxa"/>
            <w:vAlign w:val="bottom"/>
            <w:tcBorders>
              <w:right w:val="single" w:sz="8" w:color="auto"/>
            </w:tcBorders>
          </w:tcPr>
          <w:p>
            <w:pPr>
              <w:jc w:val="center"/>
              <w:ind w:left="14"/>
              <w:spacing w:after="0" w:line="148" w:lineRule="exact"/>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18"/>
              <w:spacing w:after="0" w:line="148"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jc w:val="center"/>
              <w:ind w:left="37"/>
              <w:spacing w:after="0" w:line="148" w:lineRule="exact"/>
              <w:rPr>
                <w:sz w:val="20"/>
                <w:szCs w:val="20"/>
                <w:color w:val="auto"/>
              </w:rPr>
            </w:pPr>
            <w:r>
              <w:rPr>
                <w:rFonts w:ascii="Arial" w:cs="Arial" w:eastAsia="Arial" w:hAnsi="Arial"/>
                <w:sz w:val="14"/>
                <w:szCs w:val="14"/>
                <w:b w:val="1"/>
                <w:bCs w:val="1"/>
                <w:color w:val="auto"/>
                <w:w w:val="88"/>
              </w:rPr>
              <w:t>Amount of</w:t>
            </w: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ind w:left="1480"/>
              <w:spacing w:after="0"/>
              <w:rPr>
                <w:sz w:val="20"/>
                <w:szCs w:val="20"/>
                <w:color w:val="auto"/>
              </w:rPr>
            </w:pPr>
            <w:r>
              <w:rPr>
                <w:rFonts w:ascii="Arial" w:cs="Arial" w:eastAsia="Arial" w:hAnsi="Arial"/>
                <w:sz w:val="14"/>
                <w:szCs w:val="14"/>
                <w:b w:val="1"/>
                <w:bCs w:val="1"/>
                <w:color w:val="auto"/>
              </w:rPr>
              <w:t>Title of Securities Being Registered</w:t>
            </w:r>
          </w:p>
        </w:tc>
        <w:tc>
          <w:tcPr>
            <w:tcW w:w="16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2"/>
              </w:rPr>
              <w:t>Registered</w:t>
            </w:r>
          </w:p>
        </w:tc>
        <w:tc>
          <w:tcPr>
            <w:tcW w:w="160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89"/>
              </w:rPr>
              <w:t>Per Unit</w:t>
            </w:r>
          </w:p>
        </w:tc>
        <w:tc>
          <w:tcPr>
            <w:tcW w:w="1600" w:type="dxa"/>
            <w:vAlign w:val="bottom"/>
            <w:tcBorders>
              <w:bottom w:val="single" w:sz="8" w:color="auto"/>
              <w:right w:val="single" w:sz="8" w:color="auto"/>
            </w:tcBorders>
          </w:tcPr>
          <w:p>
            <w:pPr>
              <w:jc w:val="center"/>
              <w:ind w:left="18"/>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1560" w:type="dxa"/>
            <w:vAlign w:val="bottom"/>
            <w:tcBorders>
              <w:bottom w:val="single" w:sz="8" w:color="auto"/>
            </w:tcBorders>
          </w:tcPr>
          <w:p>
            <w:pPr>
              <w:jc w:val="center"/>
              <w:ind w:left="17"/>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(1)</w:t>
            </w:r>
          </w:p>
        </w:tc>
      </w:tr>
      <w:tr>
        <w:trPr>
          <w:trHeight w:val="142"/>
        </w:trPr>
        <w:tc>
          <w:tcPr>
            <w:tcW w:w="20" w:type="dxa"/>
            <w:vAlign w:val="bottom"/>
            <w:tcBorders>
              <w:bottom w:val="single" w:sz="8" w:color="auto"/>
            </w:tcBorders>
          </w:tcPr>
          <w:p>
            <w:pPr>
              <w:spacing w:after="0"/>
              <w:rPr>
                <w:sz w:val="12"/>
                <w:szCs w:val="12"/>
                <w:color w:val="auto"/>
              </w:rPr>
            </w:pPr>
          </w:p>
        </w:tc>
        <w:tc>
          <w:tcPr>
            <w:tcW w:w="50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1"/>
                <w:szCs w:val="11"/>
                <w:color w:val="auto"/>
              </w:rPr>
              <w:t>Common Stock, $0.001 par value</w:t>
            </w:r>
            <w:r>
              <w:rPr>
                <w:rFonts w:ascii="Arial" w:cs="Arial" w:eastAsia="Arial" w:hAnsi="Arial"/>
                <w:sz w:val="16"/>
                <w:szCs w:val="16"/>
                <w:color w:val="auto"/>
                <w:vertAlign w:val="superscript"/>
              </w:rPr>
              <w:t>(2)</w:t>
            </w: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jc w:val="right"/>
              <w:ind w:right="854"/>
              <w:spacing w:after="0" w:line="142" w:lineRule="exact"/>
              <w:rPr>
                <w:sz w:val="20"/>
                <w:szCs w:val="20"/>
                <w:color w:val="auto"/>
              </w:rPr>
            </w:pPr>
            <w:r>
              <w:rPr>
                <w:rFonts w:ascii="Arial" w:cs="Arial" w:eastAsia="Arial" w:hAnsi="Arial"/>
                <w:sz w:val="14"/>
                <w:szCs w:val="14"/>
                <w:color w:val="auto"/>
              </w:rPr>
              <w:t>$</w:t>
            </w:r>
          </w:p>
        </w:tc>
        <w:tc>
          <w:tcPr>
            <w:tcW w:w="1600" w:type="dxa"/>
            <w:vAlign w:val="bottom"/>
            <w:tcBorders>
              <w:bottom w:val="single" w:sz="8" w:color="auto"/>
              <w:right w:val="single" w:sz="8" w:color="auto"/>
            </w:tcBorders>
          </w:tcPr>
          <w:p>
            <w:pPr>
              <w:jc w:val="right"/>
              <w:ind w:right="858"/>
              <w:spacing w:after="0" w:line="142"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37"/>
              <w:spacing w:after="0" w:line="142" w:lineRule="exact"/>
              <w:rPr>
                <w:sz w:val="20"/>
                <w:szCs w:val="20"/>
                <w:color w:val="auto"/>
              </w:rPr>
            </w:pPr>
            <w:r>
              <w:rPr>
                <w:rFonts w:ascii="Arial" w:cs="Arial" w:eastAsia="Arial" w:hAnsi="Arial"/>
                <w:sz w:val="14"/>
                <w:szCs w:val="14"/>
                <w:color w:val="auto"/>
              </w:rPr>
              <w:t>$</w:t>
            </w:r>
          </w:p>
        </w:tc>
      </w:tr>
      <w:tr>
        <w:trPr>
          <w:trHeight w:val="142"/>
        </w:trPr>
        <w:tc>
          <w:tcPr>
            <w:tcW w:w="506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1"/>
                <w:szCs w:val="11"/>
                <w:color w:val="auto"/>
              </w:rPr>
              <w:t>Preferred Stock, $0.001 par value</w:t>
            </w:r>
            <w:r>
              <w:rPr>
                <w:rFonts w:ascii="Arial" w:cs="Arial" w:eastAsia="Arial" w:hAnsi="Arial"/>
                <w:sz w:val="16"/>
                <w:szCs w:val="16"/>
                <w:color w:val="auto"/>
                <w:vertAlign w:val="superscript"/>
              </w:rPr>
              <w:t>(2)</w:t>
            </w: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42"/>
        </w:trPr>
        <w:tc>
          <w:tcPr>
            <w:tcW w:w="506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1"/>
                <w:szCs w:val="11"/>
                <w:color w:val="auto"/>
              </w:rPr>
              <w:t>Warrants</w:t>
            </w:r>
            <w:r>
              <w:rPr>
                <w:rFonts w:ascii="Arial" w:cs="Arial" w:eastAsia="Arial" w:hAnsi="Arial"/>
                <w:sz w:val="16"/>
                <w:szCs w:val="16"/>
                <w:color w:val="auto"/>
                <w:vertAlign w:val="superscript"/>
              </w:rPr>
              <w:t>(3)</w:t>
            </w: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42"/>
        </w:trPr>
        <w:tc>
          <w:tcPr>
            <w:tcW w:w="506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1"/>
                <w:szCs w:val="11"/>
                <w:color w:val="auto"/>
              </w:rPr>
              <w:t>Subscription Rights</w:t>
            </w:r>
            <w:r>
              <w:rPr>
                <w:rFonts w:ascii="Arial" w:cs="Arial" w:eastAsia="Arial" w:hAnsi="Arial"/>
                <w:sz w:val="16"/>
                <w:szCs w:val="16"/>
                <w:color w:val="auto"/>
                <w:vertAlign w:val="superscript"/>
              </w:rPr>
              <w:t>(4)</w:t>
            </w: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42"/>
        </w:trPr>
        <w:tc>
          <w:tcPr>
            <w:tcW w:w="506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1"/>
                <w:szCs w:val="11"/>
                <w:color w:val="auto"/>
              </w:rPr>
              <w:t>Debt Securities</w:t>
            </w:r>
            <w:r>
              <w:rPr>
                <w:rFonts w:ascii="Arial" w:cs="Arial" w:eastAsia="Arial" w:hAnsi="Arial"/>
                <w:sz w:val="16"/>
                <w:szCs w:val="16"/>
                <w:color w:val="auto"/>
                <w:vertAlign w:val="superscript"/>
              </w:rPr>
              <w:t>(5)</w:t>
            </w: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42"/>
        </w:trPr>
        <w:tc>
          <w:tcPr>
            <w:tcW w:w="5060" w:type="dxa"/>
            <w:vAlign w:val="bottom"/>
            <w:tcBorders>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Total</w:t>
            </w:r>
          </w:p>
        </w:tc>
        <w:tc>
          <w:tcPr>
            <w:tcW w:w="16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8"/>
              <w:spacing w:after="0" w:line="142" w:lineRule="exact"/>
              <w:rPr>
                <w:sz w:val="20"/>
                <w:szCs w:val="20"/>
                <w:color w:val="auto"/>
              </w:rPr>
            </w:pPr>
            <w:r>
              <w:rPr>
                <w:rFonts w:ascii="Arial" w:cs="Arial" w:eastAsia="Arial" w:hAnsi="Arial"/>
                <w:sz w:val="11"/>
                <w:szCs w:val="11"/>
                <w:color w:val="auto"/>
              </w:rPr>
              <w:t>250,000,000</w:t>
            </w:r>
            <w:r>
              <w:rPr>
                <w:rFonts w:ascii="Arial" w:cs="Arial" w:eastAsia="Arial" w:hAnsi="Arial"/>
                <w:sz w:val="16"/>
                <w:szCs w:val="16"/>
                <w:color w:val="auto"/>
                <w:vertAlign w:val="superscript"/>
              </w:rPr>
              <w:t>(6)</w:t>
            </w:r>
          </w:p>
        </w:tc>
        <w:tc>
          <w:tcPr>
            <w:tcW w:w="1560" w:type="dxa"/>
            <w:vAlign w:val="bottom"/>
          </w:tcPr>
          <w:p>
            <w:pPr>
              <w:jc w:val="center"/>
              <w:ind w:left="17"/>
              <w:spacing w:after="0" w:line="142" w:lineRule="exact"/>
              <w:rPr>
                <w:sz w:val="20"/>
                <w:szCs w:val="20"/>
                <w:color w:val="auto"/>
              </w:rPr>
            </w:pPr>
            <w:r>
              <w:rPr>
                <w:rFonts w:ascii="Arial" w:cs="Arial" w:eastAsia="Arial" w:hAnsi="Arial"/>
                <w:sz w:val="11"/>
                <w:szCs w:val="11"/>
                <w:color w:val="auto"/>
              </w:rPr>
              <w:t>9,825</w:t>
            </w:r>
            <w:r>
              <w:rPr>
                <w:rFonts w:ascii="Arial" w:cs="Arial" w:eastAsia="Arial" w:hAnsi="Arial"/>
                <w:sz w:val="16"/>
                <w:szCs w:val="16"/>
                <w:color w:val="auto"/>
                <w:vertAlign w:val="superscript"/>
              </w:rPr>
              <w:t>(7)</w:t>
            </w: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 w:lineRule="exact"/>
        <w:rPr>
          <w:sz w:val="24"/>
          <w:szCs w:val="24"/>
          <w:color w:val="auto"/>
        </w:rPr>
      </w:pPr>
    </w:p>
    <w:p>
      <w:pPr>
        <w:ind w:left="340" w:right="220" w:hanging="332"/>
        <w:spacing w:after="0" w:line="230"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Note 6 below, there is being registered hereunder an indeterminate number of shares of common stock or preferred stock as may be sold, from time to time.</w:t>
      </w:r>
    </w:p>
    <w:p>
      <w:pPr>
        <w:ind w:left="340" w:right="12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Note 6 below, there is being registered hereunder an indeterminate number of warrants as may be sold, from time to time, representing rights to purchase common stock, preferred stock or debt securities.</w:t>
      </w: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6 below, there is being registered hereunder an indeterminate number of subscription rights as may be sold, from time to time, representing rights to purchase common stock.</w:t>
      </w:r>
    </w:p>
    <w:p>
      <w:pPr>
        <w:spacing w:after="0" w:line="10" w:lineRule="exact"/>
        <w:rPr>
          <w:rFonts w:ascii="Arial" w:cs="Arial" w:eastAsia="Arial" w:hAnsi="Arial"/>
          <w:sz w:val="12"/>
          <w:szCs w:val="12"/>
          <w:color w:val="auto"/>
        </w:rPr>
      </w:pPr>
    </w:p>
    <w:p>
      <w:pPr>
        <w:ind w:left="340" w:right="320" w:hanging="332"/>
        <w:spacing w:after="0" w:line="258"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6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$250,000,000.</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exceed $250,000,000.</w:t>
      </w: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Fee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68580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6" w:lineRule="exact"/>
        <w:rPr>
          <w:sz w:val="24"/>
          <w:szCs w:val="24"/>
          <w:color w:val="auto"/>
        </w:rPr>
      </w:pPr>
    </w:p>
    <w:p>
      <w:pPr>
        <w:ind w:right="380" w:firstLine="342"/>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the Registration Statement shall become effective on such dates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color w:val="CC062A"/>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and sale is not permitted.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CC062A"/>
        </w:rPr>
        <w:t>Subject to Completion dated September 21, 2009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127000</wp:posOffset>
            </wp:positionV>
            <wp:extent cx="2470150" cy="523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Common Stock</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Preferred Stock</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Warrants</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Subscription Rights</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PennantPark Investment Corporation, a Maryland corporation, is a closed-end, externally managed, non-diversified investment company that has elected to be treated as a business development company, or BDC, under the Investment Company Act of 1940 (the “1940 Act”).</w:t>
      </w:r>
    </w:p>
    <w:p>
      <w:pPr>
        <w:spacing w:after="0" w:line="51"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fund a portion of our investments with borrowed money, a practice commonly known as leverage. We can offer no assurances that we will achieve our investment objectives.</w:t>
      </w:r>
    </w:p>
    <w:p>
      <w:pPr>
        <w:spacing w:after="0" w:line="2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may offer, from time to time, in one or more offerings or series, together or separately, up to $250,000,000 of our common stock, preferred stock, debt securities, warrants representing rights to purchase shares of our common stock, preferred stock or debt securities or subscription rights, which we refer to, collectively, as the “securities.” The securities may be offered at prices and on terms to be described in one or more supplements to this prospectus. In the event we offer common stock, the offering price per share of our common stock less any underwriting commissions or discounts will not be less than the net value per share of our common stock at the time we make the offering except (1) in connection with a rights offering to our existing stockholders, (2) with the consent of the majority of our common stockholders, or (3) under such circumstances as the Securities and Exchange Commission, or the SEC, may permit.</w:t>
      </w:r>
    </w:p>
    <w:p>
      <w:pPr>
        <w:spacing w:after="0" w:line="3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common stock has been approved for quotation on NASDAQ Global Select Market under the symbol “PNNT”. The last reported closing price for our common stock on August 31, 2009 was $8.35 per share and our net asset value on June 30, 2009 was $11.72 per share.</w:t>
      </w:r>
    </w:p>
    <w:p>
      <w:pPr>
        <w:spacing w:after="0" w:line="51"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and keep them for future reference. We file annual, quarterly and current reports, proxy statements and other information with the Securities and Exchange Commission. This information is available free of charge by contacting us at 590 Madison Avenue, New York, NY 10022 or by telephone at (212) 905-1000 or on our website at </w:t>
      </w:r>
      <w:r>
        <w:rPr>
          <w:rFonts w:ascii="Arial" w:cs="Arial" w:eastAsia="Arial" w:hAnsi="Arial"/>
          <w:sz w:val="16"/>
          <w:szCs w:val="16"/>
          <w:i w:val="1"/>
          <w:iCs w:val="1"/>
          <w:color w:val="auto"/>
        </w:rPr>
        <w:t>www.pennantpark.com.</w:t>
      </w:r>
      <w:r>
        <w:rPr>
          <w:rFonts w:ascii="Arial" w:cs="Arial" w:eastAsia="Arial" w:hAnsi="Arial"/>
          <w:sz w:val="16"/>
          <w:szCs w:val="16"/>
          <w:color w:val="auto"/>
        </w:rPr>
        <w:t xml:space="preserve"> The information on our website is not incorporated by reference into this prospectus. The SEC also maintains a website at www.sec.gov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78740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0"/>
          <w:szCs w:val="20"/>
          <w:color w:val="auto"/>
        </w:rPr>
      </w:pPr>
    </w:p>
    <w:p>
      <w:pPr>
        <w:ind w:right="100" w:firstLine="456"/>
        <w:spacing w:after="0" w:line="339" w:lineRule="auto"/>
        <w:rPr>
          <w:sz w:val="20"/>
          <w:szCs w:val="20"/>
          <w:color w:val="auto"/>
        </w:rPr>
      </w:pPr>
      <w:r>
        <w:rPr>
          <w:rFonts w:ascii="Arial" w:cs="Arial" w:eastAsia="Arial" w:hAnsi="Arial"/>
          <w:sz w:val="16"/>
          <w:szCs w:val="16"/>
          <w:b w:val="1"/>
          <w:bCs w:val="1"/>
          <w:color w:val="auto"/>
        </w:rPr>
        <w:t>Investing in our securities involves a high degree of risk, including the risk of the use of leverage. Before buying any shares of our common stock, you should read the discussion of the material risks of investing in us in “</w:t>
      </w:r>
      <w:r>
        <w:rPr>
          <w:rFonts w:ascii="Arial" w:cs="Arial" w:eastAsia="Arial" w:hAnsi="Arial"/>
          <w:sz w:val="16"/>
          <w:szCs w:val="16"/>
          <w:b w:val="1"/>
          <w:bCs w:val="1"/>
          <w:u w:val="single" w:color="auto"/>
          <w:color w:val="0000EE"/>
        </w:rPr>
        <w:t>Risk Factors</w:t>
      </w:r>
      <w:r>
        <w:rPr>
          <w:rFonts w:ascii="Arial" w:cs="Arial" w:eastAsia="Arial" w:hAnsi="Arial"/>
          <w:sz w:val="16"/>
          <w:szCs w:val="16"/>
          <w:b w:val="1"/>
          <w:bCs w:val="1"/>
          <w:color w:val="auto"/>
        </w:rPr>
        <w:t>” beginning on page 9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ind w:right="74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7" w:lineRule="exact"/>
        <w:rPr>
          <w:sz w:val="20"/>
          <w:szCs w:val="20"/>
          <w:color w:val="auto"/>
        </w:rPr>
      </w:pPr>
    </w:p>
    <w:tbl>
      <w:tblPr>
        <w:tblLayout w:type="fixed"/>
        <w:tblInd w:w="4460" w:type="dxa"/>
        <w:tblCellMar>
          <w:top w:w="0" w:type="dxa"/>
          <w:left w:w="0" w:type="dxa"/>
          <w:bottom w:w="0" w:type="dxa"/>
          <w:right w:w="0" w:type="dxa"/>
        </w:tblCellMar>
      </w:tblPr>
      <w:tr>
        <w:trPr>
          <w:trHeight w:val="228"/>
        </w:trPr>
        <w:tc>
          <w:tcPr>
            <w:tcW w:w="1680" w:type="dxa"/>
            <w:vAlign w:val="bottom"/>
          </w:tcPr>
          <w:p>
            <w:pPr>
              <w:spacing w:after="0"/>
              <w:rPr>
                <w:sz w:val="20"/>
                <w:szCs w:val="20"/>
                <w:color w:val="auto"/>
              </w:rPr>
            </w:pPr>
            <w:r>
              <w:rPr>
                <w:rFonts w:ascii="Arial" w:cs="Arial" w:eastAsia="Arial" w:hAnsi="Arial"/>
                <w:sz w:val="18"/>
                <w:szCs w:val="18"/>
                <w:b w:val="1"/>
                <w:bCs w:val="1"/>
                <w:color w:val="auto"/>
              </w:rPr>
              <w:t>Prospectus dated</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 2009</w:t>
            </w:r>
          </w:p>
        </w:tc>
      </w:tr>
    </w:tbl>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60" w:type="dxa"/>
            <w:vAlign w:val="bottom"/>
            <w:gridSpan w:val="32"/>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1060" w:type="dxa"/>
            <w:vAlign w:val="bottom"/>
            <w:gridSpan w:val="32"/>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3"/>
          </w:tcPr>
          <w:p>
            <w:pPr>
              <w:spacing w:after="0"/>
              <w:rPr>
                <w:sz w:val="17"/>
                <w:szCs w:val="17"/>
                <w:color w:val="auto"/>
              </w:rPr>
            </w:pPr>
          </w:p>
        </w:tc>
        <w:tc>
          <w:tcPr>
            <w:tcW w:w="9020" w:type="dxa"/>
            <w:vAlign w:val="bottom"/>
            <w:gridSpan w:val="2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60" w:type="dxa"/>
            <w:vAlign w:val="bottom"/>
            <w:gridSpan w:val="32"/>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2"/>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FORWARD-LOOKING STATEMENTS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USE OF PROCEEDS</w:t>
              </w:r>
            </w:hyperlink>
          </w:p>
        </w:tc>
        <w:tc>
          <w:tcPr>
            <w:tcW w:w="8200" w:type="dxa"/>
            <w:vAlign w:val="bottom"/>
            <w:gridSpan w:val="1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SELECTED FINANCIAL DATA</w:t>
              </w:r>
            </w:hyperlink>
          </w:p>
        </w:tc>
        <w:tc>
          <w:tcPr>
            <w:tcW w:w="8680" w:type="dxa"/>
            <w:vAlign w:val="bottom"/>
            <w:gridSpan w:val="1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1060" w:type="dxa"/>
            <w:vAlign w:val="bottom"/>
            <w:gridSpan w:val="32"/>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87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SENIOR SECURITIES</w:t>
              </w:r>
            </w:hyperlink>
          </w:p>
        </w:tc>
        <w:tc>
          <w:tcPr>
            <w:tcW w:w="23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PRICE RANGE OF COMMON STOCK</w:t>
              </w:r>
            </w:hyperlink>
          </w:p>
        </w:tc>
        <w:tc>
          <w:tcPr>
            <w:tcW w:w="816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56">
              <w:r>
                <w:rPr>
                  <w:rFonts w:ascii="Arial" w:cs="Arial" w:eastAsia="Arial" w:hAnsi="Arial"/>
                  <w:sz w:val="18"/>
                  <w:szCs w:val="18"/>
                  <w:color w:val="0000EE"/>
                  <w:w w:val="94"/>
                </w:rPr>
                <w:t>DISTRIBUTIONS</w:t>
              </w:r>
            </w:hyperlink>
          </w:p>
        </w:tc>
        <w:tc>
          <w:tcPr>
            <w:tcW w:w="9720" w:type="dxa"/>
            <w:vAlign w:val="bottom"/>
            <w:gridSpan w:val="2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BUSINESS</w:t>
              </w:r>
            </w:hyperlink>
          </w:p>
        </w:tc>
        <w:tc>
          <w:tcPr>
            <w:tcW w:w="10220" w:type="dxa"/>
            <w:vAlign w:val="bottom"/>
            <w:gridSpan w:val="3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1060" w:type="dxa"/>
            <w:vAlign w:val="bottom"/>
            <w:gridSpan w:val="32"/>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INVESTMENT OBJECTIVES AND POLICIES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PORTFOLIO COMPANIES</w:t>
              </w:r>
            </w:hyperlink>
          </w:p>
        </w:tc>
        <w:tc>
          <w:tcPr>
            <w:tcW w:w="762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77">
              <w:r>
                <w:rPr>
                  <w:rFonts w:ascii="Arial" w:cs="Arial" w:eastAsia="Arial" w:hAnsi="Arial"/>
                  <w:sz w:val="18"/>
                  <w:szCs w:val="18"/>
                  <w:color w:val="0000EE"/>
                  <w:w w:val="97"/>
                </w:rPr>
                <w:t>MANAGEMENT</w:t>
              </w:r>
            </w:hyperlink>
          </w:p>
        </w:tc>
        <w:tc>
          <w:tcPr>
            <w:tcW w:w="720" w:type="dxa"/>
            <w:vAlign w:val="bottom"/>
            <w:tcBorders>
              <w:top w:val="single" w:sz="8" w:color="0000EE"/>
            </w:tcBorders>
            <w:gridSpan w:val="7"/>
          </w:tcPr>
          <w:p>
            <w:pPr>
              <w:spacing w:after="0"/>
              <w:rPr>
                <w:sz w:val="17"/>
                <w:szCs w:val="17"/>
                <w:color w:val="auto"/>
              </w:rPr>
            </w:pPr>
          </w:p>
        </w:tc>
        <w:tc>
          <w:tcPr>
            <w:tcW w:w="906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w:anchor="page81">
              <w:r>
                <w:rPr>
                  <w:rFonts w:ascii="Arial" w:cs="Arial" w:eastAsia="Arial" w:hAnsi="Arial"/>
                  <w:sz w:val="18"/>
                  <w:szCs w:val="18"/>
                  <w:color w:val="0000EE"/>
                  <w:w w:val="92"/>
                </w:rPr>
                <w:t>CONTROL PERSONS AND PRINCIPAL STOCKHOLDERS</w:t>
              </w:r>
            </w:hyperlink>
          </w:p>
        </w:tc>
        <w:tc>
          <w:tcPr>
            <w:tcW w:w="662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11060" w:type="dxa"/>
            <w:vAlign w:val="bottom"/>
            <w:gridSpan w:val="32"/>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CERTAIN RELATIONSHIPS AND TRANSACTIONS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4"/>
              </w:rPr>
            </w:pPr>
            <w:hyperlink w:anchor="page88">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6"/>
          </w:tcPr>
          <w:p>
            <w:pPr>
              <w:spacing w:after="0"/>
              <w:rPr>
                <w:sz w:val="17"/>
                <w:szCs w:val="17"/>
                <w:color w:val="auto"/>
              </w:rPr>
            </w:pPr>
          </w:p>
        </w:tc>
        <w:tc>
          <w:tcPr>
            <w:tcW w:w="714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91">
              <w:r>
                <w:rPr>
                  <w:rFonts w:ascii="Arial" w:cs="Arial" w:eastAsia="Arial" w:hAnsi="Arial"/>
                  <w:sz w:val="18"/>
                  <w:szCs w:val="18"/>
                  <w:color w:val="0000EE"/>
                  <w:w w:val="96"/>
                </w:rPr>
                <w:t>DIVIDEND REINVESTMENT PLAN</w:t>
              </w:r>
            </w:hyperlink>
          </w:p>
        </w:tc>
        <w:tc>
          <w:tcPr>
            <w:tcW w:w="8300" w:type="dxa"/>
            <w:vAlign w:val="bottom"/>
            <w:gridSpan w:val="1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92">
              <w:r>
                <w:rPr>
                  <w:rFonts w:ascii="Arial" w:cs="Arial" w:eastAsia="Arial" w:hAnsi="Arial"/>
                  <w:sz w:val="18"/>
                  <w:szCs w:val="18"/>
                  <w:color w:val="0000EE"/>
                  <w:w w:val="92"/>
                </w:rPr>
                <w:t>DESCRIPTION OF OUR CAPITAL STOCK</w:t>
              </w:r>
            </w:hyperlink>
          </w:p>
        </w:tc>
        <w:tc>
          <w:tcPr>
            <w:tcW w:w="7840" w:type="dxa"/>
            <w:vAlign w:val="bottom"/>
            <w:gridSpan w:val="1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11060" w:type="dxa"/>
            <w:vAlign w:val="bottom"/>
            <w:gridSpan w:val="32"/>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DESCRIPTION OF OUR PREFERRED STOCK</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DESCRIPTION OF OUR WARRANTS</w:t>
              </w:r>
            </w:hyperlink>
          </w:p>
        </w:tc>
        <w:tc>
          <w:tcPr>
            <w:tcW w:w="7580" w:type="dxa"/>
            <w:vAlign w:val="bottom"/>
            <w:gridSpan w:val="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2"/>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DESCRIPTION OF OUR SUBSCRIPTION RIGHTS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2"/>
              </w:rPr>
            </w:pPr>
            <w:hyperlink w:anchor="page102">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17"/>
                <w:szCs w:val="17"/>
                <w:color w:val="auto"/>
              </w:rPr>
            </w:pPr>
          </w:p>
        </w:tc>
        <w:tc>
          <w:tcPr>
            <w:tcW w:w="726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15">
              <w:r>
                <w:rPr>
                  <w:rFonts w:ascii="Arial" w:cs="Arial" w:eastAsia="Arial" w:hAnsi="Arial"/>
                  <w:sz w:val="18"/>
                  <w:szCs w:val="18"/>
                  <w:color w:val="0000EE"/>
                  <w:w w:val="93"/>
                </w:rPr>
                <w:t>REGULATION</w:t>
              </w:r>
            </w:hyperlink>
          </w:p>
        </w:tc>
        <w:tc>
          <w:tcPr>
            <w:tcW w:w="9940" w:type="dxa"/>
            <w:vAlign w:val="bottom"/>
            <w:gridSpan w:val="3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7"/>
          </w:tcPr>
          <w:p>
            <w:pPr>
              <w:spacing w:after="0" w:line="196" w:lineRule="exact"/>
              <w:rPr>
                <w:rFonts w:ascii="Arial" w:cs="Arial" w:eastAsia="Arial" w:hAnsi="Arial"/>
                <w:sz w:val="18"/>
                <w:szCs w:val="18"/>
                <w:color w:val="0000EE"/>
                <w:w w:val="93"/>
              </w:rPr>
            </w:pPr>
            <w:hyperlink w:anchor="page120">
              <w:r>
                <w:rPr>
                  <w:rFonts w:ascii="Arial" w:cs="Arial" w:eastAsia="Arial" w:hAnsi="Arial"/>
                  <w:sz w:val="18"/>
                  <w:szCs w:val="18"/>
                  <w:color w:val="0000EE"/>
                  <w:w w:val="93"/>
                </w:rPr>
                <w:t>BROKERAGE ALLOCATIONS AND OTHER PRACTICES</w:t>
              </w:r>
            </w:hyperlink>
          </w:p>
        </w:tc>
        <w:tc>
          <w:tcPr>
            <w:tcW w:w="668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30"/>
          </w:tcPr>
          <w:p>
            <w:pPr>
              <w:spacing w:after="0" w:line="196" w:lineRule="exact"/>
              <w:rPr>
                <w:rFonts w:ascii="Arial" w:cs="Arial" w:eastAsia="Arial" w:hAnsi="Arial"/>
                <w:sz w:val="18"/>
                <w:szCs w:val="18"/>
                <w:color w:val="0000EE"/>
                <w:w w:val="94"/>
              </w:rPr>
            </w:pPr>
            <w:hyperlink w:anchor="page121">
              <w:r>
                <w:rPr>
                  <w:rFonts w:ascii="Arial" w:cs="Arial" w:eastAsia="Arial" w:hAnsi="Arial"/>
                  <w:sz w:val="18"/>
                  <w:szCs w:val="18"/>
                  <w:color w:val="0000EE"/>
                  <w:w w:val="94"/>
                </w:rPr>
                <w:t>MATERIAL U.S. FEDERAL INCOME TAX CONSIDERATIONS</w:t>
              </w:r>
            </w:hyperlink>
          </w:p>
        </w:tc>
        <w:tc>
          <w:tcPr>
            <w:tcW w:w="630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96"/>
        </w:trPr>
        <w:tc>
          <w:tcPr>
            <w:tcW w:w="11060" w:type="dxa"/>
            <w:vAlign w:val="bottom"/>
            <w:gridSpan w:val="32"/>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PLAN OF DISTRIBUTION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2"/>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CUSTODIAN, TRANSFER AGENT AND TRUSTEE</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LEGAL MATTERS</w:t>
              </w:r>
            </w:hyperlink>
          </w:p>
        </w:tc>
        <w:tc>
          <w:tcPr>
            <w:tcW w:w="718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1700" w:type="dxa"/>
            <w:vAlign w:val="bottom"/>
            <w:gridSpan w:val="11"/>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2"/>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INDEPENDENT REGISTERED PUBLIC ACCOUNTING FIRM</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96"/>
        </w:trPr>
        <w:tc>
          <w:tcPr>
            <w:tcW w:w="468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PRIVACY PRINCIPLES</w:t>
              </w:r>
            </w:hyperlink>
          </w:p>
        </w:tc>
        <w:tc>
          <w:tcPr>
            <w:tcW w:w="638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1780" w:type="dxa"/>
            <w:vAlign w:val="bottom"/>
            <w:gridSpan w:val="10"/>
            <w:shd w:val="clear" w:color="auto" w:fill="0000EE"/>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8080" w:type="dxa"/>
            <w:vAlign w:val="bottom"/>
            <w:gridSpan w:val="1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130">
              <w:r>
                <w:rPr>
                  <w:rFonts w:ascii="Arial" w:cs="Arial" w:eastAsia="Arial" w:hAnsi="Arial"/>
                  <w:sz w:val="18"/>
                  <w:szCs w:val="18"/>
                  <w:color w:val="0000EE"/>
                  <w:w w:val="95"/>
                </w:rPr>
                <w:t>INDEX TO FINANCIAL STATEMENTS</w:t>
              </w:r>
            </w:hyperlink>
          </w:p>
        </w:tc>
        <w:tc>
          <w:tcPr>
            <w:tcW w:w="8080" w:type="dxa"/>
            <w:vAlign w:val="bottom"/>
            <w:gridSpan w:val="1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$250,000,000 of our common stock, preferred stock, debt securities, warrants representing rights to purchase shares of our common stock, preferred stock or debt securities and subscription rights to purchase common stock on the terms to be determined at the time of the offering. The securities may be offered at prices and on terms described in one or more supplements to this prospectus. This prospectus provides you with a general description of the securities that we may offer.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and the additional information described under the headings “Additional Information” and “Risk Factors” before you make an investment decision.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You should read carefully the more detailed information set forth under “Risk Factors” and the other information included in this prospectus. In this prospectus and accompanying prospectus supplement, if any, except where the context suggests otherwise, the terms “we,” “us,” “our” and “PennantPark Investment” refer to PennantPark Investment Corporation; “PennantPark Investment Advisers” or the “Investment Adviser” refers to PennantPark Investment Advisers, LLC; “PennantPark Investment Administration” or the “Administrator” refers to PennantPark Investment Administration,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PennantPark Investment Corporation, a Maryland corporation, is a closed-end, externally managed, non-diversified investment company that has elected to be treated as a business development company, or BDC, under the Investment Company Act of 1940, as amended, or the 1940 Act.</w:t>
      </w:r>
    </w:p>
    <w:p>
      <w:pPr>
        <w:spacing w:after="0" w:line="8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private companies in the form of mezzanine debt, senior secured loans and equity investments.</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investments by investing approximately $10 to $50 million of capital, on average, in the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 In this prospectus, we use the term “middle-market” to refer to companies with annual revenues between $50 million and $1 billion.</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Advisers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investment activities are managed by the Investment Adviser under an investment management agreement (the “Investment Management Agreement”). The Investment Adviser is responsible for sourcing potential investments, conducting research on prospective investments, analyzing investment opportunities, structuring our investments and monitoring our investments and portfolio companies on an ongoing basis. The Investment Adviser is led by Arthur H. Penn, its founder and the founder of PennantPark. Mr. Penn has over 20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L.P., or Apollo Investment Management, which is the Investment Adviser of Apollo Investment Corporation, or Apollo Investment, a publicly traded business development company. Mr. Penn served as the Chief Operating Officer and a member of the investment committee of Apollo Investment from its inception in April 2004 through February 2006 and was President and Chief Operating Officer from February 2006 through November 2006.</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During the period in which Mr. Penn was the Chief Operating Officer, Apollo Investment raised approximately $930 million of gross proceeds in an initial public offering in April 2004 and raised an additional $308 million in a follow-on offering of public equity in March 2006. Mr. Penn supervised the negotiation and execution of a senior secured credit facility with a syndicate of banks which, as amended, provided for borrowings up to $2.0 billion. During Mr. Penn’s tenure with Apollo Investment, it invested approximately $2.8 billion in 73 companies in partnership with 54 different financial sponsors.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During his more than 20-year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Investment Adviser has three experienced investment professionals, in addition to Mr. Penn, who are partners of the firm. These investment professionals, Geoffrey Chang, Salvatore Giannetti III and Whit Williams, have a combined 48 years of experience in the mezzanine, private equity and leveraged finance businesses. See “Management,” “Certain Relationships and Transactions—Investment Management Agreement” and “Risk Factors—Risks Relating to our Business and Structure.”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Administration</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Under our administration agreement, or the Administration Agreement, the Administrator furnishes us with clerical, bookkeeping and record keeping services and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 See “Certain Relationships and Transactions— Administration Agreement” and “Risk Factors—Risks Relating to our Business and Structure.”</w:t>
      </w:r>
    </w:p>
    <w:p>
      <w:pPr>
        <w:spacing w:after="0" w:line="12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Our Administrator has experienced professionals including, Aviv Efrat, who serves as our Chief Financial Officer and Treasurer. Mr. Efrat, who is also a Managing Director of PennantPark Investment Administration, has extensive experience in finance and administration of registered investment companies.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that the size of the middle-market, coupled with the demands of these companies for flexible sources of capital, creates an attractive investment environment for PennantPark.</w:t>
      </w:r>
    </w:p>
    <w:p>
      <w:pPr>
        <w:spacing w:after="0" w:line="45" w:lineRule="exact"/>
        <w:rPr>
          <w:sz w:val="20"/>
          <w:szCs w:val="20"/>
          <w:color w:val="auto"/>
        </w:rPr>
      </w:pPr>
    </w:p>
    <w:p>
      <w:pPr>
        <w:ind w:left="900" w:right="60" w:hanging="325"/>
        <w:spacing w:after="0" w:line="25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420" w:hanging="325"/>
        <w:spacing w:after="0" w:line="275"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investments. </w:t>
      </w:r>
      <w:r>
        <w:rPr>
          <w:rFonts w:ascii="Arial" w:cs="Arial" w:eastAsia="Arial" w:hAnsi="Arial"/>
          <w:sz w:val="18"/>
          <w:szCs w:val="18"/>
          <w:color w:val="auto"/>
        </w:rPr>
        <w:t>The downturn in the credit market has</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less competition, more conservative capital structures, higher yields and stronger covenants.</w:t>
      </w:r>
    </w:p>
    <w:p>
      <w:pPr>
        <w:spacing w:after="0" w:line="38" w:lineRule="exact"/>
        <w:rPr>
          <w:rFonts w:ascii="Arial" w:cs="Arial" w:eastAsia="Arial" w:hAnsi="Arial"/>
          <w:sz w:val="18"/>
          <w:szCs w:val="18"/>
          <w:color w:val="auto"/>
        </w:rPr>
      </w:pPr>
    </w:p>
    <w:p>
      <w:pPr>
        <w:ind w:left="900" w:right="120" w:hanging="325"/>
        <w:spacing w:after="0" w:line="296"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which is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These private equity funds generally seek to leverage their investments by combining their capital with mezzanine loans and/or senior secured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900" w:right="60" w:hanging="325"/>
        <w:spacing w:after="0" w:line="301"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believe the in-depth coverage and experience of our Investment Adviser, enable us to invest throughout various stages of the economic cycle and provide us with ongoing market insights in addition to a significant investment sourcing engine.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alternative investment vehicles,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40"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use the industry information available to our Investment Adviser to assess investment risks and determine appropriate pricing for our investments in portfolio companies. We benefit from the relationships of our Investment Adviser, which enable us to learn about, and compete effectively for, financing opportunities with attractive middle-market companies in the industries in which we invest. For additional information concerning the competitive risks we face, please see “Risk Factors—Risks Relating to our Business and Structure-We operate in a highly competitive market for investment opportunities.”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maintain a five-year, multi-currency $300 million senior secured credit facility with a group of lenders, under which we had $202.0 million (including a $40.0 million temporary draw) and $187.3 million of indebtedness outstanding at September 30, 2008 and June 30, 2009, respectively. Pricing on borrowings under our credit facility is set at 100 basis points over LIBOR. We believe that our substantial debt capital resources provide us with the flexibility to take advantage of market opportunities when they arise.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Our investment activities are managed by PennantPark Investment Advisers and supervised by our board of directors, a majority of whom are independent of PennantPark Investment. PennantPark Investment Advisers is an Investment Adviser that is registered under the Investment Advisers Act of 1940, or the Advisers Act. Under our Investment Management Agreement, we pay PennantPark Investment Advisers an annual base management fee based on our gross assets as well as an incentive fee based on our performance. See “Certain Relationships and Transactions—Investment Management Agreement.”</w:t>
      </w:r>
    </w:p>
    <w:p>
      <w:pPr>
        <w:spacing w:after="0" w:line="9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a business development company, we are required to comply with certain regulatory requirements. Also, while we are permitted to finance investments using debt, our ability to use debt is limited in certain significant respects. See “Regulation.” We have elected to be treated for federal income tax purposes under the Internal Revenue Code of 1986, or the Code, as a regulated investment company, or “RIC.” For more information, see “Material U.S. Federal Income Tax Considerations.”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expect to use the net proceeds from selling securities pursuant to this prospectus primarily to reduce our outstanding obligations under our credit facility. We may also use such proceeds to invest in new or existing portfolio companies or for other general corporate purposes. Any supplements to this prospectus relating to an offering will more fully identify the use of the proceeds from such offering. See “Use of Proceeds” for information regarding our outstanding borrowings as of June 30, 2009, the corresponding interest rate charged on such borrowings as of that date and the length of time that it may take us to invest any proceeds in new or existing portfolio companies.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The amount and general timing of our quarterly dividends, if any, will be determined by our board of directors. For more information, see “Distributions.”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or ARPS, will be weekly and subject to extension. With respect to ARPS, we expect the dividend rate to be variable and determined for each dividend period. See “Risk Factors—Risks Related to Issuance of our Preferred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For more information, see “Dividend Reinvestment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may offer, from time to time, up to $250 million of our securities, on terms to be determined at the time of each such offering and set forth in a supplement to this prospectus.</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directly to one or more purchasers, through agents designated from time to time by us, or to or through underwriters or dealers.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For more information, see “Distributions.”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On August 25, 2009, our common stockholders voted to allow us to issue common stock at a price below the net asset value per share for a period of one year ending August 25, 2010. Our stockholders did not specify a maximum discount below net asset value at which we are able to issue our common stock; however, we do not intend to issue shares of our common stock below net asset value unless our board of directors determines that it would be in our stockholders’ best interests to do so. Sales of common stock at prices below net asset value per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share dilute the interests of existing stockholders, have the effect of reducing our net asset value per share and may reduce our market price per share. We will describe the risks and dilutive effects of any offering that we make at a price below our then current net asset value in a prospectus supplement issued in connection with any such offering.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administrative and principal executive offices are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 Our common stock is quoted on NASDAQ Global Select Market under the symbol “PNNT”. Our Internet website address is </w:t>
      </w:r>
      <w:r>
        <w:rPr>
          <w:rFonts w:ascii="Arial" w:cs="Arial" w:eastAsia="Arial" w:hAnsi="Arial"/>
          <w:sz w:val="18"/>
          <w:szCs w:val="18"/>
          <w:i w:val="1"/>
          <w:iCs w:val="1"/>
          <w:color w:val="auto"/>
        </w:rPr>
        <w:t>www.pennantpark.com.</w:t>
      </w:r>
      <w:r>
        <w:rPr>
          <w:rFonts w:ascii="Arial" w:cs="Arial" w:eastAsia="Arial" w:hAnsi="Arial"/>
          <w:sz w:val="18"/>
          <w:szCs w:val="18"/>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fees or expenses, stockholders will indirectly bear such fees or expenses as investors in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tcPr>
          <w:p>
            <w:pPr>
              <w:spacing w:after="0" w:line="176" w:lineRule="exact"/>
              <w:rPr>
                <w:sz w:val="20"/>
                <w:szCs w:val="20"/>
                <w:color w:val="auto"/>
              </w:rPr>
            </w:pPr>
            <w:r>
              <w:rPr>
                <w:rFonts w:ascii="Arial" w:cs="Arial" w:eastAsia="Arial" w:hAnsi="Arial"/>
                <w:sz w:val="18"/>
                <w:szCs w:val="18"/>
                <w:color w:val="auto"/>
              </w:rPr>
              <w:t>Sales load (as a percentage of offering price)</w:t>
            </w:r>
          </w:p>
        </w:tc>
        <w:tc>
          <w:tcPr>
            <w:tcW w:w="68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7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 (as a percentage of offering price)</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10740" w:type="dxa"/>
            <w:vAlign w:val="bottom"/>
            <w:gridSpan w:val="2"/>
            <w:vMerge w:val="restart"/>
          </w:tcPr>
          <w:p>
            <w:pPr>
              <w:spacing w:after="0" w:line="202" w:lineRule="exact"/>
              <w:rPr>
                <w:sz w:val="20"/>
                <w:szCs w:val="20"/>
                <w:color w:val="auto"/>
              </w:rPr>
            </w:pPr>
            <w:r>
              <w:rPr>
                <w:rFonts w:ascii="Arial" w:cs="Arial" w:eastAsia="Arial" w:hAnsi="Arial"/>
                <w:sz w:val="18"/>
                <w:szCs w:val="18"/>
                <w:b w:val="1"/>
                <w:bCs w:val="1"/>
                <w:color w:val="auto"/>
              </w:rPr>
              <w:t>Total common stockholder expenses (as a percentage of offering price)</w:t>
            </w: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740" w:type="dxa"/>
            <w:vAlign w:val="bottom"/>
            <w:gridSpan w:val="2"/>
            <w:vMerge w:val="continue"/>
          </w:tcPr>
          <w:p>
            <w:pPr>
              <w:spacing w:after="0"/>
              <w:rPr>
                <w:sz w:val="15"/>
                <w:szCs w:val="15"/>
                <w:color w:val="auto"/>
              </w:rPr>
            </w:pPr>
          </w:p>
        </w:tc>
        <w:tc>
          <w:tcPr>
            <w:tcW w:w="68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7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shares)</w:t>
            </w:r>
            <w:r>
              <w:rPr>
                <w:rFonts w:ascii="Arial" w:cs="Arial" w:eastAsia="Arial" w:hAnsi="Arial"/>
                <w:sz w:val="11"/>
                <w:szCs w:val="11"/>
                <w:b w:val="1"/>
                <w:bCs w:val="1"/>
                <w:color w:val="auto"/>
              </w:rPr>
              <w:t>(3)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Management fees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3.25%</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2.26%</w:t>
            </w:r>
            <w:r>
              <w:rPr>
                <w:rFonts w:ascii="Arial" w:cs="Arial" w:eastAsia="Arial" w:hAnsi="Arial"/>
                <w:sz w:val="11"/>
                <w:szCs w:val="11"/>
                <w:color w:val="auto"/>
                <w:w w:val="96"/>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2.06%</w:t>
            </w:r>
            <w:r>
              <w:rPr>
                <w:rFonts w:ascii="Arial" w:cs="Arial" w:eastAsia="Arial" w:hAnsi="Arial"/>
                <w:sz w:val="11"/>
                <w:szCs w:val="11"/>
                <w:color w:val="auto"/>
                <w:w w:val="96"/>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1.66%</w:t>
            </w:r>
            <w:r>
              <w:rPr>
                <w:rFonts w:ascii="Arial" w:cs="Arial" w:eastAsia="Arial" w:hAnsi="Arial"/>
                <w:sz w:val="11"/>
                <w:szCs w:val="11"/>
                <w:color w:val="auto"/>
                <w:w w:val="96"/>
              </w:rPr>
              <w:t>(7)</w:t>
            </w:r>
          </w:p>
        </w:tc>
        <w:tc>
          <w:tcPr>
            <w:tcW w:w="0" w:type="dxa"/>
            <w:vAlign w:val="bottom"/>
          </w:tcPr>
          <w:p>
            <w:pPr>
              <w:spacing w:after="0"/>
              <w:rPr>
                <w:sz w:val="1"/>
                <w:szCs w:val="1"/>
                <w:color w:val="auto"/>
              </w:rPr>
            </w:pPr>
          </w:p>
        </w:tc>
      </w:tr>
      <w:tr>
        <w:trPr>
          <w:trHeight w:val="20"/>
        </w:trPr>
        <w:tc>
          <w:tcPr>
            <w:tcW w:w="10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annual expenses</w:t>
            </w: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740" w:type="dxa"/>
            <w:vAlign w:val="bottom"/>
            <w:gridSpan w:val="2"/>
            <w:vMerge w:val="continue"/>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9.23%</w:t>
            </w:r>
            <w:r>
              <w:rPr>
                <w:rFonts w:ascii="Arial" w:cs="Arial" w:eastAsia="Arial" w:hAnsi="Arial"/>
                <w:sz w:val="11"/>
                <w:szCs w:val="11"/>
                <w:color w:val="auto"/>
                <w:w w:val="96"/>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8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w:t>
      </w:r>
    </w:p>
    <w:p>
      <w:pPr>
        <w:spacing w:after="0" w:line="37"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assets attributable to common shares” equal net assets at June 30, 2009.</w:t>
      </w:r>
    </w:p>
    <w:p>
      <w:pPr>
        <w:spacing w:after="0" w:line="76"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w:t>
      </w:r>
    </w:p>
    <w:p>
      <w:pPr>
        <w:spacing w:after="0" w:line="37" w:lineRule="exact"/>
        <w:rPr>
          <w:rFonts w:ascii="Arial" w:cs="Arial" w:eastAsia="Arial" w:hAnsi="Arial"/>
          <w:sz w:val="18"/>
          <w:szCs w:val="18"/>
          <w:color w:val="auto"/>
        </w:rPr>
      </w:pPr>
    </w:p>
    <w:p>
      <w:pPr>
        <w:ind w:left="460" w:right="40" w:hanging="452"/>
        <w:spacing w:after="0" w:line="287"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nine months ended June 30, 2009,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nine months ended June 30, 2009. For more detailed information about the incentive fee, please see the section of this prospectus captioned “Certain Relationships and Transactions—Investment Management Agreement” and Note 3 to our financial statements included in this prospectus.</w:t>
      </w:r>
    </w:p>
    <w:p>
      <w:pPr>
        <w:spacing w:after="0" w:line="28" w:lineRule="exact"/>
        <w:rPr>
          <w:rFonts w:ascii="Arial" w:cs="Arial" w:eastAsia="Arial" w:hAnsi="Arial"/>
          <w:sz w:val="16"/>
          <w:szCs w:val="16"/>
          <w:color w:val="auto"/>
        </w:rPr>
      </w:pPr>
    </w:p>
    <w:p>
      <w:pPr>
        <w:ind w:left="460" w:right="260" w:hanging="452"/>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June 30, 2009, we had $112.7 million unused, subject to maintenance of the applicable total assets to debt ratio of 200%, and $187.3 million in borrowings outstanding under our $300.0 million credit facility. We intend to use proceeds of an offering of securities under this registration statement primarily to repay outstanding obligations under our credit facility. After completing any such offering, we intend to continue to borrow under our credit facility to finance portfolio investments and are permitted to do so under the terms of our credit facility. We have estimated the interest payments on borrowed funds to take this into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780"/>
        <w:spacing w:after="0" w:line="259" w:lineRule="auto"/>
        <w:rPr>
          <w:sz w:val="20"/>
          <w:szCs w:val="20"/>
          <w:color w:val="auto"/>
        </w:rPr>
      </w:pPr>
      <w:r>
        <w:rPr>
          <w:rFonts w:ascii="Arial" w:cs="Arial" w:eastAsia="Arial" w:hAnsi="Arial"/>
          <w:sz w:val="18"/>
          <w:szCs w:val="18"/>
          <w:color w:val="auto"/>
        </w:rPr>
        <w:t>account; however, we caution you that our actual interest expense will depend on prevailing interest rates and our rate of borrowing and may be substantially higher than the estimate provided in this table. For more information, see “Risk Factors—We currently use borrowed funds to make investments and are exposed to the typical risks associated with leverage.”</w:t>
      </w:r>
    </w:p>
    <w:p>
      <w:pPr>
        <w:spacing w:after="0" w:line="59" w:lineRule="exact"/>
        <w:rPr>
          <w:sz w:val="20"/>
          <w:szCs w:val="20"/>
          <w:color w:val="auto"/>
        </w:rPr>
      </w:pPr>
    </w:p>
    <w:p>
      <w:pPr>
        <w:ind w:left="460" w:right="100" w:hanging="452"/>
        <w:spacing w:after="0" w:line="298"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nine months ended June 30, 2009 annualized for a full year. See the “Consolidated Statement of Operations” in our financial statements.</w:t>
      </w:r>
    </w:p>
    <w:p>
      <w:pPr>
        <w:spacing w:after="0" w:line="18" w:lineRule="exact"/>
        <w:rPr>
          <w:rFonts w:ascii="Arial" w:cs="Arial" w:eastAsia="Arial" w:hAnsi="Arial"/>
          <w:sz w:val="16"/>
          <w:szCs w:val="16"/>
          <w:color w:val="auto"/>
        </w:rPr>
      </w:pPr>
    </w:p>
    <w:p>
      <w:pPr>
        <w:ind w:left="460" w:right="40" w:hanging="452"/>
        <w:spacing w:after="0" w:line="29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“Total annual expenses” as a percentage of net assets attributable to common shares, to the extent we borrow money to make investments, are higher than the total annual expenses percentage would be for a company that is not leveraged. We may borrow money to leverage our net assets and increase our total assets. The SEC requires that the “total annual expenses” percentage be calculated as a percentage of net assets (defined as total assets less indebtedness), rather than the total assets, including assets that have been funded with borrowed monies. If the “total annual expenses” percentage were calculated instead as a percentage of total assets, our “total annual expenses” would be 5.68% of total assets. For a presentation and calculation of total annual expenses based on total assets, see page 37 of this prospectus.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following example illustrates the projected dollar amount of total cumulative expenses that you would pay on a $1,000 hypothetical investment in common shares, assuming (1) a 4.25% sales load (underwriting discounts and commissions) and offering expenses totaling 0.20%, (2) total net annual expenses of 6.97% of net assets attributable to common shares as set forth in the table above (other than performance-based incentive fees) and (3) a 5% annual return: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1 Year</w:t>
            </w:r>
          </w:p>
        </w:tc>
        <w:tc>
          <w:tcPr>
            <w:tcW w:w="4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3 Years</w:t>
            </w:r>
          </w:p>
        </w:tc>
        <w:tc>
          <w:tcPr>
            <w:tcW w:w="44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5 Years</w:t>
            </w:r>
          </w:p>
        </w:tc>
        <w:tc>
          <w:tcPr>
            <w:tcW w:w="44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10 Years</w:t>
            </w:r>
          </w:p>
        </w:tc>
        <w:tc>
          <w:tcPr>
            <w:tcW w:w="20" w:type="dxa"/>
            <w:vAlign w:val="bottom"/>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incurred</w:t>
            </w:r>
          </w:p>
        </w:tc>
        <w:tc>
          <w:tcPr>
            <w:tcW w:w="374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w w:val="79"/>
              </w:rPr>
              <w:t>$ 110</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$ 239</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$ 362</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5"/>
              </w:rPr>
              <w:t>$  649</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additional information regarding our dividend reinvestment plan in this prospectus.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debt securities, warrants or subscription rights may decline, and you may lose all or part of your investment.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ind w:right="160"/>
        <w:spacing w:after="0" w:line="338" w:lineRule="auto"/>
        <w:rPr>
          <w:sz w:val="20"/>
          <w:szCs w:val="20"/>
          <w:color w:val="auto"/>
        </w:rPr>
      </w:pPr>
      <w:r>
        <w:rPr>
          <w:rFonts w:ascii="Arial" w:cs="Arial" w:eastAsia="Arial" w:hAnsi="Arial"/>
          <w:sz w:val="16"/>
          <w:szCs w:val="16"/>
          <w:b w:val="1"/>
          <w:bCs w:val="1"/>
          <w:color w:val="auto"/>
        </w:rPr>
        <w:t>Global capital markets have entered a period of severe disruption and instability. These market conditions have materially and adversely affected debt and equity capital markets in the United States, which has had, and may continue to have, a negative impact on our business and operations.</w:t>
      </w:r>
    </w:p>
    <w:p>
      <w:pPr>
        <w:spacing w:after="0" w:line="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Beginning in the summer of 2007 and continuing as of the date of this prospectus, 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As a result of these events, general economic conditions have deteriorated with material and adverse consequences for the broader financial and credit markets, and the availability of debt and equity capital for the market as a whole and financial services firms in particular has been reduced significantly. These conditions could continue for a prolonged period of time or even materially worsen in the future. While these conditions persist, we may have difficulty accessing debt and equity capital in order to grow and may suffer material adverse effects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or a prolonged disruption in the credit markets could materially damage our business.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adversely affect our valuations and our net asset value, even if we intend to hold respective investments to maturity. Volatility or dislocation in the capital markets may depress our stock price below our net asset value per share and create a challenging environment in which to raise debt and equity capital. As a business development company, we are generally not able to issue additional shares of our common stock at a price less than net asset value without first obtaining approval for such issuance from our stockholders and our independent directors. Additionally, our ability to incur indebtedness is limited by applicable regulations such that our asset coverage under the 1940 Act must equal at least 200% immediately after each time we incur indebtedness. Shrinking portfolio values negatively impact our ability to borrow additional funds under our credit facility because our net asset value is reduced for purposes of the 200% asset leverage test. If the fair value of our assets declines substantially, we may fail to maintain the asset coverage ratios stipulated by the 1940 Act, which could, in turn, cause us to lose our status as a business development company and materially impair our business operations. A protracted disruption in the credit markets could also materially decrease demand for our investments.</w:t>
      </w:r>
    </w:p>
    <w:p>
      <w:pPr>
        <w:spacing w:after="0" w:line="12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significant disruption in the capital markets has had and may continue to have a negative effect on the valuations of our investments, and on the potential for liquidity events involving our investments. The debt capital that will be available to us, if at all, may be at a higher cost and on less favorable terms and conditions in the future. A prolonged inability to raise capital will require us to reduce the volume of loans we originate and/or fund and could have a material adverse impact on our business, financial condition or results of operations. This may also increase the probability that other structural risks negatively impact us. These situations may arise due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to circumstances that we may be unable to control, such as a protracted disruption in the credit markets, a severe decline in the value of the United States dollar, a sharp economic downturn or an operational problem that affects third parties or us, and could materially damage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market developments may adversely affect our business and results of operations by reducing availability under our credit facility.</w:t>
      </w:r>
    </w:p>
    <w:p>
      <w:pPr>
        <w:spacing w:after="0" w:line="11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to the applicable asset coverage test that restricts our ability to borrow under our credit facility, this facility contains various covenants which, if not complied with, could accelerate repayment under the facility, thereby materially and adversely affecting our liquidity, financial condition and results of operations. Our borrowings under our credit facility are collateralized by the assets in our investment portfolio. The agreements governing the credit facility require us to comply with certain financial and operational covenants. These covenants include:</w:t>
      </w:r>
    </w:p>
    <w:p>
      <w:pPr>
        <w:spacing w:after="0" w:line="62"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requirement to maintain a minimum amount of shareholder’s equity;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19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continued compliance with these covenants depends on many factors, some of which are beyond our control. For example, during the fiscal year ended September 30, 2008, net unrealized depreciation in our portfolio increased and, given the further deterioration in public debt and equity markets and pricing levels subsequent to this period, net unrealized depreciation in our portfolio may continue to increase in the future. Further material net asset devaluation in connection with additional borrowings could result in an inability to comply with our obligation to restrict the level of indebtedness that we are able to incur in relation to the value of our assets or to maintain a minimum level of shareholders’ equity. This could have a material adverse effect on our operations, as it would trigger mandatory pre-payment obligations under the terms of the credit facility.</w:t>
      </w:r>
    </w:p>
    <w:p>
      <w:pPr>
        <w:spacing w:after="0" w:line="195"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We rely in part on our senior secured investments to provide us with adequate liquidity, but even these investments face liquidity constraints under current market conditions.</w:t>
      </w:r>
    </w:p>
    <w:p>
      <w:pPr>
        <w:spacing w:after="0" w:line="4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market for senior secured debt investments and other over-the-counter traded securities has weakened as the viability of any over-the-counter secondary market depends on the continued willingness of dealers and other participants to purchase the investments, which has decreased under current market conditions.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incurs credit risk when it loans money or commits to loan money to a portfolio company.</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will have a significant impact on our earnings. Credit risk is a component part of our fair valuation of our portfolio companies. Negative credit events will lead to a decrease in the fair value of our portfolio companies.</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current market developments have affected consumer confidence levels which may result in adverse changes in payment patterns. Increased delinquencies and default rates would impact our results of operations. Deterioration in the quality of our credit portfolio could have a material adverse effect on our capital, financial condition and results of operations.</w:t>
      </w:r>
    </w:p>
    <w:p>
      <w:pPr>
        <w:spacing w:after="0" w:line="21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Any unrealized losses we experience on our investment portfolio may be an indication of future realized losses, which could reduce our income available for distribution.</w:t>
      </w:r>
    </w:p>
    <w:p>
      <w:pPr>
        <w:spacing w:after="0" w:line="4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a business development company, we are required to carry our investments at market value or, if no market value is ascertainable or if market value does not reflect the fair value of such investment in the bona fide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determination of our board of directors, then, at fair value as determined in good faith by or under the direction of our board of directors. Decreases in the market values or fair values of our investments will be recorded as unrealized depreciation. The fair value of our portfolio companies on the whole has decreased substantially over the past two fiscal years.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w:t>
      </w:r>
    </w:p>
    <w:p>
      <w:pPr>
        <w:spacing w:after="0" w:line="191"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In the past following periods of volatility in the market price of a company’s securities, securities class action litigation has often been brought against that company.</w:t>
      </w:r>
    </w:p>
    <w:p>
      <w:pPr>
        <w:spacing w:after="0" w:line="4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our stock price fluctuates significantly, we may be the target of securities litigation in the future. Securities litigation could result in substantial costs and divert management’s attention and resources from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were incorporated in January 2007. We are subject to all of the business risks and uncertainties associated with any relatively new business, including the risk that we will not achieve our investment objectives and that the value of our common stock could decline substantially. We have used, and will continue to use, the proceeds of public offerings of securities and of our credit facility in accordance with our investment objectives.</w:t>
      </w:r>
    </w:p>
    <w:p>
      <w:pPr>
        <w:spacing w:after="0" w:line="182" w:lineRule="exact"/>
        <w:rPr>
          <w:sz w:val="20"/>
          <w:szCs w:val="20"/>
          <w:color w:val="auto"/>
        </w:rPr>
      </w:pPr>
    </w:p>
    <w:p>
      <w:pPr>
        <w:ind w:right="40"/>
        <w:spacing w:after="0" w:line="361" w:lineRule="auto"/>
        <w:rPr>
          <w:sz w:val="20"/>
          <w:szCs w:val="20"/>
          <w:color w:val="auto"/>
        </w:rPr>
      </w:pPr>
      <w:r>
        <w:rPr>
          <w:rFonts w:ascii="Arial" w:cs="Arial" w:eastAsia="Arial" w:hAnsi="Arial"/>
          <w:sz w:val="15"/>
          <w:szCs w:val="15"/>
          <w:b w:val="1"/>
          <w:bCs w:val="1"/>
          <w:color w:val="auto"/>
        </w:rPr>
        <w:t>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ind w:right="60" w:firstLine="456"/>
        <w:spacing w:after="0" w:line="291" w:lineRule="auto"/>
        <w:rPr>
          <w:sz w:val="20"/>
          <w:szCs w:val="20"/>
          <w:color w:val="auto"/>
        </w:rPr>
      </w:pPr>
      <w:r>
        <w:rPr>
          <w:rFonts w:ascii="Arial" w:cs="Arial" w:eastAsia="Arial" w:hAnsi="Arial"/>
          <w:sz w:val="16"/>
          <w:szCs w:val="16"/>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Mr. Penn and other managers of our Investment Adviser evaluate, negotiate, structure, close and monitor our investments. Our future success depends on the continued service of Mr. Penn and other management personnel of our Investment Adviser. The departure of Mr. Penn or any other managers of PennantPark Investment Advisers could have a material adverse effect on our ability to achieve our investment objectives. In addition, we can offer no assurance that PennantPark Investment Advisers will remain our Investment Adviser.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make long-term, subordinated loans and invest in equity securities,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its secured assets. This could trigger cross 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negative effect on our financial results.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will depend on our ability to manage future growth effectively.</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Our ability to achieve our investment objectives will depend on our ability to grow, which will depend, in turn, on our Investment Adviser’s ability to identify, invest in and monitor companies that meet our investment criteria. Accomplishing this result on a cost-effective basis will be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we and our Investment Adviser will need to hire, train, supervise and manage new employees. However, we can offer no assurance that any such employees will contribute effectively to the work of the Investment Adviser. We caution you that the Investment Adviser may also be called upon to provide managerial assistance to portfolio companies as the principals of our Administrator and other investment vehicles which may be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business development companies, commercial and investment banks, commercial financing companies,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Most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Entrants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73"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PennantPark Investment may not replicate the historical performance of other investment companies with which Mr. Penn and our other investment professionals have been affiliated.</w:t>
      </w:r>
    </w:p>
    <w:p>
      <w:pPr>
        <w:spacing w:after="0" w:line="45"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1940 Act imposes numerous constraints on the investment activities of business development companies. For example, business development companies are required to invest at least 70% of their total assets primarily in securities of U.S. private companies or thinly traded public companies with a market capitalization of less than $250 million, cash, cash equivalents, U.S. government securities and high-quality debt investments that mature in one year or less. These constraints may hinder our Investment Adviser’s ability to take advantage of attractive investment opportunities and to achieve our investment objectives. Mr. Penn, our Chief Executive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Officer and the Managing Member of our Investment Adviser, has had more than two years of experience managing the investments of PennantPark Investment and approximately three years of experience managing another business development company. However, current market conditions and the depressed economic cycle present significant challenges to us that have not been present in recent years, if ever. In addition, the investment philosophy and techniques used by our Investment Adviser may differ from those used by other investment companies. Accordingly, we can offer no assurance that PennantPark Investment will replicate the historical performance of other investment companies with which Mr. Penn and our other investment professionals have been affiliated, and we caution that our investment returns could be substantially lower than the returns achieved by such other companies.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9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If we do not remain a business development company, we might be regulated as a closed-end investment company under the 1940 Act, which would subject us to substantially more regulatory restrictions under the 1940 Act and correspondingly decrease our operating flexibility.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RIC tax treatment would substantially reduce net assets and income available for debt service and dividends.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operated so as to qualify as a RIC under Subchapter M of the Code. If we meet source of income,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and distributions to our stockholders. Even if we qualify as a RIC, we generally will be subject to a corporate-level income tax on the income we do not distribute. If we do not distribute at least 98% of our annual taxable income (excluding net long-term capital gains retained or deemed to be distributed) in the year earned, we generally will be required to pay an excise tax on amounts carried over and distributed to shareholders in the next year equal to 4% of the amount by which 98% of our annual taxable income available for distribution exceeds the distributions from such income for the current year.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if we recognize income before or without receiving cash representing such income.</w:t>
      </w:r>
    </w:p>
    <w:p>
      <w:pPr>
        <w:spacing w:after="0" w:line="11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For federal income tax purposes, we will include in income certain amounts that we have not yet received in cash, such as original issue discount or contracted payment-in-kind, or “PIK,” interest, which represents contractual interest added to the loan balance and due at the end of the loan term. Such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some cases we may recognize income before or without receiving cash representing such income. As a result, we may have difficulty meeting the tax requirement to distribute at least 90% of our ordinary income and realized net short-term capital gains in excess of realized net long-term capital losses, if any, to obtain RIC tax</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benefits. Accordingly, we may have to sell some of our investments at times we would not consider advantageous, raise additional debt or equity capital or reduce new investment originations to meet these distribution requirements. If we are not able to obtain cash from other sources, we may fail to qualify for RIC tax benefits and thus be subject to corporate level income tax.</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governing our operation as a business development company will affect our ability to, and the way in which we, raise additional capital.</w:t>
      </w:r>
    </w:p>
    <w:p>
      <w:pPr>
        <w:spacing w:after="0" w:line="11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39" w:lineRule="exact"/>
        <w:rPr>
          <w:sz w:val="20"/>
          <w:szCs w:val="20"/>
          <w:color w:val="auto"/>
        </w:rPr>
      </w:pPr>
    </w:p>
    <w:p>
      <w:pPr>
        <w:ind w:left="900" w:right="140" w:hanging="325"/>
        <w:spacing w:after="0" w:line="294"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Senior Securities. </w:t>
      </w:r>
      <w:r>
        <w:rPr>
          <w:rFonts w:ascii="Arial" w:cs="Arial" w:eastAsia="Arial" w:hAnsi="Arial"/>
          <w:sz w:val="16"/>
          <w:szCs w:val="16"/>
          <w:color w:val="auto"/>
        </w:rPr>
        <w:t>As a result of issuing senior securities, we would also be exposed to typical risks associated with leverage, including an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w:t>
      </w:r>
    </w:p>
    <w:p>
      <w:pPr>
        <w:spacing w:after="0" w:line="34" w:lineRule="exact"/>
        <w:rPr>
          <w:rFonts w:ascii="Arial" w:cs="Arial" w:eastAsia="Arial" w:hAnsi="Arial"/>
          <w:sz w:val="16"/>
          <w:szCs w:val="16"/>
          <w:color w:val="auto"/>
        </w:rPr>
      </w:pPr>
    </w:p>
    <w:p>
      <w:pPr>
        <w:ind w:left="900" w:right="40" w:hanging="325"/>
        <w:spacing w:after="0" w:line="286"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securities. As a business development company, we are generally not able to issue our common stock at a price below net asset value without first obtaining required approvals from our stockholders and our board of directors. We may, however, subject to the requirements of the 1940 Act,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a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39" w:lineRule="exact"/>
        <w:rPr>
          <w:rFonts w:ascii="Arial" w:cs="Arial" w:eastAsia="Arial" w:hAnsi="Arial"/>
          <w:sz w:val="16"/>
          <w:szCs w:val="16"/>
          <w:color w:val="auto"/>
        </w:rPr>
      </w:pPr>
    </w:p>
    <w:p>
      <w:pPr>
        <w:ind w:left="900" w:right="240" w:hanging="325"/>
        <w:spacing w:after="0" w:line="29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permit, we</w:t>
      </w:r>
      <w:r>
        <w:rPr>
          <w:rFonts w:ascii="Arial" w:cs="Arial" w:eastAsia="Arial" w:hAnsi="Arial"/>
          <w:sz w:val="16"/>
          <w:szCs w:val="16"/>
          <w:i w:val="1"/>
          <w:iCs w:val="1"/>
          <w:color w:val="auto"/>
        </w:rPr>
        <w:t xml:space="preserve"> </w:t>
      </w:r>
      <w:r>
        <w:rPr>
          <w:rFonts w:ascii="Arial" w:cs="Arial" w:eastAsia="Arial" w:hAnsi="Arial"/>
          <w:sz w:val="16"/>
          <w:szCs w:val="16"/>
          <w:color w:val="auto"/>
        </w:rPr>
        <w:t>may securitize our loans to generate cash for funding new investments. To securitize loans, we may create a wholly owned subsidiary, contribute a pool of loans to the subsidiary and have the subsidiary issue primarily investment grade debt securities to purchasers who we would expect to be willing to accept a substantially lower interest rate than the loans earn. We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312" w:lineRule="auto"/>
        <w:rPr>
          <w:sz w:val="20"/>
          <w:szCs w:val="20"/>
          <w:color w:val="auto"/>
        </w:rPr>
      </w:pPr>
      <w:r>
        <w:rPr>
          <w:rFonts w:ascii="Arial" w:cs="Arial" w:eastAsia="Arial" w:hAnsi="Arial"/>
          <w:sz w:val="15"/>
          <w:szCs w:val="15"/>
          <w:color w:val="auto"/>
        </w:rPr>
        <w:t>would retain all or a portion of the equity in the securitized pool of loans.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would not treat the debt issued by such a subsidiary as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use borrowed funds to make investments and are exposed to the typical risks associated with leverage.</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Because we borrow funds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at least 200%, and any amounts that we use to service our indebtedness are not available for distribution to our common stockholders.</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Our current and future debt is governed by the terms of our credit facility and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82"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Market conditions may make it difficult to extend the maturity of or refinance our existing indebtedness and any failure to do so could have a material adverse effect on our business.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utilize a revolving five-year, $300 million credit facility to make investments in our portfolio companies. Our credit facility expires in June</w:t>
      </w:r>
    </w:p>
    <w:p>
      <w:pPr>
        <w:spacing w:after="0" w:line="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2012. The life of our investments typically exceeds the duration of our indebtedness under our credit facility. This means that we will have to extend the maturity of our credit facility or refinance our indebtedness under our credit facility in order to continue to maintain control over our portfolio assets. If we fail to refinance the indebtedness outstanding under our credit facility at the time it becomes due and payable, the administrative agent of the credit facility may elect to exercise various remedies, including the sale of all or a portion of the collateral securing the credit facility, subject to certain restrictions. The illiquidity of our investments may make it difficult for us to sell such investments. If we are required to sell our investments on short-term notice, we may not receive the value that we have recorded for such investments, and this could materially damage our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indebtedness outstanding pursuant to our credit facility and expect in the future to borrow additional amounts under our credit facility and, subject to market availability, to increase the size of our credit facility. Lenders have fixed dollar claims on our assets that are superior to the claims of our common stockholders or preferred stockholders, if any, and we have granted a security interest in our assets in connection with our credit facility borrowings. In the case of a liquidation event, those lenders would receive proceeds before our stockholders. In addition, borrowings, also known as leverage, magnify the potential for gain or loss on amounts invested and, therefore, increase the risks associated with investing in our securities. Leverage is generally considered a speculative investment technique. If the value of our assets decreases, leveraging would cause the net asset value attributable to our common stock to decline more than it otherwise would have had we not leveraged. Similarly, any decrease in our revenue would cause our net income to decline more than it would have had we not borrowed funds and could negatively affect our ability to make distributions on our common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preferred stock. Our ability to service any debt that we incur depends largely on our financial performance and is subject to prevailing economic conditions and competitive pressures.</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As of June 30, 2009 we had outstanding borrowings of $187.3 million under our credit facility with an annual interest rate at that time of 1.31%. Accordingly, to cover the annual interest on our borrowings outstanding at June 30, 2009 at the then current rate we would have to receive an annual return of at least 0.6%. This example is for illustrative purposes only, and actual interest rates on our credit facility borrowings are likely to fluctuate. The costs associated with our borrowings, including any increase in the management fee payable to our Investment Adviser, will be borne by our common stockholders.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a business development company, we generally are required to meet a coverage ratio of total assets to total borrowings and other senior securities, which include all of our borrowings and any preferred stock we may issue in the future, of at least 200%. If this ratio declines below 200%, we may not be able to incur additional debt and may need to sell a portion of our investments to repay some debt when it is disadvantageous to do so, and we may not be able to make distributions.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table is designed to illustrate the effect on return to a holder of our common stock of the leverage created by our use of borrowing at June 30, 2009 of 33% of our total assets (including such borrowed funds), at the weighted average annual interest rate of 1.31% and assuming hypothetical annual returns on our portfolio of minus 10 to plus 10 percent.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1"/>
                <w:szCs w:val="11"/>
                <w:color w:val="auto"/>
              </w:rPr>
              <w:t>(1)</w:t>
            </w:r>
          </w:p>
        </w:tc>
        <w:tc>
          <w:tcPr>
            <w:tcW w:w="2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8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2700" w:type="dxa"/>
            <w:vAlign w:val="bottom"/>
          </w:tcPr>
          <w:p>
            <w:pPr>
              <w:jc w:val="right"/>
              <w:ind w:right="132"/>
              <w:spacing w:after="0"/>
              <w:rPr>
                <w:sz w:val="20"/>
                <w:szCs w:val="20"/>
                <w:color w:val="auto"/>
              </w:rPr>
            </w:pPr>
            <w:r>
              <w:rPr>
                <w:rFonts w:ascii="Arial" w:cs="Arial" w:eastAsia="Arial" w:hAnsi="Arial"/>
                <w:sz w:val="18"/>
                <w:szCs w:val="18"/>
                <w:color w:val="auto"/>
              </w:rPr>
              <w:t>-17.2%</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-9.1%</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7.1%</w:t>
            </w:r>
          </w:p>
        </w:tc>
        <w:tc>
          <w:tcPr>
            <w:tcW w:w="740" w:type="dxa"/>
            <w:vAlign w:val="bottom"/>
          </w:tcPr>
          <w:p>
            <w:pPr>
              <w:jc w:val="right"/>
              <w:spacing w:after="0"/>
              <w:rPr>
                <w:sz w:val="20"/>
                <w:szCs w:val="20"/>
                <w:color w:val="auto"/>
              </w:rPr>
            </w:pPr>
            <w:r>
              <w:rPr>
                <w:rFonts w:ascii="Arial" w:cs="Arial" w:eastAsia="Arial" w:hAnsi="Arial"/>
                <w:sz w:val="18"/>
                <w:szCs w:val="18"/>
                <w:color w:val="auto"/>
              </w:rPr>
              <w:t>15.2%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assumed portfolio return is required by regulation of the SEC and is not a prediction of, and does not represent, our projected or actual performance.</w:t>
      </w:r>
    </w:p>
    <w:p>
      <w:pPr>
        <w:spacing w:after="0" w:line="99" w:lineRule="exact"/>
        <w:rPr>
          <w:rFonts w:ascii="Arial" w:cs="Arial" w:eastAsia="Arial" w:hAnsi="Arial"/>
          <w:sz w:val="16"/>
          <w:szCs w:val="16"/>
          <w:color w:val="auto"/>
        </w:rPr>
      </w:pPr>
    </w:p>
    <w:p>
      <w:pPr>
        <w:jc w:val="both"/>
        <w:ind w:left="460" w:right="60" w:hanging="452"/>
        <w:spacing w:after="0" w:line="298"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1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table also assumes that we will maintain a constant level of leverage. The amount of leverage that we use will vary from time to time.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interest rates may affect our cost of capital and net investment income.</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25, 2007, when we executed our credit facility, through June 30, 2009, the applicable LIBOR rate has decreased from 5.32% to 0.31%. In periods of rising interest rates, our cost of funds will increase, which could reduce our net investment income. We may use interest rate risk management techniques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Conditions and Results of Operations—Quantitative and Qualitative Disclosures about Market Risk.”</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 For a definition of Pre-Incentive Fee Net Investment Income, see “Certain Relationships and Transactions—Investment Management Agreement” in this prospectus.</w:t>
      </w:r>
    </w:p>
    <w:p>
      <w:pPr>
        <w:spacing w:after="0" w:line="188"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45"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93"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an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preferred stock and/or debt securities, the net asset value and market value of our common stock may become more volatile.</w:t>
      </w:r>
    </w:p>
    <w:p>
      <w:pPr>
        <w:spacing w:after="0" w:line="11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2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There is also a risk that, in the event of a sharp decline in the value of our net assets, we would be in danger of failing to maintain required asset coverage ratios which may be required by the preferred stock and/or debt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securities or of a downgrade in the ratings of the preferred stock and/or debt securities or our current investment income might not be sufficient to meet the dividend requirements on the preferred stock or the interest payments on the debt securities. In order to counteract such an event, we might need to liquidate investments in order to fund a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19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Holders of any preferred stock that we may issue will have the right to elect members of the board of directors and have class voting rights on certain matters.</w:t>
      </w:r>
    </w:p>
    <w:p>
      <w:pPr>
        <w:spacing w:after="0" w:line="45"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market or market value of any publicly issued debt securities may be volatile.</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we publicly issue debt securities, they may or may not have an established trading market. We cannot assure investors that a trading market for our publicly issued debt securities would develop or be maintained if developed. In addition to our creditworthiness, many factors may materially adversely affect the trading market for, and market value of, our publicly issued debt securities. These factors include the following:</w:t>
      </w:r>
    </w:p>
    <w:p>
      <w:pPr>
        <w:spacing w:after="0" w:line="2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redemption or repayment features, if any,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There also may be a limited number of buyers for our debt securities. This too may materially adversely affect the market value of the debt securities or the trading market for the debt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credit ratings may not reflect all risks of an investment in debt securities.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credit ratings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relating to redemption may materially adversely affect the return on any debt securities.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60"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b w:val="1"/>
          <w:bCs w:val="1"/>
          <w:color w:val="auto"/>
        </w:rPr>
        <w:t>We have obtained, and in the future we may again obtain, the approval of our stockholders to issue shares of our common stock at prices below the then current net asset value per share of our common stock. Any such issuance could materially dilute your interest in our common stock and reduce our net asset value per share.</w:t>
      </w:r>
    </w:p>
    <w:p>
      <w:pPr>
        <w:spacing w:after="0" w:line="5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August 25, 2009 our stockholders approved a proposal that authorizes us to sell shares of our common stock below the then current net asset value per share of our common stock in one or more offerings for a period of 12 months. This proposal would allow us to access the capital markets in a way that we were previously unable to as a result of restrictions that, absent stockholder approval, apply to business development company under the 1940 Act. Any decision to sell shares of our common stock below the then current net asset value per share of our common stock in one or more offerings is subject to the determination by our board of directors that such issuance and sale is in our and our stockholders’ best interests.</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Any sale or other issuance of shares of our common stock at a price below net asset value per share would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w:t>
      </w:r>
    </w:p>
    <w:p>
      <w:pPr>
        <w:spacing w:after="0" w:line="10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Because the number of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 and we undertake to describe all the material risks and dilutive effects of any offering that we make at a price below our then current net asset value in the future in a prospectus supplement issued in connection with any such offering.</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subscription rights or warrants for our common stock, your interest in us may be diluted as a result of such rights or warrants offering.</w:t>
      </w:r>
    </w:p>
    <w:p>
      <w:pPr>
        <w:spacing w:after="0" w:line="119"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the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addition, if the subscription price or warrant price is less than our net asset value per share of common stock at the time of such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price or net asset value per share will be on the expiration date of such rights offering or what proportion of our common stock will be purchased as a result of any such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exposed to risks associated with changes in interest rates.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including subordinated loans, senior and junior secured and unsecured debt securities and loans and high-yield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bonds,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need to raise additional capital to grow because we must distribute most of our income.</w:t>
      </w:r>
    </w:p>
    <w:p>
      <w:pPr>
        <w:spacing w:after="0" w:line="96" w:lineRule="exact"/>
        <w:rPr>
          <w:sz w:val="20"/>
          <w:szCs w:val="20"/>
          <w:color w:val="auto"/>
        </w:rPr>
      </w:pPr>
    </w:p>
    <w:p>
      <w:pPr>
        <w:jc w:val="both"/>
        <w:ind w:right="200" w:firstLine="456"/>
        <w:spacing w:after="0" w:line="255" w:lineRule="auto"/>
        <w:rPr>
          <w:sz w:val="20"/>
          <w:szCs w:val="20"/>
          <w:color w:val="auto"/>
        </w:rPr>
      </w:pPr>
      <w:r>
        <w:rPr>
          <w:rFonts w:ascii="Arial" w:cs="Arial" w:eastAsia="Arial" w:hAnsi="Arial"/>
          <w:sz w:val="18"/>
          <w:szCs w:val="18"/>
          <w:color w:val="auto"/>
        </w:rPr>
        <w:t>We may need additional capital to fund the growth of our investments. We have issued equity securities and have borrowed from financial institutions. A reduction in the availability of new capital could limit our ability to grow. We will be required to distribute at least 90% of our ordinary income and realized net short-term capital gains in excess of realized net long-term capital losses, if any, to our stockholders to maintain our RIC status. As a result, these earnings will not be available to fund new investments. If we fail to obtain additional capital to fund our investments, this could limit our ability to grow, which may have an adverse effect on the value of our securities.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as a business development company, we are generally required to maintain a ratio of total assets to total borrowings of at least 200%. This may restrict our ability to borrow in certain circumstances.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net asset value. Further increases of the fair value of our debt will have the opposite effect. This will tend to mitigate volatility in our earnings. As a result of these factors, results for any period should not be relied upon as being indicative of performance in future periods.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partners of our Investment Adviser may serve as officers, directors or principals of entities that operate in the same or a related line of business as we do or of investment funds managed by affiliates of PennantPark Investment that may be formed in the future. The Investment Adviser has not yet undertaken any such services, but may do so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w:t>
      </w:r>
    </w:p>
    <w:p>
      <w:pPr>
        <w:spacing w:after="0" w:line="1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entered into a license agreement (the “License Agreement”) with PennantPark Investment Advisers, pursuant to which our Investment Adviser has agreed to grant us a royalty-free non-exclusive license to use the name “PennantPark.” Under the License Agreement, we will have the right to use the “PennantPark” name for so long as the Investment Adviser or one of its affiliates remains our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our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96"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119"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We invest in illiquid assets, and our valuation procedures with respect to such assets may result in our recording values that are materially different than the values we ultimately receive upon disposition of such assets.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All of our investments are recorded using broker/dealers quotes, or at fair value as determined in good faith by our board of directors. We expect that most, if not all, of our investments (other than cash and cash equivalents) and credit facility borrowings will be classified as Level 3 under Statement of Financial Accounting Standards, or SFAS, 157, </w:t>
      </w:r>
      <w:r>
        <w:rPr>
          <w:rFonts w:ascii="Arial" w:cs="Arial" w:eastAsia="Arial" w:hAnsi="Arial"/>
          <w:sz w:val="16"/>
          <w:szCs w:val="16"/>
          <w:i w:val="1"/>
          <w:iCs w:val="1"/>
          <w:color w:val="auto"/>
        </w:rPr>
        <w:t>Fair Value Measurement</w:t>
      </w:r>
      <w:r>
        <w:rPr>
          <w:rFonts w:ascii="Arial" w:cs="Arial" w:eastAsia="Arial" w:hAnsi="Arial"/>
          <w:sz w:val="16"/>
          <w:szCs w:val="16"/>
          <w:color w:val="auto"/>
        </w:rPr>
        <w:t>, or collectively SFAS 157. This means that our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materially reduces the reliability of such information.</w:t>
      </w:r>
    </w:p>
    <w:p>
      <w:pPr>
        <w:spacing w:after="0" w:line="118"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4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adjust quarterly the valuation of our portfolio to reflect our board of directors’ determination of the fair value of each investment in our portfolio. Any changes in fair value are recorded in our statement of operations as net change in unrealized appreciation or depreciation.</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At June 30, 2009, most of our portfolio assets were recorded at fair value as determined in good faith by our board of directors. As we invest a greater percentage of our total assets in core assets, more of our portfolio assets will be recorded at fair value as determined in good faith by our board of directors. Our board of directors uses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values that would have been used if a ready market for these securities existed.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9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We may acquire our core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recapitalization, or initial public offering of the company, but we are not required to do so.</w:t>
      </w:r>
    </w:p>
    <w:p>
      <w:pPr>
        <w:spacing w:after="0" w:line="10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illiquidity of our investments may make it difficult or impossible for us to sell such investments if the need arises, particularly in light of current market developments in which investor appetite for illiquid securities has substantially diminished. In addition, if we are required to liquidate all or a portion of our portfolio quickly, we may realize significantly less than the value at which we have previously recorded our investments. In addition, we may face other restrictions on our ability to liquidate an investment in a portfolio company to the extent that we have material non-public information regarding such portfolio company.</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disruption in the credit markets could materially damage our business.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liability maturities. Our borrowings under our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business development company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United States dollar, a sharp economic downturn or an operational problem that affects third parties or us, and could materially damage our business.</w:t>
      </w:r>
    </w:p>
    <w:p>
      <w:pPr>
        <w:spacing w:after="0" w:line="218"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We rely in part on our senior secured securities to provide us with adequate liquidity, but even these securities face liquidity constraints under current market conditions.</w:t>
      </w:r>
    </w:p>
    <w:p>
      <w:pPr>
        <w:spacing w:after="0" w:line="4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market for senior secured debt securities and other over-the-counter traded securities has weakened as the viability of any over-the-counter secondary market depends on the continued willingness of dealers and other participants to purchase the securities. This demand has slackened under current market conditions.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invest primarily in mezzanine debt, senior secured loans and selected equity investments issued by U.S. middle-market companies.</w:t>
      </w:r>
    </w:p>
    <w:p>
      <w:pPr>
        <w:spacing w:after="0" w:line="19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Mezzanine Debt: </w:t>
      </w:r>
      <w:r>
        <w:rPr>
          <w:rFonts w:ascii="Arial" w:cs="Arial" w:eastAsia="Arial" w:hAnsi="Arial"/>
          <w:sz w:val="16"/>
          <w:szCs w:val="16"/>
          <w:color w:val="auto"/>
        </w:rPr>
        <w:t>Our mezzanine debt investments will generally be subordinated to senior secured loans and will generally be unsecured. This may result</w:t>
      </w:r>
      <w:r>
        <w:rPr>
          <w:rFonts w:ascii="Arial" w:cs="Arial" w:eastAsia="Arial" w:hAnsi="Arial"/>
          <w:sz w:val="16"/>
          <w:szCs w:val="16"/>
          <w:i w:val="1"/>
          <w:iCs w:val="1"/>
          <w:color w:val="auto"/>
        </w:rPr>
        <w:t xml:space="preserve"> </w:t>
      </w:r>
      <w:r>
        <w:rPr>
          <w:rFonts w:ascii="Arial" w:cs="Arial" w:eastAsia="Arial" w:hAnsi="Arial"/>
          <w:sz w:val="16"/>
          <w:szCs w:val="16"/>
          <w:color w:val="auto"/>
        </w:rPr>
        <w:t>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cash prior to the maturity of some of our mezzanine debt investments, such investments may be of greater risk than cash paying loans.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Senior Secured Loans: </w:t>
      </w:r>
      <w:r>
        <w:rPr>
          <w:rFonts w:ascii="Arial" w:cs="Arial" w:eastAsia="Arial" w:hAnsi="Arial"/>
          <w:sz w:val="16"/>
          <w:szCs w:val="16"/>
          <w:color w:val="auto"/>
        </w:rPr>
        <w:t>When we extend senior secured loans, we will generally take a security interest in the available assets of these portfolio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18" w:lineRule="exact"/>
        <w:rPr>
          <w:sz w:val="20"/>
          <w:szCs w:val="20"/>
          <w:color w:val="auto"/>
        </w:rPr>
      </w:pPr>
    </w:p>
    <w:p>
      <w:pPr>
        <w:jc w:val="both"/>
        <w:ind w:right="240" w:firstLine="456"/>
        <w:spacing w:after="0" w:line="303" w:lineRule="auto"/>
        <w:rPr>
          <w:sz w:val="20"/>
          <w:szCs w:val="20"/>
          <w:color w:val="auto"/>
        </w:rPr>
      </w:pPr>
      <w:r>
        <w:rPr>
          <w:rFonts w:ascii="Arial" w:cs="Arial" w:eastAsia="Arial" w:hAnsi="Arial"/>
          <w:sz w:val="15"/>
          <w:szCs w:val="15"/>
          <w:i w:val="1"/>
          <w:iCs w:val="1"/>
          <w:color w:val="auto"/>
        </w:rPr>
        <w:t xml:space="preserve">Equity Investments: </w:t>
      </w:r>
      <w:r>
        <w:rPr>
          <w:rFonts w:ascii="Arial" w:cs="Arial" w:eastAsia="Arial" w:hAnsi="Arial"/>
          <w:sz w:val="15"/>
          <w:szCs w:val="15"/>
          <w:color w:val="auto"/>
        </w:rPr>
        <w:t>We have made and expect to continue to make selected equity investments. In addition, when we invest in senior secured loans or</w:t>
      </w:r>
      <w:r>
        <w:rPr>
          <w:rFonts w:ascii="Arial" w:cs="Arial" w:eastAsia="Arial" w:hAnsi="Arial"/>
          <w:sz w:val="15"/>
          <w:szCs w:val="15"/>
          <w:i w:val="1"/>
          <w:iCs w:val="1"/>
          <w:color w:val="auto"/>
        </w:rPr>
        <w:t xml:space="preserve"> </w:t>
      </w:r>
      <w:r>
        <w:rPr>
          <w:rFonts w:ascii="Arial" w:cs="Arial" w:eastAsia="Arial" w:hAnsi="Arial"/>
          <w:sz w:val="15"/>
          <w:szCs w:val="15"/>
          <w:color w:val="auto"/>
        </w:rPr>
        <w:t>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Accordingly, we may not be able to realize gains from our equity investments, and any gains that we do realize on the disposition of any equity investments may not be sufficient to offset any other losses we experience.</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90" w:lineRule="exact"/>
        <w:rPr>
          <w:sz w:val="20"/>
          <w:szCs w:val="20"/>
          <w:color w:val="auto"/>
        </w:rPr>
      </w:pPr>
    </w:p>
    <w:p>
      <w:pPr>
        <w:jc w:val="both"/>
        <w:ind w:left="900" w:right="26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22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 w:lineRule="exact"/>
        <w:rPr>
          <w:rFonts w:ascii="Arial" w:cs="Arial" w:eastAsia="Arial" w:hAnsi="Arial"/>
          <w:sz w:val="16"/>
          <w:szCs w:val="16"/>
          <w:color w:val="auto"/>
        </w:rPr>
      </w:pPr>
    </w:p>
    <w:p>
      <w:pPr>
        <w:ind w:left="900" w:right="44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right="120" w:hanging="325"/>
        <w:spacing w:after="0" w:line="370"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60"/>
        <w:spacing w:after="0" w:line="332" w:lineRule="auto"/>
        <w:rPr>
          <w:sz w:val="20"/>
          <w:szCs w:val="20"/>
          <w:color w:val="auto"/>
        </w:rPr>
      </w:pPr>
      <w:r>
        <w:rPr>
          <w:rFonts w:ascii="Arial" w:cs="Arial" w:eastAsia="Arial" w:hAnsi="Arial"/>
          <w:sz w:val="16"/>
          <w:szCs w:val="16"/>
          <w:color w:val="auto"/>
        </w:rPr>
        <w:t>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18" w:lineRule="exact"/>
        <w:rPr>
          <w:sz w:val="20"/>
          <w:szCs w:val="20"/>
          <w:color w:val="auto"/>
        </w:rPr>
      </w:pPr>
    </w:p>
    <w:p>
      <w:pPr>
        <w:ind w:left="9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07" w:lineRule="exact"/>
        <w:rPr>
          <w:sz w:val="20"/>
          <w:szCs w:val="20"/>
          <w:color w:val="auto"/>
        </w:rPr>
      </w:pPr>
    </w:p>
    <w:p>
      <w:pPr>
        <w:ind w:right="260"/>
        <w:spacing w:after="0" w:line="361" w:lineRule="auto"/>
        <w:rPr>
          <w:sz w:val="20"/>
          <w:szCs w:val="20"/>
          <w:color w:val="auto"/>
        </w:rPr>
      </w:pPr>
      <w:r>
        <w:rPr>
          <w:rFonts w:ascii="Arial" w:cs="Arial" w:eastAsia="Arial" w:hAnsi="Arial"/>
          <w:sz w:val="15"/>
          <w:szCs w:val="15"/>
          <w:b w:val="1"/>
          <w:bCs w:val="1"/>
          <w:color w:val="auto"/>
        </w:rPr>
        <w:t>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ind w:firstLine="456"/>
        <w:spacing w:after="0" w:line="294" w:lineRule="auto"/>
        <w:rPr>
          <w:sz w:val="20"/>
          <w:szCs w:val="20"/>
          <w:color w:val="auto"/>
        </w:rPr>
      </w:pPr>
      <w:r>
        <w:rPr>
          <w:rFonts w:ascii="Arial" w:cs="Arial" w:eastAsia="Arial" w:hAnsi="Arial"/>
          <w:sz w:val="16"/>
          <w:szCs w:val="16"/>
          <w:color w:val="auto"/>
        </w:rPr>
        <w:t>As a business development company,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items, government securities and high quality debt securities maturing in one year or less from the time of investment. See “Regulation” in this prospectus for a complete list of the qualifying assets in which we may invest.</w:t>
      </w:r>
    </w:p>
    <w:p>
      <w:pPr>
        <w:spacing w:after="0" w:line="1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believe that most of our senior secured loans and mezzanine debt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3" w:lineRule="exact"/>
        <w:rPr>
          <w:sz w:val="20"/>
          <w:szCs w:val="20"/>
          <w:color w:val="auto"/>
        </w:rPr>
      </w:pPr>
    </w:p>
    <w:p>
      <w:pPr>
        <w:ind w:right="140"/>
        <w:spacing w:after="0" w:line="361" w:lineRule="auto"/>
        <w:rPr>
          <w:sz w:val="20"/>
          <w:szCs w:val="20"/>
          <w:color w:val="auto"/>
        </w:rPr>
      </w:pPr>
      <w:r>
        <w:rPr>
          <w:rFonts w:ascii="Arial" w:cs="Arial" w:eastAsia="Arial" w:hAnsi="Arial"/>
          <w:sz w:val="15"/>
          <w:szCs w:val="15"/>
          <w:b w:val="1"/>
          <w:bCs w:val="1"/>
          <w:color w:val="auto"/>
        </w:rPr>
        <w:t>We are a non-diversified investment company within the meaning of the 1940 Act. The 1940 Act does not limit the proportion of our assets that may be invested in securities of a single issuer, although we are required to diversify our assets in order to meet the requirements for a RIC under the Code.</w:t>
      </w:r>
    </w:p>
    <w:p>
      <w:pPr>
        <w:ind w:right="100" w:firstLine="456"/>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stakeholdings in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As a RIC, we are required to diversify our assets, but we do not have any fixed guidelines for diversification under the 1940 Act.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in a prolonged recession. 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even though we may have structured our investment as senior secured loans.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impair the value of our portfolio.</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 We may elect not to make follow-on investments or otherwise lack sufficient funds to make those investments.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the discretion to make any follow-on investments, subject to the availability of capital resources.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w:t>
      </w:r>
    </w:p>
    <w:p>
      <w:pPr>
        <w:spacing w:after="0" w:line="191" w:lineRule="exact"/>
        <w:rPr>
          <w:sz w:val="20"/>
          <w:szCs w:val="20"/>
          <w:color w:val="auto"/>
        </w:rPr>
      </w:pPr>
    </w:p>
    <w:p>
      <w:pPr>
        <w:ind w:right="620"/>
        <w:spacing w:after="0" w:line="338" w:lineRule="auto"/>
        <w:rPr>
          <w:sz w:val="20"/>
          <w:szCs w:val="20"/>
          <w:color w:val="auto"/>
        </w:rPr>
      </w:pPr>
      <w:r>
        <w:rPr>
          <w:rFonts w:ascii="Arial" w:cs="Arial" w:eastAsia="Arial" w:hAnsi="Arial"/>
          <w:sz w:val="16"/>
          <w:szCs w:val="16"/>
          <w:b w:val="1"/>
          <w:bCs w:val="1"/>
          <w:color w:val="auto"/>
        </w:rPr>
        <w:t>Because we do not generally hold controlling equity interests in our portfolio companies, we may not be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Although we may do so in the future, we do not currently have controlling equity positions in our portfolio companies. As a result,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218"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presents certain challenges, including the lack of available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money on our investments. Also, privately held companies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frequently have less diverse product lines and smaller market presence than larger competitors. These factors could materially adversely affect our investment returns as compared to companies investing primarily in the securities of public companies.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We invest primarily in mezzanine debt, senior secured loans and equity investments issued by our portfolio companies. The portfolio companies usually will have, or may be permitted to incur, other debt that ranks equally with, or senior to, the debt securities in which we invest.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95"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We may make investments that cause our shareholders to bear investment advisory fees and other expenses on such investments in addition to our management fees and expenses.</w:t>
      </w:r>
    </w:p>
    <w:p>
      <w:pPr>
        <w:spacing w:after="0" w:line="45"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our Investment Adviser incentive compensation even if we incur a loss.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investment adviser is entitled to incentive compensation for each fiscal quarter in an amount equal to a percentage of the excess of our investment income for that quarter (before deducting incentive compensation, net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statement of operations for that quarter. Thus, we may be required to pay our manager incentive compensation for a fiscal quarter even if there is a decline in the value of our portfolio or we incur a net loss for that quarter.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debt securities may involve significant risks in addition to the risks inherent in U.S. investments.</w:t>
      </w:r>
    </w:p>
    <w:p>
      <w:pPr>
        <w:spacing w:after="0" w:line="96"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Investment or the removal of our directors. We are subject to the Maryland Business Combination Act, the application of which is subject to any applicable requirements of the 1940 Act. Our board of directors has adopted a resolution exempting us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common stock by any person. If we amend our bylaws to repeal the exemption from the Control Share Acquisition Act, the Control Share Acquisition Act also may make it more difficult for a third party to obtain control of us and increase the difficulty of consummating such an offer.</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also adopted other measures that may make it difficult for a third party to obtain control of us, including provisions of our charter classifying our board of directors in three classes serving staggered three-year terms, and provisions of our charter authorizing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business development company,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common stockholders may receive our stock as dividends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January 7, 2009,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before December 31, 2009 and (3) each shareholder may elect to receive his or her entire distribution in either cash or stock of the regulated investment company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w:t>
      </w:r>
    </w:p>
    <w:p>
      <w:pPr>
        <w:spacing w:after="0" w:line="11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If we distribute our common stock as a dividend of our taxable income, a shareholder could receive up to 90% of the amount of the dividend declared in shares of our common stock with the remaining amount in cash. The total dividend declared would be taxable income to a shareholder although he or she may only receive 10% of the dividend in cash to pay any taxes due on the dividend.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an offering in ways with which you may not agree.</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discounts from net asset value or at premiums that are unsustainable over the long term.</w:t>
      </w:r>
    </w:p>
    <w:p>
      <w:pPr>
        <w:spacing w:after="0" w:line="96" w:lineRule="exact"/>
        <w:rPr>
          <w:sz w:val="20"/>
          <w:szCs w:val="20"/>
          <w:color w:val="auto"/>
        </w:rPr>
      </w:pPr>
    </w:p>
    <w:p>
      <w:pPr>
        <w:jc w:val="both"/>
        <w:ind w:right="120" w:firstLine="456"/>
        <w:spacing w:after="0" w:line="294" w:lineRule="auto"/>
        <w:rPr>
          <w:sz w:val="20"/>
          <w:szCs w:val="20"/>
          <w:color w:val="auto"/>
        </w:rPr>
      </w:pPr>
      <w:r>
        <w:rPr>
          <w:rFonts w:ascii="Arial" w:cs="Arial" w:eastAsia="Arial" w:hAnsi="Arial"/>
          <w:sz w:val="16"/>
          <w:szCs w:val="16"/>
          <w:color w:val="auto"/>
        </w:rPr>
        <w:t>Shares of business development companies may trade at a market price that is less than the net asset value that is attributable to those shares. Our shares have traded above and below our NAV. Our shares traded on NASDAQ Global Select Market at $7.10 and $7.41 as of June 30, 2009 and September 30, 2008, respectively. Our NAV was $11.72 and $10.00, as of June 30, 2009 and September 30, 2008,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business development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loss of RIC status;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 including Mr. Penn;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prospectus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2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fluctuation in interest rates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71"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set forth in our preliminary prospectus entitled “Risk Factors” and elsewhere.</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based the forward-looking statements included in this prospectus on information available to us on the date of this prospectus ,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supplemental prospectus that we in the future may file with the Securities and Exchange Commission, or the SEC, including annual reports on Form 10-K, quarterly reports on Form 10-Q and current reports on Form 8-K.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expect to use the net proceeds from selling securities pursuant to this prospectus primarily to reduce outstanding obligations under our credit facility. We may also use such proceeds to invest in new or existing portfolio companies, or for other general corporate purposes. Any supplements to this prospectus relating to an offering will more fully identify the use of the proceeds from such offering.</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June 30, 2009, we had $112.7 million unused, subject to maintenance of the applicable total assets to debt ratio of 200%, and $187.3 million in borrowings outstanding under our $300 million credit facility. Borrowings under our credit facility bear an annual interest rate equal to LIBOR + 100 basis points, per annum. At June 30, 2009, this corresponded to an interest rate of 1.31%. The credit facility is a five-year revolving facility with a stated maturity date of June 25, 2012 and is secured by substantially all of the assets in our investment portfolio.</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intend to invest the proceeds from an offering of securities in new or existing portfolio companies, and such investments may take up to two years from the closing of such offering, in part because privately negotiated investments in illiquid securities or private middle-market companies require substantial due diligence and structuring. During this period, we would expect to use the net proceeds from our offering to reduce then-outstanding obligations under our credit facility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our core assets. As a result, any distributions we make during this investment period may be lower than the distributions that we would expect to pay when such proceeds are fully invested in core assets. The management fee payable by us will not be reduced while our assets are invested in any such securities. See “Regulation— Temporary Investments” for additional information about temporary investments we may make prior to investing in core assets.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derived the quarterly financial information below from our unaudited financial data and, in the opinion of management, such information reflects all adjustments (consisting of normal recurring adjustments) that are necessary to present fairly the results of such interim periods. Interim results as of and for the nine months ended June 30, 2009 are not necessarily indicative of the results that may be expected for the year ending September 30, 2009. The Statement of operations data, Per share data and Balance sheet data for the year ended September 30, 2008 and for the period from January 11, 2007 (Inception) through September 30, 2007 are derived from our financial statements which have been audited by KPMG LLP, our independent registered public accounting firm. This selected financial data should be read in conjunction with our financial statements and related notes thereto and “Management’s Discussion and Analysis of Financial Condition and Results of Operations” and “Regulation—Senior Securities” included elsewhere in this prospectus.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For the 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8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4"/>
              </w:rPr>
              <w:t>January 11, 2007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Nine months ended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w w:val="95"/>
              </w:rPr>
              <w:t>Year ended</w:t>
            </w:r>
          </w:p>
        </w:tc>
        <w:tc>
          <w:tcPr>
            <w:tcW w:w="460" w:type="dxa"/>
            <w:vAlign w:val="bottom"/>
          </w:tcPr>
          <w:p>
            <w:pPr>
              <w:spacing w:after="0"/>
              <w:rPr>
                <w:sz w:val="12"/>
                <w:szCs w:val="12"/>
                <w:color w:val="auto"/>
              </w:rPr>
            </w:pPr>
          </w:p>
        </w:tc>
        <w:tc>
          <w:tcPr>
            <w:tcW w:w="14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(Inception) through</w:t>
            </w:r>
          </w:p>
        </w:tc>
        <w:tc>
          <w:tcPr>
            <w:tcW w:w="0" w:type="dxa"/>
            <w:vAlign w:val="bottom"/>
          </w:tcPr>
          <w:p>
            <w:pPr>
              <w:spacing w:after="0"/>
              <w:rPr>
                <w:sz w:val="1"/>
                <w:szCs w:val="1"/>
                <w:color w:val="auto"/>
              </w:rPr>
            </w:pPr>
          </w:p>
        </w:tc>
      </w:tr>
      <w:tr>
        <w:trPr>
          <w:trHeight w:val="161"/>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120" w:type="dxa"/>
            <w:vAlign w:val="bottom"/>
          </w:tcPr>
          <w:p>
            <w:pPr>
              <w:spacing w:after="0"/>
              <w:rPr>
                <w:sz w:val="14"/>
                <w:szCs w:val="14"/>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7"/>
              </w:rPr>
              <w:t>June 30, 2009</w:t>
            </w:r>
          </w:p>
        </w:tc>
        <w:tc>
          <w:tcPr>
            <w:tcW w:w="480" w:type="dxa"/>
            <w:vAlign w:val="bottom"/>
          </w:tcPr>
          <w:p>
            <w:pPr>
              <w:spacing w:after="0"/>
              <w:rPr>
                <w:sz w:val="14"/>
                <w:szCs w:val="14"/>
                <w:color w:val="auto"/>
              </w:rPr>
            </w:pPr>
          </w:p>
        </w:tc>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September 30, 2008</w:t>
            </w:r>
          </w:p>
        </w:tc>
        <w:tc>
          <w:tcPr>
            <w:tcW w:w="46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2007</w:t>
            </w:r>
          </w:p>
        </w:tc>
        <w:tc>
          <w:tcPr>
            <w:tcW w:w="0" w:type="dxa"/>
            <w:vAlign w:val="bottom"/>
          </w:tcPr>
          <w:p>
            <w:pPr>
              <w:spacing w:after="0"/>
              <w:rPr>
                <w:sz w:val="1"/>
                <w:szCs w:val="1"/>
                <w:color w:val="auto"/>
              </w:rPr>
            </w:pPr>
          </w:p>
        </w:tc>
      </w:tr>
      <w:tr>
        <w:trPr>
          <w:trHeight w:val="142"/>
        </w:trPr>
        <w:tc>
          <w:tcPr>
            <w:tcW w:w="536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7"/>
              </w:rPr>
              <w:t>(Unaudited)</w:t>
            </w: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(Audited)</w:t>
            </w: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(Audited)</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33,271</w:t>
            </w:r>
          </w:p>
        </w:tc>
        <w:tc>
          <w:tcPr>
            <w:tcW w:w="620" w:type="dxa"/>
            <w:vAlign w:val="bottom"/>
          </w:tcPr>
          <w:p>
            <w:pPr>
              <w:spacing w:after="0"/>
              <w:rPr>
                <w:sz w:val="18"/>
                <w:szCs w:val="18"/>
                <w:color w:val="auto"/>
              </w:rPr>
            </w:pP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760"/>
              <w:spacing w:after="0"/>
              <w:rPr>
                <w:sz w:val="20"/>
                <w:szCs w:val="20"/>
                <w:color w:val="auto"/>
              </w:rPr>
            </w:pPr>
            <w:r>
              <w:rPr>
                <w:rFonts w:ascii="Arial" w:cs="Arial" w:eastAsia="Arial" w:hAnsi="Arial"/>
                <w:sz w:val="18"/>
                <w:szCs w:val="18"/>
                <w:color w:val="auto"/>
              </w:rPr>
              <w:t>39,811</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13,107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expenses before base management fee waiver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16,570</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21,676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expenses after base management fee waiver</w:t>
            </w:r>
            <w:r>
              <w:rPr>
                <w:rFonts w:ascii="Arial" w:cs="Arial" w:eastAsia="Arial" w:hAnsi="Arial"/>
                <w:sz w:val="11"/>
                <w:szCs w:val="11"/>
                <w:color w:val="auto"/>
              </w:rPr>
              <w:t>(1)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16,570</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8"/>
                <w:szCs w:val="18"/>
                <w:color w:val="auto"/>
              </w:rPr>
              <w:t>21,255</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5,803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16,701</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18,556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realized and unrealized loss</w:t>
            </w:r>
          </w:p>
        </w:tc>
        <w:tc>
          <w:tcPr>
            <w:tcW w:w="120" w:type="dxa"/>
            <w:vAlign w:val="bottom"/>
          </w:tcPr>
          <w:p>
            <w:pPr>
              <w:spacing w:after="0"/>
              <w:rPr>
                <w:sz w:val="18"/>
                <w:szCs w:val="18"/>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(7,078)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(59,259)</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(24,003)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net assets resulting from operations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(40,703)</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322"/>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Per share data:</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period end)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10.00</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0.79</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8"/>
                <w:szCs w:val="18"/>
                <w:color w:val="auto"/>
              </w:rPr>
              <w:t>0.88</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(0.34)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increase/(decrease) in net assets resulting from operations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0.45</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(1.93)</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0.90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401,103</w:t>
            </w: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419,811</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393,138</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8"/>
                <w:szCs w:val="18"/>
                <w:color w:val="auto"/>
              </w:rPr>
              <w:t>372,148</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291,017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134,058</w:t>
            </w:r>
            <w:r>
              <w:rPr>
                <w:rFonts w:ascii="Arial" w:cs="Arial" w:eastAsia="Arial" w:hAnsi="Arial"/>
                <w:sz w:val="11"/>
                <w:szCs w:val="11"/>
                <w:color w:val="auto"/>
              </w:rPr>
              <w:t>(4)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202,000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Payable for investments and unfunded investments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10,515</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273,339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9,553</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7,082</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Total net asset value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246,977</w:t>
            </w: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8"/>
                <w:szCs w:val="18"/>
                <w:color w:val="auto"/>
              </w:rPr>
              <w:t>210,728</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270,393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(2)</w:t>
            </w:r>
          </w:p>
        </w:tc>
        <w:tc>
          <w:tcPr>
            <w:tcW w:w="120" w:type="dxa"/>
            <w:vAlign w:val="bottom"/>
          </w:tcPr>
          <w:p>
            <w:pPr>
              <w:spacing w:after="0"/>
              <w:rPr>
                <w:sz w:val="18"/>
                <w:szCs w:val="18"/>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rPr>
              <w:t>10.88%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560"/>
              <w:spacing w:after="0"/>
              <w:rPr>
                <w:sz w:val="20"/>
                <w:szCs w:val="20"/>
                <w:color w:val="auto"/>
              </w:rPr>
            </w:pPr>
            <w:r>
              <w:rPr>
                <w:rFonts w:ascii="Arial" w:cs="Arial" w:eastAsia="Arial" w:hAnsi="Arial"/>
                <w:sz w:val="18"/>
                <w:szCs w:val="18"/>
                <w:color w:val="auto"/>
              </w:rPr>
              <w:t>(38.58)%</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(at period end)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w:t>
            </w:r>
            <w:r>
              <w:rPr>
                <w:rFonts w:ascii="Arial" w:cs="Arial" w:eastAsia="Arial" w:hAnsi="Arial"/>
                <w:sz w:val="11"/>
                <w:szCs w:val="11"/>
                <w:color w:val="auto"/>
              </w:rPr>
              <w:t>(3)</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Yield on debt portfolio (at period end)</w:t>
            </w:r>
          </w:p>
        </w:tc>
        <w:tc>
          <w:tcPr>
            <w:tcW w:w="120" w:type="dxa"/>
            <w:vAlign w:val="bottom"/>
          </w:tcPr>
          <w:p>
            <w:pPr>
              <w:spacing w:after="0"/>
              <w:rPr>
                <w:sz w:val="19"/>
                <w:szCs w:val="19"/>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rPr>
              <w:t>10.40%</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11.10%</w:t>
            </w:r>
            <w:r>
              <w:rPr>
                <w:rFonts w:ascii="Arial" w:cs="Arial" w:eastAsia="Arial" w:hAnsi="Arial"/>
                <w:sz w:val="11"/>
                <w:szCs w:val="11"/>
                <w:color w:val="auto"/>
              </w:rPr>
              <w:t>(3)</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10.10%</w:t>
            </w:r>
            <w:r>
              <w:rPr>
                <w:rFonts w:ascii="Arial" w:cs="Arial" w:eastAsia="Arial" w:hAnsi="Arial"/>
                <w:sz w:val="11"/>
                <w:szCs w:val="11"/>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base management fee waiver was in effect from Inception through March 31, 2008. See “Certain Relationships and Transactions-Investment Advisory Fees.”</w:t>
      </w:r>
    </w:p>
    <w:p>
      <w:pPr>
        <w:spacing w:after="0" w:line="5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and takes into account dividends and distributions, if any, reinvested in accordance with our dividend reinvestment plan. Total return is not annualized.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Unaudited.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Q3</w:t>
            </w:r>
          </w:p>
        </w:tc>
        <w:tc>
          <w:tcPr>
            <w:tcW w:w="2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Q2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Q1</w:t>
            </w:r>
          </w:p>
        </w:tc>
        <w:tc>
          <w:tcPr>
            <w:tcW w:w="100" w:type="dxa"/>
            <w:vAlign w:val="bottom"/>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5"/>
              </w:rPr>
              <w:t>$10,770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$10,425</w:t>
            </w:r>
          </w:p>
        </w:tc>
        <w:tc>
          <w:tcPr>
            <w:tcW w:w="20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$ 12,077</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gridSpan w:val="3"/>
          </w:tcPr>
          <w:p>
            <w:pPr>
              <w:ind w:left="6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5,666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5,267</w:t>
            </w:r>
          </w:p>
        </w:tc>
        <w:tc>
          <w:tcPr>
            <w:tcW w:w="200" w:type="dxa"/>
            <w:vAlign w:val="bottom"/>
          </w:tcPr>
          <w:p>
            <w:pPr>
              <w:spacing w:after="0"/>
              <w:rPr>
                <w:sz w:val="18"/>
                <w:szCs w:val="18"/>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5,768</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7"/>
            <w:shd w:val="clear" w:color="auto" w:fill="CCEEFF"/>
          </w:tcPr>
          <w:p>
            <w:pPr>
              <w:jc w:val="right"/>
              <w:ind w:right="200"/>
              <w:spacing w:after="0"/>
              <w:rPr>
                <w:sz w:val="20"/>
                <w:szCs w:val="20"/>
                <w:color w:val="auto"/>
              </w:rPr>
            </w:pPr>
            <w:r>
              <w:rPr>
                <w:rFonts w:ascii="Arial" w:cs="Arial" w:eastAsia="Arial" w:hAnsi="Arial"/>
                <w:sz w:val="18"/>
                <w:szCs w:val="18"/>
                <w:color w:val="auto"/>
                <w:w w:val="94"/>
              </w:rPr>
              <w:t>$ (6,486)</w:t>
            </w:r>
          </w:p>
        </w:tc>
        <w:tc>
          <w:tcPr>
            <w:tcW w:w="1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9"/>
              </w:rPr>
              <w:t>$36,932</w:t>
            </w:r>
          </w:p>
        </w:tc>
        <w:tc>
          <w:tcPr>
            <w:tcW w:w="20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 (37,525)</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gridSpan w:val="3"/>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gridSpan w:val="4"/>
          </w:tcPr>
          <w:p>
            <w:pPr>
              <w:jc w:val="right"/>
              <w:ind w:right="200"/>
              <w:spacing w:after="0"/>
              <w:rPr>
                <w:sz w:val="20"/>
                <w:szCs w:val="20"/>
                <w:color w:val="auto"/>
              </w:rPr>
            </w:pPr>
            <w:r>
              <w:rPr>
                <w:rFonts w:ascii="Arial" w:cs="Arial" w:eastAsia="Arial" w:hAnsi="Arial"/>
                <w:sz w:val="18"/>
                <w:szCs w:val="18"/>
                <w:color w:val="auto"/>
              </w:rPr>
              <w:t>(820)</w:t>
            </w:r>
          </w:p>
        </w:tc>
        <w:tc>
          <w:tcPr>
            <w:tcW w:w="180" w:type="dxa"/>
            <w:vAlign w:val="bottom"/>
          </w:tcPr>
          <w:p>
            <w:pPr>
              <w:spacing w:after="0"/>
              <w:rPr>
                <w:sz w:val="18"/>
                <w:szCs w:val="18"/>
                <w:color w:val="auto"/>
              </w:rPr>
            </w:pPr>
          </w:p>
        </w:tc>
        <w:tc>
          <w:tcPr>
            <w:tcW w:w="580" w:type="dxa"/>
            <w:vAlign w:val="bottom"/>
            <w:gridSpan w:val="4"/>
          </w:tcPr>
          <w:p>
            <w:pPr>
              <w:jc w:val="center"/>
              <w:spacing w:after="0"/>
              <w:rPr>
                <w:sz w:val="20"/>
                <w:szCs w:val="20"/>
                <w:color w:val="auto"/>
              </w:rPr>
            </w:pPr>
            <w:r>
              <w:rPr>
                <w:rFonts w:ascii="Arial" w:cs="Arial" w:eastAsia="Arial" w:hAnsi="Arial"/>
                <w:sz w:val="18"/>
                <w:szCs w:val="18"/>
                <w:color w:val="auto"/>
                <w:w w:val="89"/>
              </w:rPr>
              <w:t>$42,199</w:t>
            </w:r>
          </w:p>
        </w:tc>
        <w:tc>
          <w:tcPr>
            <w:tcW w:w="200" w:type="dxa"/>
            <w:vAlign w:val="bottom"/>
          </w:tcPr>
          <w:p>
            <w:pPr>
              <w:spacing w:after="0"/>
              <w:rPr>
                <w:sz w:val="18"/>
                <w:szCs w:val="18"/>
                <w:color w:val="auto"/>
              </w:rPr>
            </w:pPr>
          </w:p>
        </w:tc>
        <w:tc>
          <w:tcPr>
            <w:tcW w:w="900" w:type="dxa"/>
            <w:vAlign w:val="bottom"/>
            <w:gridSpan w:val="6"/>
          </w:tcPr>
          <w:p>
            <w:pPr>
              <w:jc w:val="right"/>
              <w:ind w:right="40"/>
              <w:spacing w:after="0"/>
              <w:rPr>
                <w:sz w:val="20"/>
                <w:szCs w:val="20"/>
                <w:color w:val="auto"/>
              </w:rPr>
            </w:pPr>
            <w:r>
              <w:rPr>
                <w:rFonts w:ascii="Arial" w:cs="Arial" w:eastAsia="Arial" w:hAnsi="Arial"/>
                <w:sz w:val="18"/>
                <w:szCs w:val="18"/>
                <w:color w:val="auto"/>
              </w:rPr>
              <w:t>$ (31,757)</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gridSpan w:val="3"/>
          </w:tcPr>
          <w:p>
            <w:pPr>
              <w:ind w:left="6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11.72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18"/>
                <w:szCs w:val="18"/>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10.24</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r>
      <w:tr>
        <w:trPr>
          <w:trHeight w:val="351"/>
        </w:trPr>
        <w:tc>
          <w:tcPr>
            <w:tcW w:w="5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Q4</w:t>
            </w:r>
          </w:p>
        </w:tc>
        <w:tc>
          <w:tcPr>
            <w:tcW w:w="4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Q3</w:t>
            </w:r>
          </w:p>
        </w:tc>
        <w:tc>
          <w:tcPr>
            <w:tcW w:w="320" w:type="dxa"/>
            <w:vAlign w:val="bottom"/>
            <w:gridSpan w:val="3"/>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158"/>
              <w:spacing w:after="0" w:line="142" w:lineRule="exact"/>
              <w:rPr>
                <w:sz w:val="20"/>
                <w:szCs w:val="20"/>
                <w:color w:val="auto"/>
              </w:rPr>
            </w:pPr>
            <w:r>
              <w:rPr>
                <w:rFonts w:ascii="Arial" w:cs="Arial" w:eastAsia="Arial" w:hAnsi="Arial"/>
                <w:sz w:val="14"/>
                <w:szCs w:val="14"/>
                <w:b w:val="1"/>
                <w:bCs w:val="1"/>
                <w:color w:val="auto"/>
              </w:rPr>
              <w:t>Q2</w:t>
            </w:r>
          </w:p>
        </w:tc>
        <w:tc>
          <w:tcPr>
            <w:tcW w:w="3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Q1</w:t>
            </w:r>
          </w:p>
        </w:tc>
        <w:tc>
          <w:tcPr>
            <w:tcW w:w="100" w:type="dxa"/>
            <w:vAlign w:val="bottom"/>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11,431</w:t>
            </w:r>
          </w:p>
        </w:tc>
        <w:tc>
          <w:tcPr>
            <w:tcW w:w="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9,662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9,714</w:t>
            </w: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9,004</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5,434</w:t>
            </w:r>
          </w:p>
        </w:tc>
        <w:tc>
          <w:tcPr>
            <w:tcW w:w="160" w:type="dxa"/>
            <w:vAlign w:val="bottom"/>
            <w:gridSpan w:val="3"/>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3,941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4"/>
          </w:tcPr>
          <w:p>
            <w:pPr>
              <w:jc w:val="right"/>
              <w:ind w:right="100"/>
              <w:spacing w:after="0"/>
              <w:rPr>
                <w:sz w:val="20"/>
                <w:szCs w:val="20"/>
                <w:color w:val="auto"/>
              </w:rPr>
            </w:pPr>
            <w:r>
              <w:rPr>
                <w:rFonts w:ascii="Arial" w:cs="Arial" w:eastAsia="Arial" w:hAnsi="Arial"/>
                <w:sz w:val="18"/>
                <w:szCs w:val="18"/>
                <w:color w:val="auto"/>
              </w:rPr>
              <w:t>4,449</w:t>
            </w:r>
          </w:p>
        </w:tc>
        <w:tc>
          <w:tcPr>
            <w:tcW w:w="200" w:type="dxa"/>
            <w:vAlign w:val="bottom"/>
          </w:tcPr>
          <w:p>
            <w:pPr>
              <w:spacing w:after="0"/>
              <w:rPr>
                <w:sz w:val="18"/>
                <w:szCs w:val="18"/>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4,732</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(16,475)</w:t>
            </w:r>
          </w:p>
        </w:tc>
        <w:tc>
          <w:tcPr>
            <w:tcW w:w="6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86"/>
              </w:rPr>
              <w:t>$11,263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85"/>
              </w:rPr>
              <w:t>$ (37,778)</w:t>
            </w:r>
          </w:p>
        </w:tc>
        <w:tc>
          <w:tcPr>
            <w:tcW w:w="20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 (16,269)</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(11,041)</w:t>
            </w:r>
          </w:p>
        </w:tc>
        <w:tc>
          <w:tcPr>
            <w:tcW w:w="640" w:type="dxa"/>
            <w:vAlign w:val="bottom"/>
            <w:gridSpan w:val="5"/>
          </w:tcPr>
          <w:p>
            <w:pPr>
              <w:jc w:val="right"/>
              <w:ind w:right="60"/>
              <w:spacing w:after="0"/>
              <w:rPr>
                <w:sz w:val="20"/>
                <w:szCs w:val="20"/>
                <w:color w:val="auto"/>
              </w:rPr>
            </w:pPr>
            <w:r>
              <w:rPr>
                <w:rFonts w:ascii="Arial" w:cs="Arial" w:eastAsia="Arial" w:hAnsi="Arial"/>
                <w:sz w:val="18"/>
                <w:szCs w:val="18"/>
                <w:color w:val="auto"/>
                <w:w w:val="86"/>
              </w:rPr>
              <w:t>$15,204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5"/>
          </w:tcPr>
          <w:p>
            <w:pPr>
              <w:jc w:val="right"/>
              <w:ind w:right="40"/>
              <w:spacing w:after="0"/>
              <w:rPr>
                <w:sz w:val="20"/>
                <w:szCs w:val="20"/>
                <w:color w:val="auto"/>
              </w:rPr>
            </w:pPr>
            <w:r>
              <w:rPr>
                <w:rFonts w:ascii="Arial" w:cs="Arial" w:eastAsia="Arial" w:hAnsi="Arial"/>
                <w:sz w:val="18"/>
                <w:szCs w:val="18"/>
                <w:color w:val="auto"/>
                <w:w w:val="85"/>
              </w:rPr>
              <w:t>$ (33,329)</w:t>
            </w:r>
          </w:p>
        </w:tc>
        <w:tc>
          <w:tcPr>
            <w:tcW w:w="200" w:type="dxa"/>
            <w:vAlign w:val="bottom"/>
          </w:tcPr>
          <w:p>
            <w:pPr>
              <w:spacing w:after="0"/>
              <w:rPr>
                <w:sz w:val="18"/>
                <w:szCs w:val="18"/>
                <w:color w:val="auto"/>
              </w:rPr>
            </w:pPr>
          </w:p>
        </w:tc>
        <w:tc>
          <w:tcPr>
            <w:tcW w:w="900" w:type="dxa"/>
            <w:vAlign w:val="bottom"/>
            <w:gridSpan w:val="6"/>
          </w:tcPr>
          <w:p>
            <w:pPr>
              <w:jc w:val="right"/>
              <w:ind w:right="40"/>
              <w:spacing w:after="0"/>
              <w:rPr>
                <w:sz w:val="20"/>
                <w:szCs w:val="20"/>
                <w:color w:val="auto"/>
              </w:rPr>
            </w:pPr>
            <w:r>
              <w:rPr>
                <w:rFonts w:ascii="Arial" w:cs="Arial" w:eastAsia="Arial" w:hAnsi="Arial"/>
                <w:sz w:val="18"/>
                <w:szCs w:val="18"/>
                <w:color w:val="auto"/>
              </w:rPr>
              <w:t>$ (11,537)</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(0.53)</w:t>
            </w:r>
          </w:p>
        </w:tc>
        <w:tc>
          <w:tcPr>
            <w:tcW w:w="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(1.58)</w:t>
            </w: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10.00</w:t>
            </w:r>
          </w:p>
        </w:tc>
        <w:tc>
          <w:tcPr>
            <w:tcW w:w="160" w:type="dxa"/>
            <w:vAlign w:val="bottom"/>
            <w:gridSpan w:val="3"/>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10.77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4"/>
          </w:tcPr>
          <w:p>
            <w:pPr>
              <w:jc w:val="right"/>
              <w:ind w:right="100"/>
              <w:spacing w:after="0"/>
              <w:rPr>
                <w:sz w:val="20"/>
                <w:szCs w:val="20"/>
                <w:color w:val="auto"/>
              </w:rPr>
            </w:pPr>
            <w:r>
              <w:rPr>
                <w:rFonts w:ascii="Arial" w:cs="Arial" w:eastAsia="Arial" w:hAnsi="Arial"/>
                <w:sz w:val="18"/>
                <w:szCs w:val="18"/>
                <w:color w:val="auto"/>
              </w:rPr>
              <w:t>10.26</w:t>
            </w:r>
          </w:p>
        </w:tc>
        <w:tc>
          <w:tcPr>
            <w:tcW w:w="200" w:type="dxa"/>
            <w:vAlign w:val="bottom"/>
          </w:tcPr>
          <w:p>
            <w:pPr>
              <w:spacing w:after="0"/>
              <w:rPr>
                <w:sz w:val="18"/>
                <w:szCs w:val="18"/>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12.07</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7.41</w:t>
            </w:r>
          </w:p>
        </w:tc>
        <w:tc>
          <w:tcPr>
            <w:tcW w:w="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w:t>
            </w: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10.02</w:t>
            </w:r>
          </w:p>
        </w:tc>
      </w:tr>
      <w:tr>
        <w:trPr>
          <w:trHeight w:val="351"/>
        </w:trPr>
        <w:tc>
          <w:tcPr>
            <w:tcW w:w="5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3"/>
          </w:tcPr>
          <w:p>
            <w:pPr>
              <w:jc w:val="right"/>
              <w:ind w:right="38"/>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Q4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Q3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99"/>
              </w:rPr>
              <w:t>Q2*</w:t>
            </w:r>
          </w:p>
        </w:tc>
        <w:tc>
          <w:tcPr>
            <w:tcW w:w="180" w:type="dxa"/>
            <w:vAlign w:val="bottom"/>
            <w:gridSpan w:val="2"/>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3"/>
              </w:rPr>
              <w:t>$ 5,425</w:t>
            </w: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4,348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4"/>
          </w:tcPr>
          <w:p>
            <w:pPr>
              <w:jc w:val="center"/>
              <w:spacing w:after="0"/>
              <w:rPr>
                <w:sz w:val="20"/>
                <w:szCs w:val="20"/>
                <w:color w:val="auto"/>
              </w:rPr>
            </w:pPr>
            <w:r>
              <w:rPr>
                <w:rFonts w:ascii="Arial" w:cs="Arial" w:eastAsia="Arial" w:hAnsi="Arial"/>
                <w:sz w:val="18"/>
                <w:szCs w:val="18"/>
                <w:color w:val="auto"/>
                <w:w w:val="93"/>
              </w:rPr>
              <w:t>$ 3,208</w:t>
            </w:r>
          </w:p>
        </w:tc>
        <w:tc>
          <w:tcPr>
            <w:tcW w:w="200" w:type="dxa"/>
            <w:vAlign w:val="bottom"/>
          </w:tcPr>
          <w:p>
            <w:pPr>
              <w:spacing w:after="0"/>
              <w:rPr>
                <w:sz w:val="18"/>
                <w:szCs w:val="18"/>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(251)</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7"/>
            <w:shd w:val="clear" w:color="auto" w:fill="CCEEFF"/>
          </w:tcPr>
          <w:p>
            <w:pPr>
              <w:jc w:val="right"/>
              <w:ind w:right="180"/>
              <w:spacing w:after="0"/>
              <w:rPr>
                <w:sz w:val="20"/>
                <w:szCs w:val="20"/>
                <w:color w:val="auto"/>
              </w:rPr>
            </w:pPr>
            <w:r>
              <w:rPr>
                <w:rFonts w:ascii="Arial" w:cs="Arial" w:eastAsia="Arial" w:hAnsi="Arial"/>
                <w:sz w:val="18"/>
                <w:szCs w:val="18"/>
                <w:color w:val="auto"/>
                <w:w w:val="85"/>
              </w:rPr>
              <w:t>$ (18,870)</w:t>
            </w:r>
          </w:p>
        </w:tc>
        <w:tc>
          <w:tcPr>
            <w:tcW w:w="1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w w:val="92"/>
              </w:rPr>
              <w:t>$(5,152)</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7"/>
          </w:tcPr>
          <w:p>
            <w:pPr>
              <w:jc w:val="right"/>
              <w:ind w:right="180"/>
              <w:spacing w:after="0"/>
              <w:rPr>
                <w:sz w:val="20"/>
                <w:szCs w:val="20"/>
                <w:color w:val="auto"/>
              </w:rPr>
            </w:pPr>
            <w:r>
              <w:rPr>
                <w:rFonts w:ascii="Arial" w:cs="Arial" w:eastAsia="Arial" w:hAnsi="Arial"/>
                <w:sz w:val="18"/>
                <w:szCs w:val="18"/>
                <w:color w:val="auto"/>
                <w:w w:val="85"/>
              </w:rPr>
              <w:t>$ (14,522)</w:t>
            </w:r>
          </w:p>
        </w:tc>
        <w:tc>
          <w:tcPr>
            <w:tcW w:w="180" w:type="dxa"/>
            <w:vAlign w:val="bottom"/>
          </w:tcPr>
          <w:p>
            <w:pPr>
              <w:spacing w:after="0"/>
              <w:rPr>
                <w:sz w:val="18"/>
                <w:szCs w:val="18"/>
                <w:color w:val="auto"/>
              </w:rPr>
            </w:pPr>
          </w:p>
        </w:tc>
        <w:tc>
          <w:tcPr>
            <w:tcW w:w="780" w:type="dxa"/>
            <w:vAlign w:val="bottom"/>
            <w:gridSpan w:val="5"/>
          </w:tcPr>
          <w:p>
            <w:pPr>
              <w:jc w:val="right"/>
              <w:ind w:right="140"/>
              <w:spacing w:after="0"/>
              <w:rPr>
                <w:sz w:val="20"/>
                <w:szCs w:val="20"/>
                <w:color w:val="auto"/>
              </w:rPr>
            </w:pPr>
            <w:r>
              <w:rPr>
                <w:rFonts w:ascii="Arial" w:cs="Arial" w:eastAsia="Arial" w:hAnsi="Arial"/>
                <w:sz w:val="18"/>
                <w:szCs w:val="18"/>
                <w:color w:val="auto"/>
                <w:w w:val="92"/>
              </w:rPr>
              <w:t>$(1,944)</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(234)</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(0.70)</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8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(0.01)</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12.83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4"/>
          </w:tcPr>
          <w:p>
            <w:pPr>
              <w:jc w:val="center"/>
              <w:spacing w:after="0"/>
              <w:rPr>
                <w:sz w:val="20"/>
                <w:szCs w:val="20"/>
                <w:color w:val="auto"/>
              </w:rPr>
            </w:pPr>
            <w:r>
              <w:rPr>
                <w:rFonts w:ascii="Arial" w:cs="Arial" w:eastAsia="Arial" w:hAnsi="Arial"/>
                <w:sz w:val="18"/>
                <w:szCs w:val="18"/>
                <w:color w:val="auto"/>
                <w:w w:val="93"/>
              </w:rPr>
              <w:t>$ 13.74</w:t>
            </w:r>
          </w:p>
        </w:tc>
        <w:tc>
          <w:tcPr>
            <w:tcW w:w="200" w:type="dxa"/>
            <w:vAlign w:val="bottom"/>
          </w:tcPr>
          <w:p>
            <w:pPr>
              <w:spacing w:after="0"/>
              <w:rPr>
                <w:sz w:val="18"/>
                <w:szCs w:val="18"/>
                <w:color w:val="auto"/>
              </w:rPr>
            </w:pPr>
          </w:p>
        </w:tc>
        <w:tc>
          <w:tcPr>
            <w:tcW w:w="800" w:type="dxa"/>
            <w:vAlign w:val="bottom"/>
            <w:gridSpan w:val="5"/>
          </w:tcPr>
          <w:p>
            <w:pPr>
              <w:jc w:val="right"/>
              <w:ind w:right="80"/>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3"/>
              </w:rPr>
              <w:t>$ 14.04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364"/>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From January 11, 2007 (inception of operations)</w:t>
      </w:r>
    </w:p>
    <w:p>
      <w:pPr>
        <w:spacing w:after="0" w:line="9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common shares began trading on April 19,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financial statements and notes thereto appearing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PennantPark was organized under the Maryland General Corporation Law in January 2007. We are an externally managed, closed-end, non-diversified investment company that has elected to be treated as a business development company under the 1940 Act. As such, we are required to comply with certain regulatory requirements. For instance, we generally have to invest at least 70% of our total assets in “qualifying assets,” including securities of U.S. private companies or thinly traded public companies, with a market capitalization of less than $250 million, cash, cash equivalents, U.S. government securities and high-quality debt investments that mature in one year or less.</w:t>
      </w:r>
    </w:p>
    <w:p>
      <w:pPr>
        <w:spacing w:after="0" w:line="14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us and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private companies in the form of mezzanine debt, senior secured loans and equity investments.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companies in which we invest are typically highly leveraged, often as a result of leveraged buy-outs or other recapitalization transactions,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expect that our investments in mezzanine debt, senior secured loans and other investments will range between $10 million and $50 million each. We expect this investment size to vary proportionately with the size of our capital base.</w:t>
      </w:r>
    </w:p>
    <w:p>
      <w:pPr>
        <w:spacing w:after="0" w:line="132"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We are currently operating in a severely constrained credit market. 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is adversely affecting each of these factors and has resulted in broad-based reduction in the demand for, and valuation of, high-risk debt instruments. These conditions may present us with attractive investment opportunities, as we believe that there are many middle-market companies that need senior secured and mezzanine debt financing. However, these market conditions are also adversely affecting our portfolio valuations and increase the risk of default among our portfolio companies, which could negatively impact our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generate revenue in the form of interest income on the debt securities we hold and capital gains and distributions, if any, on investment securities that we may acquire in portfolio companies. Our debt investments, whether in the form of mezzanine debt or senior secured loans, typically have a term of three to ten years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bear interest at a fixed or floating rate. Interest on debt securities is generally payable quarterly or semiannually. In some cases, some of our investments provide for deferred interest payments or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interest income. We record prepayment premiums on loans and debt securities as interest income. Dividend income, if any, is recognized on an accrual basis to the extent that we expect to collect such amounts.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costs and expenses of our operations and transactions, including:</w:t>
      </w:r>
    </w:p>
    <w:p>
      <w:pPr>
        <w:spacing w:after="0" w:line="62"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Although the base management fee is 2.00% of average adjusted gross total assets, the Investment Adviser agreed to waive a portion of the base management fee. As a result, the base management fee equaled 1.50% from the consummation of the initial public offering through September 30, 2007 and 1.75% from October 1, 2007 through March 31, 2008. The base management fee has been 2.00% since March 31, 2008.</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We expect our general and administrative operating expenses related to our ongoing operations to remain relatively stable or decline slightly as a percentage of our assets in future periods. Incentive fees, interest expense and costs relating to future offerings of securities would be additive.</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SEC requires that “Total Annual Expenses” be calculated as a percentage of net assets in the chart on page 7 of this prospectus rather than as a percentage of total assets. Total assets includes assets that have been funded with borrowed monies (leverage). For reference, the chart below illustrates our “Total Annual Expenses” as a percentage of total assets: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6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86"/>
              </w:rPr>
              <w:t>Estimated Annual Expenses (as a Percentage of Total Assets)</w:t>
            </w:r>
          </w:p>
        </w:tc>
        <w:tc>
          <w:tcPr>
            <w:tcW w:w="3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3960" w:type="dxa"/>
            <w:vAlign w:val="bottom"/>
            <w:gridSpan w:val="3"/>
            <w:shd w:val="clear" w:color="auto" w:fill="CCEEFF"/>
          </w:tcPr>
          <w:p>
            <w:pPr>
              <w:ind w:left="3320"/>
              <w:spacing w:after="0"/>
              <w:rPr>
                <w:sz w:val="20"/>
                <w:szCs w:val="20"/>
                <w:color w:val="auto"/>
              </w:rPr>
            </w:pPr>
            <w:r>
              <w:rPr>
                <w:rFonts w:ascii="Arial" w:cs="Arial" w:eastAsia="Arial" w:hAnsi="Arial"/>
                <w:sz w:val="18"/>
                <w:szCs w:val="18"/>
                <w:color w:val="auto"/>
                <w:w w:val="96"/>
              </w:rPr>
              <w:t>2.00%</w:t>
            </w:r>
            <w:r>
              <w:rPr>
                <w:rFonts w:ascii="Arial" w:cs="Arial" w:eastAsia="Arial" w:hAnsi="Arial"/>
                <w:sz w:val="11"/>
                <w:szCs w:val="11"/>
                <w:color w:val="auto"/>
                <w:w w:val="96"/>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3960" w:type="dxa"/>
            <w:vAlign w:val="bottom"/>
            <w:gridSpan w:val="3"/>
          </w:tcPr>
          <w:p>
            <w:pPr>
              <w:ind w:left="3320"/>
              <w:spacing w:after="0"/>
              <w:rPr>
                <w:sz w:val="20"/>
                <w:szCs w:val="20"/>
                <w:color w:val="auto"/>
              </w:rPr>
            </w:pPr>
            <w:r>
              <w:rPr>
                <w:rFonts w:ascii="Arial" w:cs="Arial" w:eastAsia="Arial" w:hAnsi="Arial"/>
                <w:sz w:val="18"/>
                <w:szCs w:val="18"/>
                <w:color w:val="auto"/>
                <w:w w:val="96"/>
              </w:rPr>
              <w:t>1.39%</w:t>
            </w:r>
            <w:r>
              <w:rPr>
                <w:rFonts w:ascii="Arial" w:cs="Arial" w:eastAsia="Arial" w:hAnsi="Arial"/>
                <w:sz w:val="11"/>
                <w:szCs w:val="11"/>
                <w:color w:val="auto"/>
                <w:w w:val="96"/>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3960" w:type="dxa"/>
            <w:vAlign w:val="bottom"/>
            <w:gridSpan w:val="3"/>
            <w:shd w:val="clear" w:color="auto" w:fill="CCEEFF"/>
          </w:tcPr>
          <w:p>
            <w:pPr>
              <w:ind w:left="3320"/>
              <w:spacing w:after="0"/>
              <w:rPr>
                <w:sz w:val="20"/>
                <w:szCs w:val="20"/>
                <w:color w:val="auto"/>
              </w:rPr>
            </w:pPr>
            <w:r>
              <w:rPr>
                <w:rFonts w:ascii="Arial" w:cs="Arial" w:eastAsia="Arial" w:hAnsi="Arial"/>
                <w:sz w:val="18"/>
                <w:szCs w:val="18"/>
                <w:color w:val="auto"/>
                <w:w w:val="96"/>
              </w:rPr>
              <w:t>1.27%</w:t>
            </w:r>
            <w:r>
              <w:rPr>
                <w:rFonts w:ascii="Arial" w:cs="Arial" w:eastAsia="Arial" w:hAnsi="Arial"/>
                <w:sz w:val="11"/>
                <w:szCs w:val="11"/>
                <w:color w:val="auto"/>
                <w:w w:val="96"/>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332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w w:val="96"/>
              </w:rPr>
              <w:t>1.02%</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Annual Expenses</w:t>
            </w:r>
          </w:p>
        </w:tc>
        <w:tc>
          <w:tcPr>
            <w:tcW w:w="3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8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w:t>
      </w:r>
    </w:p>
    <w:p>
      <w:pPr>
        <w:spacing w:after="0" w:line="37" w:lineRule="exact"/>
        <w:rPr>
          <w:rFonts w:ascii="Arial" w:cs="Arial" w:eastAsia="Arial" w:hAnsi="Arial"/>
          <w:sz w:val="18"/>
          <w:szCs w:val="18"/>
          <w:color w:val="auto"/>
        </w:rPr>
      </w:pPr>
    </w:p>
    <w:p>
      <w:pPr>
        <w:ind w:left="460" w:right="20" w:hanging="452"/>
        <w:spacing w:after="0" w:line="287"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portion of incentive fees paid in respect of net investment income is based on actual amounts incurred during the nine months ended June 30, 2009,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advisory and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nine months ended June 30, 2009. For more detailed information about the incentive fee, please see the section of this prospectus captioned “Certain Relationships and Transactions—Investment Management Agreement” and Note 3 to our financial statements included in this prospectus.</w:t>
      </w:r>
    </w:p>
    <w:p>
      <w:pPr>
        <w:spacing w:after="0" w:line="28" w:lineRule="exact"/>
        <w:rPr>
          <w:rFonts w:ascii="Arial" w:cs="Arial" w:eastAsia="Arial" w:hAnsi="Arial"/>
          <w:sz w:val="16"/>
          <w:szCs w:val="16"/>
          <w:color w:val="auto"/>
        </w:rPr>
      </w:pPr>
    </w:p>
    <w:p>
      <w:pPr>
        <w:ind w:left="460" w:right="100" w:hanging="452"/>
        <w:spacing w:after="0" w:line="290"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of June 30, 2009, we had $112.7 million unused, subject to maintenance of the applicable total assets to debt ratio of 200%, and $187.3 million in borrowings outstanding under our $300.0 million credit facility. We intend to use proceeds of an offering of securities under this registration statement primarily to repay outstanding obligations under our credit facility. After completing any such offering, we intend to continue to borrow under our credit facility to finance portfolio investments and are permitted to do so under the terms of our credit facility. We have estimated the interest payments on borrowed funds to take this into account. We caution you that our actual interest expense will depend on prevailing interest rates and our rate of borrowing and may be substantially higher than the estimate provided in this table. For more information, see “Risk Factors—We currently use borrowed funds to make investments and are exposed to the typical risks associated with leverage.”</w:t>
      </w:r>
    </w:p>
    <w:p>
      <w:pPr>
        <w:spacing w:after="0" w:line="23" w:lineRule="exact"/>
        <w:rPr>
          <w:rFonts w:ascii="Arial" w:cs="Arial" w:eastAsia="Arial" w:hAnsi="Arial"/>
          <w:sz w:val="16"/>
          <w:szCs w:val="16"/>
          <w:color w:val="auto"/>
        </w:rPr>
      </w:pPr>
    </w:p>
    <w:p>
      <w:pPr>
        <w:ind w:left="460" w:right="100" w:hanging="452"/>
        <w:spacing w:after="0" w:line="298"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“Other Expenses” includes, among other expenses,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nine months ended June 30, 2009 annualized for a full year. See our “Consolidated Statement of Operations” in our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discussion of our financial condition and results of operation is based upon our financial statements, which have been prepared in accordance with U.S. generally accepted accounting principles, or “GAAP.” The preparation of these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critical accounting policies in the notes to our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if available, obtained from at least two broker/dealers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purchased within 60 days of maturity are valued at cost plus accreted discount, or minus amortized premium, which approximates value. With respect to unquoted securities, our board of directors, together with our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When an external event such as a purchase transaction, public offering or subsequent equity sale occurs in connection with one of our portfolio companies, our board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believed not to reflect the fair value of an investment, our board of directors undertakes a multi-step valuation process each quarter, as described below:</w:t>
      </w:r>
    </w:p>
    <w:p>
      <w:pPr>
        <w:spacing w:after="0" w:line="51" w:lineRule="exact"/>
        <w:rPr>
          <w:sz w:val="20"/>
          <w:szCs w:val="20"/>
          <w:color w:val="auto"/>
        </w:rPr>
      </w:pPr>
    </w:p>
    <w:p>
      <w:pPr>
        <w:ind w:left="900" w:right="48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80" w:hanging="446"/>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September 2006, the Financial Accounting Standards Board issued SFAS 157,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We adopted this statement on October 1, 2008. This adoption did not affect our financial position or its results of operations.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SFAS No. 157 classifies the inputs used to measure these fair values into following hierarchy: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right="40"/>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that are quoted prices for similar assets or liabilities in active markets, or that are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an asset or liability because they are based on our own assumptions about how market participants would price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132" w:lineRule="exact"/>
        <w:rPr>
          <w:sz w:val="20"/>
          <w:szCs w:val="20"/>
          <w:color w:val="auto"/>
        </w:rPr>
      </w:pPr>
    </w:p>
    <w:p>
      <w:pPr>
        <w:ind w:right="900" w:firstLine="456"/>
        <w:spacing w:after="0" w:line="332"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All of our investments (other than cash and cash equivalents) and long-term credit facility are classified as Level 3.</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w:t>
      </w:r>
    </w:p>
    <w:p>
      <w:pPr>
        <w:spacing w:after="0" w:line="14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In February 2007, the FASB issued SFAS 159, </w:t>
      </w:r>
      <w:r>
        <w:rPr>
          <w:rFonts w:ascii="Arial" w:cs="Arial" w:eastAsia="Arial" w:hAnsi="Arial"/>
          <w:sz w:val="16"/>
          <w:szCs w:val="16"/>
          <w:i w:val="1"/>
          <w:iCs w:val="1"/>
          <w:color w:val="auto"/>
        </w:rPr>
        <w:t>The Fair Value Option for Financial Assets and Financial Liabilities—Including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115</w:t>
      </w:r>
      <w:r>
        <w:rPr>
          <w:rFonts w:ascii="Arial" w:cs="Arial" w:eastAsia="Arial" w:hAnsi="Arial"/>
          <w:sz w:val="16"/>
          <w:szCs w:val="16"/>
          <w:color w:val="auto"/>
        </w:rPr>
        <w:t>. This statement permits an entity to choose to measure many financial instruments and certain other items at fair value. This statement applies to all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adopted SFAS 159 on October 1, 2008 and have made an irrevocable election to apply the fair value option to our credit facility liability. The fair value option was elected for our credit facility to align the measurement attributes of both the assets and liabilities while mitigating volatility in earnings from using different measurement attributes. Upon our adoption our net asset value increased by $41.8 million, or $1.99 per share, due to the fair value adjustment related to our credit facility. We have used a nationally recognized independent valuation service to measure the fair value of our credit facility in a manner consistent with the valuation process that our board of directors uses to value our investments. After adoption, subsequent changes in the fair value of our credit facility will be recorded in the statement of operations. We have not elected to apply SFAS 159 to any other financial assets or liabilities. For the three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months and nine months ended June 30, 2009, approximately $9.2 million was recorded as a change in unrealized appreciation and $11.4 million was recorded as a change in unrealized depreciation on the credit facility in the statement of operations, respectively.</w:t>
      </w:r>
    </w:p>
    <w:p>
      <w:pPr>
        <w:spacing w:after="0" w:line="13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In April 2009, the FASB issued FASB Staff Position No. 157-4, </w:t>
      </w:r>
      <w:r>
        <w:rPr>
          <w:rFonts w:ascii="Arial" w:cs="Arial" w:eastAsia="Arial" w:hAnsi="Arial"/>
          <w:sz w:val="16"/>
          <w:szCs w:val="16"/>
          <w:i w:val="1"/>
          <w:iCs w:val="1"/>
          <w:color w:val="auto"/>
        </w:rPr>
        <w:t>Determining Fair Value When the Volume and Level of Activity for the Asset or Liability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Have Significantly Decreased and Identifying Transactions That Are Not Orderly </w:t>
      </w:r>
      <w:r>
        <w:rPr>
          <w:rFonts w:ascii="Arial" w:cs="Arial" w:eastAsia="Arial" w:hAnsi="Arial"/>
          <w:sz w:val="16"/>
          <w:szCs w:val="16"/>
          <w:color w:val="auto"/>
        </w:rPr>
        <w:t>(“FSP No. 157-4”). FSP No. 157-4 made amendments to SFAS No. 157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additional guidance for estimating fair value in accordance with SFAS No. 157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FSP No. 157-4 is effective for periods ending after June 15, 2009; we adopted FSP No. 157-4 on June 30, 2009. The adoption of FSP No. 157-4 did not have a material impact on our consolidated financial statements.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securities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securities if we determine that it is probable that we will not be able to collect such interest. Loan origination fees, original issue discount and market discount or premium are capitalized, and we then amortize such amounts as interest income throughout the life of the loan. We record prepayment premiums on loans and debt securities as interest income. We recognize dividend income, if any, on an accrual basis to the extent that we expect to collect such amounts.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operate so as to qualify to be taxed as a RIC under Subchapter M of the Code and intend to continue to do so. Accordingly, we are not subject to federal income tax on the portion of our taxable income and gains distributed to stockholders. To qualify as a RIC, we are required to distribute at least 90% of our investment company taxable income as defined by the Code.</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of June 30, 2009, our portfolio totaled $393.1 million and consisted of $98.8 million of senior secured loans, $111.2 million of second lien secured debt, $156.0 million of subordinated debt, $10.3 million of preferred equity and $16.8 million of common equity investments. Our core assets totaled $346.3 million and consisted of investments in twenty-five different companies with an average investment size of $13.9 million per company and a weighted average yield of 11.6% on debt investments. Our non-core senior secured loan portfolio totaled $46.8 million and consisted of thirteen different companies (including one company also in our core portfolio) with an average investment size of $3.6 million and a weighted average yield of 3.3% on debt investments. Of our debt portfolio, 51% were invested in fixed-rate investments (or contained a LIBOR floor) and 49% in variable-rate investments. Overall, the portfolio had an unrealized depreciation of $59.7 million as of June 30, 2009. Our overall portfolio consisted of thirty-seven companies with an average investment size of $10.6 million and a weighted average yield on debt investments of 10.4%, and was invested 25% in senior secured loans, 28% in second lien secured debt, 40% in subordinated debt, 3% in preferred equity and 4% in common equity investments.</w:t>
      </w:r>
    </w:p>
    <w:p>
      <w:pPr>
        <w:spacing w:after="0" w:line="12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As of September 30, 2008, our portfolio totaled $372.1 million and consisted of $78.8 million of senior secured loans, $104.2 million of second lien secured debt, $166.2 million of subordinated debt, $9.3 million of preferred equity and $13.6 million of common equity investments. Our core assets totaled $305.5 million and consisted of investments in nineteen different companies with an average investment size of $16.1 million per company and a weighted average yield of 12.5% on debt investments. Our non-core senior secured loan portfolio totaled $66.6 million and consisted of nineteen different companies (including one company also in our core portfolio) with an average investment size of $3.5 million and a weighted average yield of 5.2% on debt investments. Of our debt portfolio, 45% were invested in fixed-rate investments and 55% in variable-rate investments. Overall, our portfolio had an unrealized depreciation of $72.0 million as of September 30, 2008. Our overall portfolio consisted of thirty-seven companies with an average investment size of $10.1 million and a weighted average yield on debt investments of 11.1%, and was invested 21% in senior secured loans, 28% in second lien secured debt, 45% in subordinated debt, 2% in preferred equity and 4% in common equity investments.</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As of September 30, 2007 our portfolio totaled $291.0 million and consisted of $57.3 million of subordinated debt, $67.8 million of second lien secured debt, $7.0 million of equity investments and $158.9 million of senior secured loans. On September 30, 2007, our core assets totaled $132.1 million and consisted of investments in eight different companies with an average investment size of $16.5 million per company and a weighted average yield of 13.0%. Our senior secured loan portfolio at September 30, 2007 totaled $158.9 million and consisted of 30 different companies with an average investment size of $5.3 million, and a weighted average yield of 7.5%. The overall portfolio had unrealized depreciation of $23.9 million due to recent erosion in the market prices of leveraged finance instruments. On September 30, 2007 our portfolio consisted of 38 companies and was invested 20% in subordinated debt, 23% in second lien secured debt, 2% in equity investments and 55% in senior secured loans.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Set forth below are our results of operations for the nine months ended June 30, 2009 and 2008; and for the year ended September 30, 2008 and for the period January 11, 2007 (inception) to September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Total investment income for the nine months ended June 30, 2009, was $33.3 million of which $13.6 million was attributable to senior secured loan investments, $10.6 million was attributable to second lien secured debt investments, and $7.4 million was attributable to subordinated debt investments. The remaining investment income was primarily attributable to interest income from short-term investments and to net accretion of discount and amortization of premium. The increase in investment income compared with the same period in the prior year is due to the growth of our portfolio, the transition of the portfolio from temporary to long-term core investments, offset by lower interest rates.</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Investment income for the nine months ended June 30, 2008 was $28.4 million. Investment income for the nine months ended June 30, 2008 was primarily attributed to $11.6 million of interest income from senior secured loan investments; $10.5 million from our second lien secured debt investments; and $5.1 million from our subordinated debt investments. The remaining investment income was primarily attributed to interest income from short-term investments and to accretion of discount and amortization of premium.</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Investment income for the fiscal year ended September 30, 2008 was $39.8 million. Interest income from senior secured loan investments totaled $16.2 million; $14.7 million from second lien secured debt investments; and $7.2 million from subordinated debt investments for the same period. The remaining investment income was primarily attributable to interest income from short-term investments and to net accretion of discount and amortization of premium. The increase in investment income from fiscal year 2007 to 2008 was due to the growth of our portfolio and the transition of the portfolio from temporary to long-term investments.</w:t>
      </w:r>
    </w:p>
    <w:p>
      <w:pPr>
        <w:spacing w:after="0" w:line="14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Investment income totaled $13.1 million for the period January 11, 2007 (inception) through September 30, 2007. The investment income was generated primarily from senior secured loan investments which had stated interest rates between 6.9% and 8.7%, and a weighted average yield of 7.5%. Our second lien secured debt investments had stated interest rates between 11.1% and 13.3% and weighted average yield of 12.9%. Our subordinated debt investments had stated interest rates between 11.7% and 14.3% and weighted average yield of 13.1%. Our total portfolio had a weighted average yield on debt investments of 10.1%.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Net expenses for the nine months ended June 30, 2009 totaled $16.6 million, which consisted of a base management fee which totaled $5.5 million, performance-based incentive fees which totaled $4.2 million, credit facility related expenses which totaled $3.8 million and general and administrative expenses, which totaled $3.1 million.</w:t>
      </w:r>
    </w:p>
    <w:p>
      <w:pPr>
        <w:spacing w:after="0" w:line="140" w:lineRule="exact"/>
        <w:rPr>
          <w:sz w:val="20"/>
          <w:szCs w:val="20"/>
          <w:color w:val="auto"/>
        </w:rPr>
      </w:pPr>
    </w:p>
    <w:p>
      <w:pPr>
        <w:ind w:right="640" w:firstLine="456"/>
        <w:spacing w:after="0" w:line="259" w:lineRule="auto"/>
        <w:rPr>
          <w:sz w:val="20"/>
          <w:szCs w:val="20"/>
          <w:color w:val="auto"/>
        </w:rPr>
      </w:pPr>
      <w:r>
        <w:rPr>
          <w:rFonts w:ascii="Arial" w:cs="Arial" w:eastAsia="Arial" w:hAnsi="Arial"/>
          <w:sz w:val="18"/>
          <w:szCs w:val="18"/>
          <w:color w:val="auto"/>
        </w:rPr>
        <w:t>Net expenses for the nine months ended June 30, 2008 totaled $15.2 million. Of these totals, $4.4 million were attributable to credit facility related expenses and $3.6 million to general and administrative expenses, respectively. Net base management fee for the same period totaled $4.8 million and performance-based incentive fee totaled $2.4 million, respectively.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expenses for the fiscal year ended September 30, 2008 totaled $21.2 million. Net base management fee for the same period totaled $6.7 million, performance-based incentive fee totaled $3.8 million, credit facility related expense totaled $6.3 million and general and administrative expenses totaled $4.4 million. The increase in expenses from fiscal year 2007 to 2008 was due, primarily, to the growth of our portfolio and the incurrence of additional borrowing costs under our credit facility.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Net expenses totaled $5.8 million for the period January 11, 2007 (inception) through September 30, 2007. Of these totals, approximately $1.8 million were for interest and other credit facility related expenses for the period January 11, 2007 (inception) through September 30, 2007. In addition, of these totals, approximately $313,000 was for non-recurring, primarily, legal and corporate tax expenses for the period January 11, 2007 (inception) through September 30, 2007. General and Administrative expenses totaled $1.7 million for the period January 11, 2007 (inception) through September 30, 2007. Net investment management fee totaled $1.9 million for the period January 11, 2007 (inception) through September 30, 2007. PennantPark Investment Advisers did not receive a management or incentive fee for its services performed on our behalf prior to the completion of our initial public offering on April 24, 2007.</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Net investment income totaled $16.7 million or $0.79 per share for the nine months ended June 30, 2009. Net investment income totaled $13.1 million or $0.62 per share for the nine months ended June 30, 2008.</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Net investment income totaled $18.6 million or $0.88 per share, for the fiscal year ended September 30, 2008, and $7.3 million or $0.35 per share for the period from January 11, 2007 (inception) through September 30,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Loss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Sales and repayments of long-term investments for the nine months ended June 30, 2009 totaled $12.9 million and realized losses totaled $30.8 million.</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Sales and repayments of long-term investments for the nine months ended June 30, 2008 totaled $14.4 million and net realized losses totaled approximately $621,000, respectively.</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Sales and repayments of long-term investments for the fiscal year ended September 30, 2008 totaled $70.1 million and net realized losses totaled $11.2 million due to sale of senior secured loans.</w:t>
      </w:r>
    </w:p>
    <w:p>
      <w:pPr>
        <w:spacing w:after="0" w:line="132"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We had investment sales of senior secured loans totaling $99.6 million for the period January 11, 2007 (inception) through September 30, 2007. Net realized losses totaled approximately $82,000 for the period January 11, 2007 (inception) through September 30,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Appreciation/Depreciation on Investments, Cash Equivalents and Credit Facility</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the nine months ended June 30, 2009, our investments had a net change in unrealized appreciation of $12.3 million. For the nine months ended June 30, 2009, our credit facility had a net change in unrealized depreciation of $11.4 million.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Investments and cash equivalents had a net (decrease) in unrealized appreciation of ($42.2) million for the nine months ended June 30, 2008.</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unrealized depreciation on investments totaled $48.1 million for the fiscal year ended September 30, 2008.</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unrealized depreciation on investments totaled $23.9 million for the period January 11, 2007 (inception) through September 30,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Increase/Decrease in Net Assets from Operations</w:t>
      </w:r>
    </w:p>
    <w:p>
      <w:pPr>
        <w:spacing w:after="0" w:line="90"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For the nine months ended June 30, 2009 there was a net increase of $9.6 million or $0.45 per share, respectively, primarily due to an increase in investment values offset by a net decline in market value of our credit facility over the past nine months.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(decrease) in net assets resulting from operations totaled ($29.7) million or ($1.40) per share, for the nine months ended June 30, 2008, respectively.</w:t>
      </w:r>
    </w:p>
    <w:p>
      <w:pPr>
        <w:spacing w:after="0" w:line="19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Net decrease in net assets resulting from operations totaled $40.7 million, or $1.93 per share, for the fiscal year ended September 30, 2008, primarily due to the overall decline in market values for investments held in our portfolio.</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net decrease in net assets resulting from operations totaled $16.7 million for the period January 11, 2007 (inception) through September 30, 2007 or $0.80 cents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June 25, 2007, we entered into a senior secured revolving credit agreement (our “credit facility”) among us, various lenders and SunTrust Bank, as administrative agent for the lenders. SunTrust Robinson Humphrey Capital Markets acted as the joint lead arranger and book-runner, and JPMorgan Chase (Chase Lincoln First Commercial successor interest of Bear Stearns Corporate Lending Inc.) acted as joint lead arranger and syndication agent. As of June 30, 2009, we had outstanding borrowings of $187.3 million under our credit facility with an annual interest rate of 1.31%.</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our credit facility, the lenders agreed to extend us credit in an initial aggregate principal or face amount not exceeding $300.0 million at any one time outstanding. Our credit facility is a five-year revolving facility (with a stated maturity date of June 25, 2012) and is secured by substantially all of our investment portfolio assets. Pricing of borrowings under our credit facility is set at 100 basis points over LIBOR.</w:t>
      </w:r>
    </w:p>
    <w:p>
      <w:pPr>
        <w:spacing w:after="0" w:line="107" w:lineRule="exact"/>
        <w:rPr>
          <w:sz w:val="20"/>
          <w:szCs w:val="20"/>
          <w:color w:val="auto"/>
        </w:rPr>
      </w:pPr>
    </w:p>
    <w:p>
      <w:pPr>
        <w:ind w:right="260" w:firstLine="456"/>
        <w:spacing w:after="0" w:line="302" w:lineRule="auto"/>
        <w:rPr>
          <w:sz w:val="20"/>
          <w:szCs w:val="20"/>
          <w:color w:val="auto"/>
        </w:rPr>
      </w:pPr>
      <w:r>
        <w:rPr>
          <w:rFonts w:ascii="Arial" w:cs="Arial" w:eastAsia="Arial" w:hAnsi="Arial"/>
          <w:sz w:val="15"/>
          <w:szCs w:val="15"/>
          <w:color w:val="auto"/>
        </w:rPr>
        <w:t>The Credit Agreement contains affirmative and restrictive covenants, including: (a) periodic financial reporting requirements, (b) maintenance of a minimum shareholders’ equity of the greater of (i) 40% of the total assets of PennantPark Investment and its subsidiaries as at the last day of any fiscal quarter and (ii) the sum of (A) $120,000,000 plus (B) 25% of the net proceeds from the sale of equity interests in PennantPark Investment and its subsidiaries after the closing date of the credit facility, (c) maintenance of a ratio of total assets (less total liabilities other than indebtedness) to total indebtedness, in each case of PennantPark Investment, of not less than 2.0:1.0, (d) maintenance of minimum liquidity standards, (e) limitations on the incurrence of additional indebtedness,</w:t>
      </w:r>
    </w:p>
    <w:p>
      <w:pPr>
        <w:spacing w:after="0" w:line="2" w:lineRule="exact"/>
        <w:rPr>
          <w:sz w:val="20"/>
          <w:szCs w:val="20"/>
          <w:color w:val="auto"/>
        </w:rPr>
      </w:pPr>
    </w:p>
    <w:p>
      <w:pPr>
        <w:ind w:right="120" w:firstLine="8"/>
        <w:spacing w:after="0" w:line="288" w:lineRule="auto"/>
        <w:tabs>
          <w:tab w:leader="none" w:pos="219" w:val="left"/>
        </w:tabs>
        <w:numPr>
          <w:ilvl w:val="0"/>
          <w:numId w:val="24"/>
        </w:numPr>
        <w:rPr>
          <w:rFonts w:ascii="Arial" w:cs="Arial" w:eastAsia="Arial" w:hAnsi="Arial"/>
          <w:sz w:val="16"/>
          <w:szCs w:val="16"/>
          <w:color w:val="auto"/>
        </w:rPr>
      </w:pPr>
      <w:r>
        <w:rPr>
          <w:rFonts w:ascii="Arial" w:cs="Arial" w:eastAsia="Arial" w:hAnsi="Arial"/>
          <w:sz w:val="16"/>
          <w:szCs w:val="16"/>
          <w:color w:val="auto"/>
        </w:rPr>
        <w:t>limitations on liens, (g) limitations on fundamental corporate changes, (h) limitations on investments (other than PennantPark Investment’s portfolio investments and certain other ordinary course investments), (i) limitations on payments and distributions (other than distributions to PennantPark Investment’s shareholders as contemplated to maintain RIC status), (j) limitations on transactions with affiliates, (k) limitations on engaging in business not contemplated by PennantPark Investment’s investment objectives, and (l) limitations on the creation or existence of agreements that prohibit liens on properties of PennantPark Investment and its subsidiaries. In addition to the asset coverage ratio described in clause (c) of the preceding sentence, borrowings under our credit facility (and the incurrence of certain other permitted debt) will be subject to compliance with a borrowing base that will apply different advance rates to different types of assets in PennantPark Investment’s portfolio.</w:t>
      </w:r>
    </w:p>
    <w:p>
      <w:pPr>
        <w:spacing w:after="0" w:line="12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PennantPark Investment’s liquidity and capital resources are also generated and available from cash flows from operations, including investment sales and repayments of senior and subordinated loans, and net investment income.</w:t>
      </w:r>
    </w:p>
    <w:p>
      <w:pPr>
        <w:spacing w:after="0" w:line="1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June 30, 2009, PennantPark Investment had $187.3 million borrowings under our senior secured revolving credit facility, and $112.7 million remained available subject to maintenance of at least a 200% ratio of our total assets less liabilities other than indebtedness to our indebtedness, maintenance of a blended percentage of the values of our portfolio companies, and restrictions on certain payments and issuance of debt. In the future, PennantPark Investment may raise additional equity or debt capital through a registered offering off a shelf registration or may securitize a portion of its investments among other considerations. Equity capital may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difficult to raise because, subject to some limited exceptions, we are not generally able to issue and sell our common stock at a price below net asset value per share, unless we obtain shareholder approval. In addition, debt capital, to the extent it is available under stressed credit market conditions, may be issued at a higher cost and on less favorable terms and conditions. Furthermore, if the valuations of our portfolio companies continue to fall significantly from their present values, we may suffer reduced availability under our credit facility because such availability depends on (i) our asset coverage, which generally requires that the valuation of our total assets less liabilities other than indebtedness be at least equal to 200% of our indebtedness, (ii) our maintenance of a blended percentage of the values of our portfolio companies, and (iii) restrictions on certain payments and issuance of debt. The primary use of existing funds and any funds raised in the future is expected to be for repayment of indebtedness, investments in portfolio companies, cash distributions to our shareholders or for other general corporate purposes.</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Subsequent to June 30, 2009 and through the date of this report, economic conditions in the United States have continued to be weak. As a result our net asset value may decline. Our continued compliance with the covenants under our credit facility depends on many factors, some of which are beyond our control. Material net asset devaluation could have a material adverse effect on our operations and could require us to reduce our borrowings under our credit facility in order to comply with certain of the covenants we made when we entered into the credit facility, including the ratio of total assets to total indebtedness.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June 30, 2009, we had $0.5 million in cash equivalents. During the nine months ended June 30, 2009, we generated operating cash flows primarily from interest earned on debt investments, and our primary use of funds for operations during the same period consisted of investments in portfolio companies, payments of fees and other operating expenses we incurred. Our operating activities resulted in a net cash outflow of $9.8 million for the nine months ended June 30, 2009. Our financing activities resulted in a net cash outflow of cash of $29.9 million for the same periods, primarily from repayments under our credit facility.</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September 30, 2008, we had $40.2 million in cash equivalents. During the twelve months ended September 30, 2008, we generated operating cash flows primarily from interest earned on debt investments, and our primary use of funds for operations during the same period consisted of investments in portfolio companies, payments of fees and other operating expenses we incurred. Our operating activities resulted in a net use of cash of $390.7 million for the fiscal year ended September 30, 2008, and our financing activities resulted in a net inflow of cash of $173.0 million for the same period, primarily from borrowings under our credit facility.</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On September 30, 2007, we had $258.0 million in cash equivalents. Our operating activities resulted in a net outflow of cash equal to $37.9 million for the period from January 11, 2007 (inception) through September 30, 2007 and our financing activities resulted in a net inflow of cash of $295.8 million for the same period, primarily from the issuance of our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our significant contractual payment obligations for the repayment of outstanding borrowing under our credit facility maturing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Payments due by period (millions)</w:t>
            </w:r>
          </w:p>
        </w:tc>
        <w:tc>
          <w:tcPr>
            <w:tcW w:w="6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29"/>
        </w:trPr>
        <w:tc>
          <w:tcPr>
            <w:tcW w:w="45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Less than 1</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More than 5</w:t>
            </w:r>
          </w:p>
        </w:tc>
      </w:tr>
      <w:tr>
        <w:trPr>
          <w:trHeight w:val="161"/>
        </w:trPr>
        <w:tc>
          <w:tcPr>
            <w:tcW w:w="4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Total</w:t>
            </w:r>
          </w:p>
        </w:tc>
        <w:tc>
          <w:tcPr>
            <w:tcW w:w="5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year</w:t>
            </w:r>
          </w:p>
        </w:tc>
        <w:tc>
          <w:tcPr>
            <w:tcW w:w="60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1-3 years</w:t>
            </w:r>
          </w:p>
        </w:tc>
        <w:tc>
          <w:tcPr>
            <w:tcW w:w="60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3-5 years</w:t>
            </w:r>
          </w:p>
        </w:tc>
        <w:tc>
          <w:tcPr>
            <w:tcW w:w="6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11"/>
                <w:szCs w:val="11"/>
                <w:color w:val="auto"/>
              </w:rPr>
              <w:t>(1)</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620" w:right="1080" w:hanging="5612"/>
        <w:spacing w:after="0" w:line="440" w:lineRule="auto"/>
        <w:tabs>
          <w:tab w:leader="none" w:pos="4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June 30, 2009, $112.7 million unused under our credit facility, subject to maintenance of the applicable total assets to debt ratio of 200%. 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entered into certain contracts under which we have material future commitments. On April 17, 2007 we entered an Investment Management Agreement which was renewed in February 2009 with PennantPark Investment Advisers in accordance with the 1940 Act, effective as of the completion of our initial public offering. PennantPark Investment Advisers now serves as our investment adviser in accordance with the terms of our Investment Management Agreement. Payments under our Investment Management Agreement in each reporting period is equal to (1) a management fee equal to a percentage of the value of our gross assets and (2) an incentive fee based on our performance. See “Certain Relationships and Transactions—Investment Management Agreement” and Note 3 to our financial statements for more information.</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our Administration Agreement dated April 17, 2007, which was renewed in February, 2009, PennantPark Investment Administration furnishes us with office facilities and administrative services necessary to conduct our day-to-day operations. If requested to provide managerial assistance to our portfolio companies,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 See “Certain Relationships and Transactions—Administration Agreement” and note 3 to our financial statements for more information.</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engage in no off-balance sheet arrangements, including any risk management of commodity pricing or other hedging practices.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August 25, 2009, our common stockholders voted to allow us to issue common stock at a price below net asset value per share for a period of one year ending August 25, 2010. Our stockholders did not specify a maximum discount below net asset value at which we are able to issue our common stock; however, we do not intend to issue shares of our common stock below net asset value unless our board of directors determines that it would be in our stockholders’ best interests to do so. Sales of common stock at prices below net asset value per share dilute the interests of existing stockholders, have the effect of reducing our net asset value per share and may reduce our market price per share. We will describe the risks and dilutive effects of any offering that we make at a price below our then current net asset value in a prospectus supplement issued in connection with any such offering.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September 2006, the Financial Accounting Standards Board issued SFAS 157,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We adopted this statement on October 1, 2008. This adoption did not affect our financial position or its results of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In February 2007, the FASB issued SFAS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w:t>
      </w:r>
      <w:r>
        <w:rPr>
          <w:rFonts w:ascii="Arial" w:cs="Arial" w:eastAsia="Arial" w:hAnsi="Arial"/>
          <w:sz w:val="16"/>
          <w:szCs w:val="16"/>
          <w:i w:val="1"/>
          <w:iCs w:val="1"/>
          <w:color w:val="auto"/>
        </w:rPr>
        <w:t>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115 </w:t>
      </w:r>
      <w:r>
        <w:rPr>
          <w:rFonts w:ascii="Arial" w:cs="Arial" w:eastAsia="Arial" w:hAnsi="Arial"/>
          <w:sz w:val="16"/>
          <w:szCs w:val="16"/>
          <w:color w:val="auto"/>
        </w:rPr>
        <w:t>(“SFAS 159”). This statement permits an entity to elect to measure many financial instruments and certain other items at fair value. This statement applies to</w:t>
      </w:r>
      <w:r>
        <w:rPr>
          <w:rFonts w:ascii="Arial" w:cs="Arial" w:eastAsia="Arial" w:hAnsi="Arial"/>
          <w:sz w:val="16"/>
          <w:szCs w:val="16"/>
          <w:i w:val="1"/>
          <w:iCs w:val="1"/>
          <w:color w:val="auto"/>
        </w:rPr>
        <w:t xml:space="preserve"> </w:t>
      </w:r>
      <w:r>
        <w:rPr>
          <w:rFonts w:ascii="Arial" w:cs="Arial" w:eastAsia="Arial" w:hAnsi="Arial"/>
          <w:sz w:val="16"/>
          <w:szCs w:val="16"/>
          <w:color w:val="auto"/>
        </w:rPr>
        <w:t>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adopted SFAS 159 on October 1, 2008 and have made an irrevocable election to apply the fair value option to our credit facility liability. The fair value option was elected for our credit facility to align the measurement attributes of both the assets and liabilities while mitigating volatility in earnings from using different measurement attributes. Upon our adoption of SFAS 159, our net asset value increased by $41.8 million, or $1.99 per share, due to the fair value adjustment related to our credit facility. We have used a nationally recognized independent valuation service to measure the fair value of our credit facility in a manner consistent with the valuation process that our board of directors uses to value our investments. After adoption, subsequent changes in the fair value of our credit facility will be recorded in our statement of operations. We have not elected to apply SFAS 159 to any other financial assets or liabilities.</w:t>
      </w:r>
    </w:p>
    <w:p>
      <w:pPr>
        <w:spacing w:after="0" w:line="12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In April 2009, the FASB issued FASB Staff Position No. 157-4, </w:t>
      </w:r>
      <w:r>
        <w:rPr>
          <w:rFonts w:ascii="Arial" w:cs="Arial" w:eastAsia="Arial" w:hAnsi="Arial"/>
          <w:sz w:val="16"/>
          <w:szCs w:val="16"/>
          <w:i w:val="1"/>
          <w:iCs w:val="1"/>
          <w:color w:val="auto"/>
        </w:rPr>
        <w:t>Determining Fair Value When the Volume and Level of Activity for the Asset or Liability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Have Significantly Decreased and Identifying Transactions That Are Not Orderly </w:t>
      </w:r>
      <w:r>
        <w:rPr>
          <w:rFonts w:ascii="Arial" w:cs="Arial" w:eastAsia="Arial" w:hAnsi="Arial"/>
          <w:sz w:val="16"/>
          <w:szCs w:val="16"/>
          <w:color w:val="auto"/>
        </w:rPr>
        <w:t>(“FSP 157-4”), which provides further clarification for the application of SFAS</w:t>
      </w:r>
      <w:r>
        <w:rPr>
          <w:rFonts w:ascii="Arial" w:cs="Arial" w:eastAsia="Arial" w:hAnsi="Arial"/>
          <w:sz w:val="16"/>
          <w:szCs w:val="16"/>
          <w:i w:val="1"/>
          <w:iCs w:val="1"/>
          <w:color w:val="auto"/>
        </w:rPr>
        <w:t xml:space="preserve"> </w:t>
      </w:r>
      <w:r>
        <w:rPr>
          <w:rFonts w:ascii="Arial" w:cs="Arial" w:eastAsia="Arial" w:hAnsi="Arial"/>
          <w:sz w:val="16"/>
          <w:szCs w:val="16"/>
          <w:color w:val="auto"/>
        </w:rPr>
        <w:t>157 in markets that are not active. Previously issued FASB Staff Position No. 157-3, Determining Fair Value of a Financial Asset When the Market for That Asset Is Not Active, has been superseded by FSP157-4. FSP 157-4 provides additional guidance for determining when the volume and trading level of activity for an asset or liability has significantly decreased and for identifying circumstances that indicate a transaction is not orderly. FSP 157-4 is effective for interim and annual reporting periods ending after June 15, 2009. We adopted the provisions of FSP 157-4 for the quarter ending June 30, 2009 and the adoption of the provisions of FSP 157-4 did not have a material effect on our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In order to qualify as a RIC and to avoid corporate level tax on income, we are required, under Subchapter M of the Code, to distribute at least 90% of our ordinary income and net short-term capital gains in excess of realized net long-term capital losses, if any, to our stockholders on an annual basis. Additionally, we must distribute at least 98% of our income (both ordinary income and net capital gains) to avoid an excise tax.</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During the nine months ended June 30, 2009 and June 30, 2008 we paid to stockholders distributions of $0.72 and $0.66 per share, respectively, for a total distribution of $15.2 million and $13.9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 after the end of the calendar year.</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each of the nine months ended June 30, 2009 and June 30, 2008, $1.2 million in dividend payments were reinvested in our common stock through open market purchases under our dividend reinvestment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dividends declared since our inception have been as follows: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161"/>
        </w:trPr>
        <w:tc>
          <w:tcPr>
            <w:tcW w:w="59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2009</w:t>
            </w:r>
          </w:p>
        </w:tc>
        <w:tc>
          <w:tcPr>
            <w:tcW w:w="30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3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00" w:type="dxa"/>
            <w:vAlign w:val="bottom"/>
            <w:vMerge w:val="continue"/>
          </w:tcPr>
          <w:p>
            <w:pPr>
              <w:spacing w:after="0"/>
              <w:rPr>
                <w:sz w:val="19"/>
                <w:szCs w:val="19"/>
                <w:color w:val="auto"/>
              </w:rPr>
            </w:pP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110"/>
        </w:trPr>
        <w:tc>
          <w:tcPr>
            <w:tcW w:w="59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3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3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00" w:type="dxa"/>
            <w:vAlign w:val="bottom"/>
            <w:vMerge w:val="continue"/>
          </w:tcPr>
          <w:p>
            <w:pPr>
              <w:spacing w:after="0"/>
              <w:rPr>
                <w:sz w:val="19"/>
                <w:szCs w:val="19"/>
                <w:color w:val="auto"/>
              </w:rPr>
            </w:pP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110"/>
        </w:trPr>
        <w:tc>
          <w:tcPr>
            <w:tcW w:w="59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3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3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00" w:type="dxa"/>
            <w:vAlign w:val="bottom"/>
            <w:vMerge w:val="continue"/>
          </w:tcPr>
          <w:p>
            <w:pPr>
              <w:spacing w:after="0"/>
              <w:rPr>
                <w:sz w:val="19"/>
                <w:szCs w:val="19"/>
                <w:color w:val="auto"/>
              </w:rPr>
            </w:pP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w w:val="99"/>
              </w:rPr>
              <w:t>0.36*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$0.00107 per share is a tax return of capital</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January 7, 2009,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2009 and (3) 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During the period covered by this report, many of the loans in our portfolio had floating interest rates. These loans are usually based on a floating LIBOR rate and typically have durations of three months after which they reset to current market interest rates.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Assuming that the balance sheet as of June 30, 2009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8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Information about our senior securities is shown in the following table as of September 30, 2007, September 30, 2008 and June 30, 2009. The information for September 30, 2007 and September 30, 2008 has been derived from our financial statements which have been audited by KPMG LLP.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0"/>
              </w:rPr>
              <w:t>Involuntary</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w w:val="83"/>
              </w:rPr>
              <w:t>Asset</w:t>
            </w:r>
          </w:p>
        </w:tc>
        <w:tc>
          <w:tcPr>
            <w:tcW w:w="600" w:type="dxa"/>
            <w:vAlign w:val="bottom"/>
          </w:tcPr>
          <w:p>
            <w:pPr>
              <w:spacing w:after="0"/>
              <w:rPr>
                <w:sz w:val="12"/>
                <w:szCs w:val="12"/>
                <w:color w:val="auto"/>
              </w:rPr>
            </w:pPr>
          </w:p>
        </w:tc>
        <w:tc>
          <w:tcPr>
            <w:tcW w:w="13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0"/>
              </w:rPr>
              <w:t>Liquidating</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18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Total Amount</w:t>
            </w:r>
          </w:p>
        </w:tc>
        <w:tc>
          <w:tcPr>
            <w:tcW w:w="300" w:type="dxa"/>
            <w:vAlign w:val="bottom"/>
          </w:tcPr>
          <w:p>
            <w:pPr>
              <w:spacing w:after="0"/>
              <w:rPr>
                <w:sz w:val="11"/>
                <w:szCs w:val="11"/>
                <w:color w:val="auto"/>
              </w:rPr>
            </w:pPr>
          </w:p>
        </w:tc>
        <w:tc>
          <w:tcPr>
            <w:tcW w:w="62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87"/>
              </w:rPr>
              <w:t>Coverage</w:t>
            </w:r>
          </w:p>
        </w:tc>
        <w:tc>
          <w:tcPr>
            <w:tcW w:w="600" w:type="dxa"/>
            <w:vAlign w:val="bottom"/>
          </w:tcPr>
          <w:p>
            <w:pPr>
              <w:spacing w:after="0"/>
              <w:rPr>
                <w:sz w:val="11"/>
                <w:szCs w:val="11"/>
                <w:color w:val="auto"/>
              </w:rPr>
            </w:pPr>
          </w:p>
        </w:tc>
        <w:tc>
          <w:tcPr>
            <w:tcW w:w="13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Preference</w:t>
            </w:r>
          </w:p>
        </w:tc>
        <w:tc>
          <w:tcPr>
            <w:tcW w:w="5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4"/>
              </w:rPr>
              <w:t>Value Per</w:t>
            </w:r>
          </w:p>
        </w:tc>
        <w:tc>
          <w:tcPr>
            <w:tcW w:w="0" w:type="dxa"/>
            <w:vAlign w:val="bottom"/>
          </w:tcPr>
          <w:p>
            <w:pPr>
              <w:spacing w:after="0"/>
              <w:rPr>
                <w:sz w:val="1"/>
                <w:szCs w:val="1"/>
                <w:color w:val="auto"/>
              </w:rPr>
            </w:pPr>
          </w:p>
        </w:tc>
      </w:tr>
      <w:tr>
        <w:trPr>
          <w:trHeight w:val="176"/>
        </w:trPr>
        <w:tc>
          <w:tcPr>
            <w:tcW w:w="6820" w:type="dxa"/>
            <w:vAlign w:val="bottom"/>
            <w:gridSpan w:val="4"/>
          </w:tcPr>
          <w:p>
            <w:pPr>
              <w:spacing w:after="0"/>
              <w:rPr>
                <w:sz w:val="20"/>
                <w:szCs w:val="20"/>
                <w:color w:val="auto"/>
              </w:rPr>
            </w:pPr>
            <w:r>
              <w:rPr>
                <w:rFonts w:ascii="Arial" w:cs="Arial" w:eastAsia="Arial" w:hAnsi="Arial"/>
                <w:sz w:val="14"/>
                <w:szCs w:val="14"/>
                <w:b w:val="1"/>
                <w:bCs w:val="1"/>
                <w:color w:val="auto"/>
              </w:rPr>
              <w:t>Class and Year</w:t>
            </w:r>
          </w:p>
        </w:tc>
        <w:tc>
          <w:tcPr>
            <w:tcW w:w="1180" w:type="dxa"/>
            <w:vAlign w:val="bottom"/>
            <w:gridSpan w:val="3"/>
          </w:tcPr>
          <w:p>
            <w:pPr>
              <w:ind w:left="20"/>
              <w:spacing w:after="0" w:line="176" w:lineRule="exact"/>
              <w:rPr>
                <w:sz w:val="20"/>
                <w:szCs w:val="20"/>
                <w:color w:val="auto"/>
              </w:rPr>
            </w:pPr>
            <w:r>
              <w:rPr>
                <w:rFonts w:ascii="Arial" w:cs="Arial" w:eastAsia="Arial" w:hAnsi="Arial"/>
                <w:sz w:val="13"/>
                <w:szCs w:val="13"/>
                <w:b w:val="1"/>
                <w:bCs w:val="1"/>
                <w:color w:val="auto"/>
              </w:rPr>
              <w:t>Outstanding</w:t>
            </w:r>
            <w:r>
              <w:rPr>
                <w:rFonts w:ascii="Arial" w:cs="Arial" w:eastAsia="Arial" w:hAnsi="Arial"/>
                <w:sz w:val="20"/>
                <w:szCs w:val="20"/>
                <w:b w:val="1"/>
                <w:bCs w:val="1"/>
                <w:color w:val="auto"/>
                <w:vertAlign w:val="superscript"/>
              </w:rPr>
              <w:t>(1)</w:t>
            </w:r>
          </w:p>
        </w:tc>
        <w:tc>
          <w:tcPr>
            <w:tcW w:w="300" w:type="dxa"/>
            <w:vAlign w:val="bottom"/>
          </w:tcPr>
          <w:p>
            <w:pPr>
              <w:spacing w:after="0"/>
              <w:rPr>
                <w:sz w:val="15"/>
                <w:szCs w:val="15"/>
                <w:color w:val="auto"/>
              </w:rPr>
            </w:pPr>
          </w:p>
        </w:tc>
        <w:tc>
          <w:tcPr>
            <w:tcW w:w="620" w:type="dxa"/>
            <w:vAlign w:val="bottom"/>
            <w:gridSpan w:val="2"/>
          </w:tcPr>
          <w:p>
            <w:pPr>
              <w:spacing w:after="0" w:line="176" w:lineRule="exact"/>
              <w:rPr>
                <w:sz w:val="20"/>
                <w:szCs w:val="20"/>
                <w:color w:val="auto"/>
              </w:rPr>
            </w:pPr>
            <w:r>
              <w:rPr>
                <w:rFonts w:ascii="Arial" w:cs="Arial" w:eastAsia="Arial" w:hAnsi="Arial"/>
                <w:sz w:val="13"/>
                <w:szCs w:val="13"/>
                <w:b w:val="1"/>
                <w:bCs w:val="1"/>
                <w:color w:val="auto"/>
                <w:w w:val="91"/>
              </w:rPr>
              <w:t>per Unit</w:t>
            </w:r>
            <w:r>
              <w:rPr>
                <w:rFonts w:ascii="Arial" w:cs="Arial" w:eastAsia="Arial" w:hAnsi="Arial"/>
                <w:sz w:val="20"/>
                <w:szCs w:val="20"/>
                <w:b w:val="1"/>
                <w:bCs w:val="1"/>
                <w:color w:val="auto"/>
                <w:w w:val="91"/>
                <w:vertAlign w:val="superscript"/>
              </w:rPr>
              <w:t>(2)</w:t>
            </w:r>
          </w:p>
        </w:tc>
        <w:tc>
          <w:tcPr>
            <w:tcW w:w="600" w:type="dxa"/>
            <w:vAlign w:val="bottom"/>
          </w:tcPr>
          <w:p>
            <w:pPr>
              <w:spacing w:after="0"/>
              <w:rPr>
                <w:sz w:val="15"/>
                <w:szCs w:val="15"/>
                <w:color w:val="auto"/>
              </w:rPr>
            </w:pPr>
          </w:p>
        </w:tc>
        <w:tc>
          <w:tcPr>
            <w:tcW w:w="1340" w:type="dxa"/>
            <w:vAlign w:val="bottom"/>
            <w:gridSpan w:val="2"/>
          </w:tcPr>
          <w:p>
            <w:pPr>
              <w:ind w:left="40"/>
              <w:spacing w:after="0" w:line="176" w:lineRule="exact"/>
              <w:rPr>
                <w:sz w:val="20"/>
                <w:szCs w:val="20"/>
                <w:color w:val="auto"/>
              </w:rPr>
            </w:pPr>
            <w:r>
              <w:rPr>
                <w:rFonts w:ascii="Arial" w:cs="Arial" w:eastAsia="Arial" w:hAnsi="Arial"/>
                <w:sz w:val="13"/>
                <w:szCs w:val="13"/>
                <w:b w:val="1"/>
                <w:bCs w:val="1"/>
                <w:color w:val="auto"/>
              </w:rPr>
              <w:t>Per Unit</w:t>
            </w:r>
            <w:r>
              <w:rPr>
                <w:rFonts w:ascii="Arial" w:cs="Arial" w:eastAsia="Arial" w:hAnsi="Arial"/>
                <w:sz w:val="20"/>
                <w:szCs w:val="20"/>
                <w:b w:val="1"/>
                <w:bCs w:val="1"/>
                <w:color w:val="auto"/>
                <w:vertAlign w:val="superscript"/>
              </w:rPr>
              <w:t>(3)</w:t>
            </w:r>
          </w:p>
        </w:tc>
        <w:tc>
          <w:tcPr>
            <w:tcW w:w="5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Unit</w:t>
            </w:r>
            <w:r>
              <w:rPr>
                <w:rFonts w:ascii="Arial" w:cs="Arial" w:eastAsia="Arial" w:hAnsi="Arial"/>
                <w:sz w:val="20"/>
                <w:szCs w:val="20"/>
                <w:b w:val="1"/>
                <w:bCs w:val="1"/>
                <w:color w:val="auto"/>
                <w:w w:val="91"/>
                <w:vertAlign w:val="superscript"/>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Credit Facility</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6"/>
              </w:rPr>
              <w:t>Fiscal 2009</w:t>
            </w: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(as of June 30, 2009, unaudited)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187,300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2,034</w:t>
            </w:r>
          </w:p>
        </w:tc>
        <w:tc>
          <w:tcPr>
            <w:tcW w:w="6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N/A</w:t>
            </w: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6"/>
              </w:rPr>
              <w:t>Fiscal 2008</w:t>
            </w: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 of September 30, 2008)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202,000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N/A</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6"/>
              </w:rPr>
              <w:t>Fiscal 2007</w:t>
            </w: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(as of September 30, 2007)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10,000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28,039</w:t>
            </w:r>
          </w:p>
        </w:tc>
        <w:tc>
          <w:tcPr>
            <w:tcW w:w="60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N/A</w:t>
            </w: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000’s).</w:t>
      </w:r>
    </w:p>
    <w:p>
      <w:pPr>
        <w:spacing w:after="0" w:line="76"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August 31, 2009, the last reported closing price of our common stock was $8.35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vMerge w:val="restart"/>
          </w:tcPr>
          <w:p>
            <w:pPr>
              <w:jc w:val="right"/>
              <w:ind w:right="54"/>
              <w:spacing w:after="0"/>
              <w:rPr>
                <w:sz w:val="20"/>
                <w:szCs w:val="20"/>
                <w:color w:val="auto"/>
              </w:rPr>
            </w:pPr>
            <w:r>
              <w:rPr>
                <w:rFonts w:ascii="Arial" w:cs="Arial" w:eastAsia="Arial" w:hAnsi="Arial"/>
                <w:sz w:val="14"/>
                <w:szCs w:val="14"/>
                <w:b w:val="1"/>
                <w:bCs w:val="1"/>
                <w:color w:val="auto"/>
                <w:w w:val="93"/>
              </w:rPr>
              <w:t>Closing Sales Price</w:t>
            </w:r>
          </w:p>
        </w:tc>
        <w:tc>
          <w:tcPr>
            <w:tcW w:w="400" w:type="dxa"/>
            <w:vAlign w:val="bottom"/>
          </w:tcPr>
          <w:p>
            <w:pPr>
              <w:spacing w:after="0"/>
              <w:rPr>
                <w:sz w:val="14"/>
                <w:szCs w:val="14"/>
                <w:color w:val="auto"/>
              </w:rPr>
            </w:pP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6"/>
              </w:rPr>
              <w:t>High Sales</w:t>
            </w: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Low Sales</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9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tcBorders>
              <w:bottom w:val="single" w:sz="8" w:color="auto"/>
            </w:tcBorders>
            <w:gridSpan w:val="3"/>
            <w:vMerge w:val="continue"/>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gridSpan w:val="2"/>
            <w:vMerge w:val="restart"/>
          </w:tcPr>
          <w:p>
            <w:pPr>
              <w:jc w:val="center"/>
              <w:ind w:right="620"/>
              <w:spacing w:after="0" w:line="135" w:lineRule="exact"/>
              <w:rPr>
                <w:sz w:val="20"/>
                <w:szCs w:val="20"/>
                <w:color w:val="auto"/>
              </w:rPr>
            </w:pPr>
            <w:r>
              <w:rPr>
                <w:rFonts w:ascii="Arial" w:cs="Arial" w:eastAsia="Arial" w:hAnsi="Arial"/>
                <w:sz w:val="14"/>
                <w:szCs w:val="14"/>
                <w:b w:val="1"/>
                <w:bCs w:val="1"/>
                <w:color w:val="auto"/>
                <w:w w:val="85"/>
              </w:rPr>
              <w:t>Price to</w:t>
            </w:r>
          </w:p>
        </w:tc>
        <w:tc>
          <w:tcPr>
            <w:tcW w:w="960" w:type="dxa"/>
            <w:vAlign w:val="bottom"/>
            <w:gridSpan w:val="2"/>
            <w:vMerge w:val="restart"/>
          </w:tcPr>
          <w:p>
            <w:pPr>
              <w:jc w:val="center"/>
              <w:ind w:right="380"/>
              <w:spacing w:after="0" w:line="135" w:lineRule="exact"/>
              <w:rPr>
                <w:sz w:val="20"/>
                <w:szCs w:val="20"/>
                <w:color w:val="auto"/>
              </w:rPr>
            </w:pPr>
            <w:r>
              <w:rPr>
                <w:rFonts w:ascii="Arial" w:cs="Arial" w:eastAsia="Arial" w:hAnsi="Arial"/>
                <w:sz w:val="14"/>
                <w:szCs w:val="14"/>
                <w:b w:val="1"/>
                <w:bCs w:val="1"/>
                <w:color w:val="auto"/>
                <w:w w:val="89"/>
              </w:rPr>
              <w:t>Price to</w:t>
            </w:r>
          </w:p>
        </w:tc>
        <w:tc>
          <w:tcPr>
            <w:tcW w:w="220" w:type="dxa"/>
            <w:vAlign w:val="bottom"/>
          </w:tcPr>
          <w:p>
            <w:pPr>
              <w:spacing w:after="0"/>
              <w:rPr>
                <w:sz w:val="6"/>
                <w:szCs w:val="6"/>
                <w:color w:val="auto"/>
              </w:rPr>
            </w:pPr>
          </w:p>
        </w:tc>
        <w:tc>
          <w:tcPr>
            <w:tcW w:w="580" w:type="dxa"/>
            <w:vAlign w:val="bottom"/>
            <w:vMerge w:val="restart"/>
          </w:tcPr>
          <w:p>
            <w:pPr>
              <w:jc w:val="right"/>
              <w:spacing w:after="0" w:line="135"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00" w:type="dxa"/>
            <w:vAlign w:val="bottom"/>
            <w:gridSpan w:val="2"/>
            <w:vMerge w:val="restart"/>
          </w:tcPr>
          <w:p>
            <w:pPr>
              <w:jc w:val="right"/>
              <w:ind w:right="240"/>
              <w:spacing w:after="0" w:line="210" w:lineRule="exact"/>
              <w:rPr>
                <w:sz w:val="20"/>
                <w:szCs w:val="20"/>
                <w:color w:val="auto"/>
              </w:rPr>
            </w:pPr>
            <w:r>
              <w:rPr>
                <w:rFonts w:ascii="Arial" w:cs="Arial" w:eastAsia="Arial" w:hAnsi="Arial"/>
                <w:sz w:val="24"/>
                <w:szCs w:val="24"/>
                <w:b w:val="1"/>
                <w:bCs w:val="1"/>
                <w:color w:val="auto"/>
                <w:w w:val="95"/>
                <w:vertAlign w:val="subscript"/>
              </w:rPr>
              <w:t>NAV</w:t>
            </w:r>
            <w:r>
              <w:rPr>
                <w:rFonts w:ascii="Arial" w:cs="Arial" w:eastAsia="Arial" w:hAnsi="Arial"/>
                <w:sz w:val="10"/>
                <w:szCs w:val="10"/>
                <w:b w:val="1"/>
                <w:bCs w:val="1"/>
                <w:color w:val="auto"/>
                <w:w w:val="95"/>
              </w:rPr>
              <w:t>(1)</w:t>
            </w: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34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4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Low</w:t>
            </w:r>
          </w:p>
        </w:tc>
        <w:tc>
          <w:tcPr>
            <w:tcW w:w="400" w:type="dxa"/>
            <w:vAlign w:val="bottom"/>
          </w:tcPr>
          <w:p>
            <w:pPr>
              <w:spacing w:after="0"/>
              <w:rPr>
                <w:sz w:val="15"/>
                <w:szCs w:val="15"/>
                <w:color w:val="auto"/>
              </w:rPr>
            </w:pPr>
          </w:p>
        </w:tc>
        <w:tc>
          <w:tcPr>
            <w:tcW w:w="1220" w:type="dxa"/>
            <w:vAlign w:val="bottom"/>
            <w:gridSpan w:val="2"/>
          </w:tcPr>
          <w:p>
            <w:pPr>
              <w:jc w:val="center"/>
              <w:ind w:right="620"/>
              <w:spacing w:after="0" w:line="176" w:lineRule="exact"/>
              <w:rPr>
                <w:sz w:val="20"/>
                <w:szCs w:val="20"/>
                <w:color w:val="auto"/>
              </w:rPr>
            </w:pPr>
            <w:r>
              <w:rPr>
                <w:rFonts w:ascii="Arial" w:cs="Arial" w:eastAsia="Arial" w:hAnsi="Arial"/>
                <w:sz w:val="20"/>
                <w:szCs w:val="20"/>
                <w:b w:val="1"/>
                <w:bCs w:val="1"/>
                <w:color w:val="auto"/>
                <w:vertAlign w:val="subscript"/>
              </w:rPr>
              <w:t>NAV</w:t>
            </w:r>
            <w:r>
              <w:rPr>
                <w:rFonts w:ascii="Arial" w:cs="Arial" w:eastAsia="Arial" w:hAnsi="Arial"/>
                <w:sz w:val="9"/>
                <w:szCs w:val="9"/>
                <w:b w:val="1"/>
                <w:bCs w:val="1"/>
                <w:color w:val="auto"/>
              </w:rPr>
              <w:t>(2)</w:t>
            </w:r>
          </w:p>
        </w:tc>
        <w:tc>
          <w:tcPr>
            <w:tcW w:w="960" w:type="dxa"/>
            <w:vAlign w:val="bottom"/>
            <w:gridSpan w:val="2"/>
          </w:tcPr>
          <w:p>
            <w:pPr>
              <w:jc w:val="center"/>
              <w:ind w:right="380"/>
              <w:spacing w:after="0" w:line="176" w:lineRule="exact"/>
              <w:rPr>
                <w:sz w:val="20"/>
                <w:szCs w:val="20"/>
                <w:color w:val="auto"/>
              </w:rPr>
            </w:pPr>
            <w:r>
              <w:rPr>
                <w:rFonts w:ascii="Arial" w:cs="Arial" w:eastAsia="Arial" w:hAnsi="Arial"/>
                <w:sz w:val="20"/>
                <w:szCs w:val="20"/>
                <w:b w:val="1"/>
                <w:bCs w:val="1"/>
                <w:color w:val="auto"/>
                <w:vertAlign w:val="subscript"/>
              </w:rPr>
              <w:t>NAV</w:t>
            </w:r>
            <w:r>
              <w:rPr>
                <w:rFonts w:ascii="Arial" w:cs="Arial" w:eastAsia="Arial" w:hAnsi="Arial"/>
                <w:sz w:val="9"/>
                <w:szCs w:val="9"/>
                <w:b w:val="1"/>
                <w:bCs w:val="1"/>
                <w:color w:val="auto"/>
              </w:rPr>
              <w:t>(2)</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2009</w:t>
            </w: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Fourth quarter (through August 31, 2009)</w:t>
            </w:r>
          </w:p>
        </w:tc>
        <w:tc>
          <w:tcPr>
            <w:tcW w:w="2120" w:type="dxa"/>
            <w:vAlign w:val="bottom"/>
            <w:gridSpan w:val="3"/>
          </w:tcPr>
          <w:p>
            <w:pPr>
              <w:jc w:val="right"/>
              <w:ind w:right="200"/>
              <w:spacing w:after="0"/>
              <w:rPr>
                <w:sz w:val="20"/>
                <w:szCs w:val="20"/>
                <w:color w:val="auto"/>
              </w:rPr>
            </w:pPr>
            <w:r>
              <w:rPr>
                <w:rFonts w:ascii="Arial" w:cs="Arial" w:eastAsia="Arial" w:hAnsi="Arial"/>
                <w:sz w:val="18"/>
                <w:szCs w:val="18"/>
                <w:color w:val="auto"/>
              </w:rPr>
              <w:t>$ N/A</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$ 8.99</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$ 6.28</w:t>
            </w:r>
          </w:p>
        </w:tc>
        <w:tc>
          <w:tcPr>
            <w:tcW w:w="4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11.72</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7.65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120" w:type="dxa"/>
            <w:vAlign w:val="bottom"/>
            <w:gridSpan w:val="3"/>
          </w:tcPr>
          <w:p>
            <w:pPr>
              <w:jc w:val="right"/>
              <w:ind w:right="200"/>
              <w:spacing w:after="0"/>
              <w:rPr>
                <w:sz w:val="20"/>
                <w:szCs w:val="20"/>
                <w:color w:val="auto"/>
              </w:rPr>
            </w:pPr>
            <w:r>
              <w:rPr>
                <w:rFonts w:ascii="Arial" w:cs="Arial" w:eastAsia="Arial" w:hAnsi="Arial"/>
                <w:sz w:val="18"/>
                <w:szCs w:val="18"/>
                <w:color w:val="auto"/>
              </w:rPr>
              <w:t>12.00</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4.05</w:t>
            </w:r>
          </w:p>
        </w:tc>
        <w:tc>
          <w:tcPr>
            <w:tcW w:w="500" w:type="dxa"/>
            <w:vAlign w:val="bottom"/>
          </w:tcPr>
          <w:p>
            <w:pPr>
              <w:jc w:val="right"/>
              <w:spacing w:after="0"/>
              <w:rPr>
                <w:sz w:val="20"/>
                <w:szCs w:val="20"/>
                <w:color w:val="auto"/>
              </w:rPr>
            </w:pPr>
            <w:r>
              <w:rPr>
                <w:rFonts w:ascii="Arial" w:cs="Arial" w:eastAsia="Arial" w:hAnsi="Arial"/>
                <w:sz w:val="18"/>
                <w:szCs w:val="18"/>
                <w:color w:val="auto"/>
              </w:rPr>
              <w:t>2.64</w:t>
            </w:r>
          </w:p>
        </w:tc>
        <w:tc>
          <w:tcPr>
            <w:tcW w:w="1620" w:type="dxa"/>
            <w:vAlign w:val="bottom"/>
            <w:gridSpan w:val="3"/>
          </w:tcPr>
          <w:p>
            <w:pPr>
              <w:jc w:val="right"/>
              <w:ind w:right="600"/>
              <w:spacing w:after="0"/>
              <w:rPr>
                <w:sz w:val="20"/>
                <w:szCs w:val="20"/>
                <w:color w:val="auto"/>
              </w:rPr>
            </w:pPr>
            <w:r>
              <w:rPr>
                <w:rFonts w:ascii="Arial" w:cs="Arial" w:eastAsia="Arial" w:hAnsi="Arial"/>
                <w:sz w:val="18"/>
                <w:szCs w:val="18"/>
                <w:color w:val="auto"/>
              </w:rPr>
              <w:t>34</w:t>
            </w: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10.24</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7.81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322"/>
        </w:trPr>
        <w:tc>
          <w:tcPr>
            <w:tcW w:w="434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8.50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120" w:type="dxa"/>
            <w:vAlign w:val="bottom"/>
            <w:gridSpan w:val="3"/>
          </w:tcPr>
          <w:p>
            <w:pPr>
              <w:jc w:val="right"/>
              <w:ind w:right="200"/>
              <w:spacing w:after="0"/>
              <w:rPr>
                <w:sz w:val="20"/>
                <w:szCs w:val="20"/>
                <w:color w:val="auto"/>
              </w:rPr>
            </w:pPr>
            <w:r>
              <w:rPr>
                <w:rFonts w:ascii="Arial" w:cs="Arial" w:eastAsia="Arial" w:hAnsi="Arial"/>
                <w:sz w:val="18"/>
                <w:szCs w:val="18"/>
                <w:color w:val="auto"/>
              </w:rPr>
              <w:t>10.77</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8.60</w:t>
            </w:r>
          </w:p>
        </w:tc>
        <w:tc>
          <w:tcPr>
            <w:tcW w:w="500" w:type="dxa"/>
            <w:vAlign w:val="bottom"/>
          </w:tcPr>
          <w:p>
            <w:pPr>
              <w:jc w:val="right"/>
              <w:spacing w:after="0"/>
              <w:rPr>
                <w:sz w:val="20"/>
                <w:szCs w:val="20"/>
                <w:color w:val="auto"/>
              </w:rPr>
            </w:pPr>
            <w:r>
              <w:rPr>
                <w:rFonts w:ascii="Arial" w:cs="Arial" w:eastAsia="Arial" w:hAnsi="Arial"/>
                <w:sz w:val="18"/>
                <w:szCs w:val="18"/>
                <w:color w:val="auto"/>
              </w:rPr>
              <w:t>7.05</w:t>
            </w:r>
          </w:p>
        </w:tc>
        <w:tc>
          <w:tcPr>
            <w:tcW w:w="1620" w:type="dxa"/>
            <w:vAlign w:val="bottom"/>
            <w:gridSpan w:val="3"/>
          </w:tcPr>
          <w:p>
            <w:pPr>
              <w:jc w:val="right"/>
              <w:ind w:right="600"/>
              <w:spacing w:after="0"/>
              <w:rPr>
                <w:sz w:val="20"/>
                <w:szCs w:val="20"/>
                <w:color w:val="auto"/>
              </w:rPr>
            </w:pPr>
            <w:r>
              <w:rPr>
                <w:rFonts w:ascii="Arial" w:cs="Arial" w:eastAsia="Arial" w:hAnsi="Arial"/>
                <w:sz w:val="18"/>
                <w:szCs w:val="18"/>
                <w:color w:val="auto"/>
              </w:rPr>
              <w:t>80</w:t>
            </w: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10.26</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11.31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120" w:type="dxa"/>
            <w:vAlign w:val="bottom"/>
            <w:gridSpan w:val="3"/>
          </w:tcPr>
          <w:p>
            <w:pPr>
              <w:jc w:val="right"/>
              <w:ind w:right="200"/>
              <w:spacing w:after="0"/>
              <w:rPr>
                <w:sz w:val="20"/>
                <w:szCs w:val="20"/>
                <w:color w:val="auto"/>
              </w:rPr>
            </w:pPr>
            <w:r>
              <w:rPr>
                <w:rFonts w:ascii="Arial" w:cs="Arial" w:eastAsia="Arial" w:hAnsi="Arial"/>
                <w:sz w:val="18"/>
                <w:szCs w:val="18"/>
                <w:color w:val="auto"/>
              </w:rPr>
              <w:t>12.07</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14.49</w:t>
            </w:r>
          </w:p>
        </w:tc>
        <w:tc>
          <w:tcPr>
            <w:tcW w:w="500" w:type="dxa"/>
            <w:vAlign w:val="bottom"/>
          </w:tcPr>
          <w:p>
            <w:pPr>
              <w:jc w:val="right"/>
              <w:spacing w:after="0"/>
              <w:rPr>
                <w:sz w:val="20"/>
                <w:szCs w:val="20"/>
                <w:color w:val="auto"/>
              </w:rPr>
            </w:pPr>
            <w:r>
              <w:rPr>
                <w:rFonts w:ascii="Arial" w:cs="Arial" w:eastAsia="Arial" w:hAnsi="Arial"/>
                <w:sz w:val="18"/>
                <w:szCs w:val="18"/>
                <w:color w:val="auto"/>
              </w:rPr>
              <w:t>9.08</w:t>
            </w:r>
          </w:p>
        </w:tc>
        <w:tc>
          <w:tcPr>
            <w:tcW w:w="1620" w:type="dxa"/>
            <w:vAlign w:val="bottom"/>
            <w:gridSpan w:val="3"/>
          </w:tcPr>
          <w:p>
            <w:pPr>
              <w:jc w:val="right"/>
              <w:ind w:right="600"/>
              <w:spacing w:after="0"/>
              <w:rPr>
                <w:sz w:val="20"/>
                <w:szCs w:val="20"/>
                <w:color w:val="auto"/>
              </w:rPr>
            </w:pPr>
            <w:r>
              <w:rPr>
                <w:rFonts w:ascii="Arial" w:cs="Arial" w:eastAsia="Arial" w:hAnsi="Arial"/>
                <w:sz w:val="18"/>
                <w:szCs w:val="18"/>
                <w:color w:val="auto"/>
              </w:rPr>
              <w:t>120</w:t>
            </w:r>
          </w:p>
        </w:tc>
        <w:tc>
          <w:tcPr>
            <w:tcW w:w="580" w:type="dxa"/>
            <w:vAlign w:val="bottom"/>
          </w:tcPr>
          <w:p>
            <w:pPr>
              <w:jc w:val="right"/>
              <w:spacing w:after="0"/>
              <w:rPr>
                <w:sz w:val="20"/>
                <w:szCs w:val="20"/>
                <w:color w:val="auto"/>
              </w:rPr>
            </w:pPr>
            <w:r>
              <w:rPr>
                <w:rFonts w:ascii="Arial" w:cs="Arial" w:eastAsia="Arial" w:hAnsi="Arial"/>
                <w:sz w:val="18"/>
                <w:szCs w:val="18"/>
                <w:color w:val="auto"/>
              </w:rPr>
              <w:t>75</w:t>
            </w:r>
          </w:p>
        </w:tc>
        <w:tc>
          <w:tcPr>
            <w:tcW w:w="3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120" w:type="dxa"/>
            <w:vAlign w:val="bottom"/>
            <w:gridSpan w:val="3"/>
          </w:tcPr>
          <w:p>
            <w:pPr>
              <w:jc w:val="right"/>
              <w:ind w:right="200"/>
              <w:spacing w:after="0"/>
              <w:rPr>
                <w:sz w:val="20"/>
                <w:szCs w:val="20"/>
                <w:color w:val="auto"/>
              </w:rPr>
            </w:pPr>
            <w:r>
              <w:rPr>
                <w:rFonts w:ascii="Arial" w:cs="Arial" w:eastAsia="Arial" w:hAnsi="Arial"/>
                <w:sz w:val="18"/>
                <w:szCs w:val="18"/>
                <w:color w:val="auto"/>
              </w:rPr>
              <w:t>12.83</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14.76</w:t>
            </w:r>
          </w:p>
        </w:tc>
        <w:tc>
          <w:tcPr>
            <w:tcW w:w="500" w:type="dxa"/>
            <w:vAlign w:val="bottom"/>
          </w:tcPr>
          <w:p>
            <w:pPr>
              <w:jc w:val="right"/>
              <w:spacing w:after="0"/>
              <w:rPr>
                <w:sz w:val="20"/>
                <w:szCs w:val="20"/>
                <w:color w:val="auto"/>
              </w:rPr>
            </w:pPr>
            <w:r>
              <w:rPr>
                <w:rFonts w:ascii="Arial" w:cs="Arial" w:eastAsia="Arial" w:hAnsi="Arial"/>
                <w:sz w:val="18"/>
                <w:szCs w:val="18"/>
                <w:color w:val="auto"/>
              </w:rPr>
              <w:t>12.61</w:t>
            </w:r>
          </w:p>
        </w:tc>
        <w:tc>
          <w:tcPr>
            <w:tcW w:w="1620" w:type="dxa"/>
            <w:vAlign w:val="bottom"/>
            <w:gridSpan w:val="3"/>
          </w:tcPr>
          <w:p>
            <w:pPr>
              <w:jc w:val="right"/>
              <w:ind w:right="600"/>
              <w:spacing w:after="0"/>
              <w:rPr>
                <w:sz w:val="20"/>
                <w:szCs w:val="20"/>
                <w:color w:val="auto"/>
              </w:rPr>
            </w:pPr>
            <w:r>
              <w:rPr>
                <w:rFonts w:ascii="Arial" w:cs="Arial" w:eastAsia="Arial" w:hAnsi="Arial"/>
                <w:sz w:val="18"/>
                <w:szCs w:val="18"/>
                <w:color w:val="auto"/>
              </w:rPr>
              <w:t>115</w:t>
            </w: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13.74</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15.03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109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77" w:lineRule="exact"/>
        <w:rPr>
          <w:sz w:val="20"/>
          <w:szCs w:val="20"/>
          <w:color w:val="auto"/>
        </w:rPr>
      </w:pPr>
    </w:p>
    <w:p>
      <w:pPr>
        <w:ind w:left="460" w:hanging="408"/>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intend to make distributions on a quarterly basis to our stockholders. The amount and general timing of our quarterly distributions, if any, will be determined by our board of directors. We intend to distribute to our stockholders substantially all of our income. We may elect to make deemed distributions to our stockholders of certain net capital gains. If this happens, you will be treated as if you received an actual distribution of the capital gains we retain and reinvested the after-tax net proceeds in us. You also may be eligible to claim a tax credit (or, in certain circumstances, a tax refund) equal to your allocable share of the tax we paid on the capital gains deemed distributed to you. See “Material U.S. Federal Income Tax Considerations.” With respect to the dividends paid to stockholders, income from origination, structuring, closing, commitment and other upfront fees associated with investments in portfolio companies is treated as taxable income and accordingly, distributed to stockholders.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summarizes our dividends declared since shares of our common stock began being regularly quoted on the NASDAQ Global Select Market:</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161"/>
        </w:trPr>
        <w:tc>
          <w:tcPr>
            <w:tcW w:w="59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2009</w:t>
            </w:r>
          </w:p>
        </w:tc>
        <w:tc>
          <w:tcPr>
            <w:tcW w:w="30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3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00" w:type="dxa"/>
            <w:vAlign w:val="bottom"/>
            <w:vMerge w:val="continue"/>
          </w:tcPr>
          <w:p>
            <w:pPr>
              <w:spacing w:after="0"/>
              <w:rPr>
                <w:sz w:val="19"/>
                <w:szCs w:val="19"/>
                <w:color w:val="auto"/>
              </w:rPr>
            </w:pP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110"/>
        </w:trPr>
        <w:tc>
          <w:tcPr>
            <w:tcW w:w="59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3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3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00" w:type="dxa"/>
            <w:vAlign w:val="bottom"/>
            <w:vMerge w:val="continue"/>
          </w:tcPr>
          <w:p>
            <w:pPr>
              <w:spacing w:after="0"/>
              <w:rPr>
                <w:sz w:val="19"/>
                <w:szCs w:val="19"/>
                <w:color w:val="auto"/>
              </w:rPr>
            </w:pP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110"/>
        </w:trPr>
        <w:tc>
          <w:tcPr>
            <w:tcW w:w="59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3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3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00" w:type="dxa"/>
            <w:vAlign w:val="bottom"/>
            <w:vMerge w:val="continue"/>
          </w:tcPr>
          <w:p>
            <w:pPr>
              <w:spacing w:after="0"/>
              <w:rPr>
                <w:sz w:val="19"/>
                <w:szCs w:val="19"/>
                <w:color w:val="auto"/>
              </w:rPr>
            </w:pP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w w:val="99"/>
              </w:rPr>
              <w:t>0.36*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 $0.00107 per share is a tax return of capital</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19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elected to be taxed as a RIC under Subchapter M of the Internal Revenue Code of 1986. To maintain our RIC status, we must distribute at least 90% of our ordinary income and realized net short-term capital gains in excess of realized net long-term capital losses, if any, out of the assets legally available for distribution. In order to avoid certain excise taxes we must distribute during each calendar year an amount at least equal to the sum of (1) 98% of our ordinary income for the calendar year, (2) 98% of our capital gains in excess of capital losses for the one-year period ending on October 31st and (3) any ordinary income and net capital gains for preceding years that were not distributed during such years. In addition, although we currently intend to distribute realized net capital gains (i.e., realized net long-term capital gains in excess of realized net short-term capital losses), if any, at least annually, out of the assets legally available for such distributions, we</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may in the future decide to retain such capital gains for investment. In such event, the consequences of our retention of net capital gains are as described under “Material U.S. Federal Income Tax Considerations.”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 See “Dividend Reinvestment Plan.”</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January 7, 2009,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2009 and (3) 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PennantPark Investment Corporation, a Maryland corporation organized on January 11, 2007, is a closed-end, externally managed, non-diversified investment company that has elected to be treated as a business development company under the 1940 Act.</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private companies in the form of mezzanine debt, senior secured loans and equity investments.</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investments by investing approximately $10 to $50 million of capital, on average, in the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 In this prospectus, we use the term “middle-market” to refer to companies with annual revenues between $50 million and $1 billion.</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level of our investment activity in our core assets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will continue to use, the proceeds of our public offerings of securities and of our credit facility in accordance with our investment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Structure</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us and our Investment Adviser. Under our Investment Management Agreement, we have agreed to pay our Investment Adviser an annual base management fee based on our average adjusted gross total assets as well as an incentive fee based on our investment performance. See “Certain Relationships and Transactions— Investment Management Agreement.”</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utilize the investing experience and contacts of Arthur H. Penn, the founder of PennantPark Investment Corporation and PennantPark Investment Advisers, as well as the other investment professionals of the Investment adviser. Mr. Penn has over 20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which is the investment adviser of Apollo Investment Corporation, a publicly traded business development company. Mr. Penn served as the Chief Operating Officer and a member of the investment committee of Apollo Investment from its inception in April 2004 through February 2006 and was its President and Chief Operating Officer from February 2006 through November 30, 2006.</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period in which Mr. Penn was the Chief Operating Officer, Apollo Investment Corporation raised approximately $930 million of gross proceeds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an initial public offering in April 2004 and raised an additional $308 million in a follow-on offering of public equity in March 2006. Mr. Penn supervised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negotiation and execution of a senior secured credit facility with a syndicate of banks which, as amended, provided for borrowings up to $2.0 billion.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Penn’s tenure with Apollo Investment Corporation, it invested approximately $2.8 billion in 73 companies in partnership with 54 different financial sponsors.</w:t>
      </w:r>
    </w:p>
    <w:p>
      <w:pPr>
        <w:spacing w:after="0" w:line="18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During Mr. Penn’s career in the financial services industry, he also served as Managing Partner of Apollo Value Fund L.P. (formerly Apollo Distressed Investment Fund, L.P.) from 2003 through November 2006. Mr. Penn previously served as Global Head of Leveraged Finance at UBS Warburg LLC (now UBS Securities LLC)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11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During his more than 20-year career in the financial services industry, Mr. Penn has developed a network of financial sponsor relationships as well as relationships with management teams, investment bankers, attorneys and accountants provide us with access to substantial investment opportunities.</w:t>
      </w:r>
    </w:p>
    <w:p>
      <w:pPr>
        <w:spacing w:after="0" w:line="8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Investment Adviser has three experienced investment professionals, in addition to Mr. Penn, who are also partners. These professionals, Geoffrey Chang, Salvatore Giannetti III and Whit Williams, have a combined 48 years of experience in the mezzanine, private equity and leveraged finance businesses. Mr. Chang was previously a founding member and Principal of Audax Mezzanine from 2000 through 2007 and, prior to that was a Director in the Leveraged Finance Group at CIBC World Markets Corp. Mr. Giannetti previously served as Partner in the private equity firm of Wilton Ivy Partners from 2004 through 2007. Prior to joining Wilton Ivy Partners, he was a Managing Director at UBS Warburg LLC in its Leveraged Finance and Financial Sponsors Groups from March 2000 to November 2001. Mr. Williams was an officer at UBS Investment Bank from 1996 to March 2007, most recently as a Managing Director in its Leveraged Finance and Financial Sponsors Group. They are supported by a team of employees, including three investment professionals who have experience in middle-market investing, leveraged finance and capital markets.</w:t>
      </w:r>
    </w:p>
    <w:p>
      <w:pPr>
        <w:spacing w:after="0" w:line="118"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Our Administrator has experienced professionals including, Aviv Efrat, who serves as our Chief Financial Officer and Treasurer. Mr. Efrat, who is also a Managing Director of the Administrator, has extensive experience in finance, operations, and administration of registered investment companies. Guy Talarico, who serves as our Chief Compliance Officer, has over 20 years of regulatory compliance and securities law experience in the financial services industry, having served with various organizations in the areas of equity and fixed-income portfolio management, money market trading and custody.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 See “Risk Factors—Risks Related to our Business and Structure.”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that the size of the middle-market, coupled with the demands of these companies for flexible sources of capital, creates an attractive investment environment for PennantPark Investment.</w:t>
      </w:r>
    </w:p>
    <w:p>
      <w:pPr>
        <w:spacing w:after="0" w:line="45" w:lineRule="exact"/>
        <w:rPr>
          <w:sz w:val="20"/>
          <w:szCs w:val="20"/>
          <w:color w:val="auto"/>
        </w:rPr>
      </w:pPr>
    </w:p>
    <w:p>
      <w:pPr>
        <w:ind w:left="900" w:right="60" w:hanging="325"/>
        <w:spacing w:after="0" w:line="25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420" w:hanging="325"/>
        <w:spacing w:after="0" w:line="275"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investments. </w:t>
      </w:r>
      <w:r>
        <w:rPr>
          <w:rFonts w:ascii="Arial" w:cs="Arial" w:eastAsia="Arial" w:hAnsi="Arial"/>
          <w:sz w:val="18"/>
          <w:szCs w:val="18"/>
          <w:color w:val="auto"/>
        </w:rPr>
        <w:t>The downturn in the credit market has</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less competition, more conservative capital structures, higher yields and stronger covenants.</w:t>
      </w:r>
    </w:p>
    <w:p>
      <w:pPr>
        <w:spacing w:after="0" w:line="38" w:lineRule="exact"/>
        <w:rPr>
          <w:rFonts w:ascii="Arial" w:cs="Arial" w:eastAsia="Arial" w:hAnsi="Arial"/>
          <w:sz w:val="18"/>
          <w:szCs w:val="18"/>
          <w:color w:val="auto"/>
        </w:rPr>
      </w:pPr>
    </w:p>
    <w:p>
      <w:pPr>
        <w:ind w:left="900" w:right="120" w:hanging="325"/>
        <w:spacing w:after="0" w:line="296"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which is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These private equity funds generally seek to leverage their investments by combining their capital with mezzanine loans and/or senior secured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900" w:right="60" w:hanging="325"/>
        <w:spacing w:after="0" w:line="301"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diligence is designed to ensure that each prospective portfolio company will be able to meet its debt service obligations. See “Business-Investment Process-Investment Selection Criteria” and “Business-Investment Process-Due Diligence.”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expect that the in-depth coverage and experience of our Investment Adviser, will enable us to invest throughout various stages of the economic cycle and will provide us with ongoing market insights in addition to a significant investment sourcing engine.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use the industry information available to our Investment Adviser to assess investment risks and determine appropriate pricing for our investments in portfolio companies. We benefit from the relationships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Investment Adviser, which enables us to learn about, and compete effectively for, financing opportunities with attractive middle-market companies in the industries in which we invest. For additional information concerning the competitive risks we face, please see “Risk Factors—Risks Relating to our Business and Structure-We operate in a highly competitive market for investment opportunities.”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maintain a five-year, multi-currency $300 million senior secured credit facility with a group of lenders, under which we had $202.0 million (including a $40.0 million temporary draw) and $187.3 million of indebtedness outstanding at September 30, 2008 and June 30, 2009, respectively. We believe that our substantial debt capital resources will provide us with the flexibility to take advantage of market opportunities when they arise.</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our credit facility, the lenders agreed to extend us credit in an initial aggregate principal or face amount not exceeding $300.0 million at any one time outstanding. The credit facility is a five-year revolving facility (with a stated maturity date of June 25, 2012) and is secured by substantially all of our investment portfolio assets. Pricing of borrowings under our credit facility is set at 100 basis points over LIBOR.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OBJECTIVES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by targeting investment size of $10 to $50 million in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Additionally, we may in the future seek to securitize our loans to generate cash for funding new investments. To securitize loans, we may create a wholly owned subsidiary and contribute a pool of loans to the subsidiary. This could include sales of interests in the subsidiary on a non-recourse basis to purchasers who we would expect to be willing to accept a lower interest rate to invest in investment grade loan pools, and we would retain a portion of the equity in the securitized pool of loans. See “Investment Objectives and Policies—Investment selection criteria.”</w:t>
      </w:r>
    </w:p>
    <w:p>
      <w:pPr>
        <w:spacing w:after="0" w:line="113"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Structurally, mezzanine debt (which includes second lien secured debt and subordinated debt) usually ranks subordinate in priority of payment to senior secured loans. Our second lien secured debt is subordinated debt that benefits from a collateral interest in the borrower. As such, other creditors may rank senior to us in the event of insolvency. However, mezzanine debt ranks senior to common and preferred equity in a borrowers’ capital structure. Due to its higher risk profile and often less restrictive covenants as compared to senior secured loans, mezzanine debt generally earns a higher return than senior secured loans. In many cases mezzanine investors receive opportunities to invest directly in the equity investments of borrowers and from time to time may also receive warrants to purchase equity investments. We evaluate these investment opportunities on a case-by-case basis.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are committed to a value oriented philosophy used by the investment professionals who manage our portfolio and seek to minimize the risk of capital loss without foregoing potential for capital appreciation.</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identified several criteria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Generally, we seek to use our experience and access to market information to identify investment candidates and to structure investments quickly and effectively.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orientation and positive cash flow</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investment philosophy places a premium on fundamental analysis from an investor’s perspective and has a distinct value orientation. We focus on companies in which we can invest at relatively low multiples of operating cash flow and that are profitable at the time of investment on an operating cash flow basis. Typically, we do not expect to invest in start-up companies or companies having speculative business plans.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Experienced management and established financial sponsor relationship</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generally require that our portfolio companies have an experienced management team. We also require the portfolio companies to have proper incentives in place to induce management to succeed and to act in concert with our interests as investors, including having significant equity interests. In addition, we focus our investments in companies backed by strong financial sponsors that have a history of creating value and with whom members of our Investment Adviser have an established relationship.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Strong and defensible competitive market position in industry</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seek to invest in target companies that have developed leading market positions within their respective markets and are well positioned to capitalize on growth opportunities. We also seek companies that demonstrate significant competitive advantages versus their competitors, which should help to protect their market position and profitability.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Viable exit strategy</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another capital market transaction.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We, through our Investment Adviser, conduct a rigorous due diligence process that is applied to prospective portfolio companies that draws from our Investment Adviser’s experience, industry expertise and network of contacts. In conducting due diligence, our Investment Adviser uses publicly available information as well as information from its relationships with former and current management teams, consultants, competitors and investment bankers.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90"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of loan documents;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principals leading the investment present the investment opportunity to our Investment Adviser’s investment committee. This committee determines whether to pursue the potential investment. All new investments are required to be reviewed by the investment committee of our Investment Adviser, which currently consists of Messrs. Penn, Chang, Giannetti and Williams, subject to final approval by Mr. Penn. As our Investment Adviser adds senior investment professionals, our Investment Adviser may add them to its investment committee. The members of our investment committee receive no compensation from us. These members are employees of our Investment Adviser and receive compensation from our Investment Adviser.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structure</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expected to perform relative to the other capital in the portfolio company’s capital structure.</w:t>
      </w:r>
    </w:p>
    <w:p>
      <w:pPr>
        <w:spacing w:after="0" w:line="14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Mezzanine debt typically has interest-only payments in the early years, with amortization of principal deferred to the later years of the mezzanine debt.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case of our mezzanine debt and senior secured loan investments,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62"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20" w:hanging="325"/>
        <w:spacing w:after="0" w:line="306"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expect to hold most of our investments to maturity or repayment, but may sell certain investments earlier if a liquidity event takes place, such as the sale or recapitalization of a portfolio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Monitoring</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Comparisons to other PennantPark Investment portfolio companies in the industry,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if available, obtained from at least two broker/dealers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purchased within 60 days of maturity are valued at cost plus accreted discount, or minus amortized premium, which approximates value. With respect to unquoted securities, our board of directors, together with our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When an external event such as a purchase transaction, public offering or subsequent equity sale occurs in connection with one of our portfolio companies, our board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believed not to reflect the fair value of an investment, our board of directors undertakes a multi-step valuation process each quarter, as described below:</w:t>
      </w:r>
    </w:p>
    <w:p>
      <w:pPr>
        <w:spacing w:after="0" w:line="51" w:lineRule="exact"/>
        <w:rPr>
          <w:sz w:val="20"/>
          <w:szCs w:val="20"/>
          <w:color w:val="auto"/>
        </w:rPr>
      </w:pPr>
    </w:p>
    <w:p>
      <w:pPr>
        <w:ind w:left="460" w:right="240" w:firstLine="443"/>
        <w:spacing w:after="0" w:line="268" w:lineRule="auto"/>
        <w:tabs>
          <w:tab w:leader="none" w:pos="1088"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1100" w:hanging="197"/>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6" w:lineRule="auto"/>
        <w:tabs>
          <w:tab w:leader="none" w:pos="1088"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460" w:right="120" w:firstLine="443"/>
        <w:spacing w:after="0" w:line="332" w:lineRule="auto"/>
        <w:tabs>
          <w:tab w:leader="none" w:pos="1088"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460" w:right="160" w:firstLine="443"/>
        <w:spacing w:after="0" w:line="268" w:lineRule="auto"/>
        <w:tabs>
          <w:tab w:leader="none" w:pos="108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September 2006, the Financial Accounting Standards Board issued SFAS 157,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We adopted this statement on October 1, 2008. This adoption did not affect our financial position or its results of operations.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SFAS No. 157 classifies the inputs used to measure these fair values into the following hierarchy: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Inputs that are quoted prices (unadjusted) in active markets for identical assets or liabilities, accessible by us at the measurement date.</w:t>
      </w:r>
    </w:p>
    <w:p>
      <w:pPr>
        <w:spacing w:after="0" w:line="113" w:lineRule="exact"/>
        <w:rPr>
          <w:sz w:val="20"/>
          <w:szCs w:val="20"/>
          <w:color w:val="auto"/>
        </w:rPr>
      </w:pPr>
    </w:p>
    <w:p>
      <w:pPr>
        <w:ind w:left="240" w:right="60" w:firstLine="223"/>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that are quoted prices for similar assets or liabilities in active markets, or that are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ind w:left="240" w:right="20" w:firstLine="223"/>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an asset or liability because they are based on our own assumptions about how market participants would price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132" w:lineRule="exact"/>
        <w:rPr>
          <w:sz w:val="20"/>
          <w:szCs w:val="20"/>
          <w:color w:val="auto"/>
        </w:rPr>
      </w:pPr>
    </w:p>
    <w:p>
      <w:pPr>
        <w:ind w:right="920" w:firstLine="456"/>
        <w:spacing w:after="0" w:line="332"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All of our investments (other than cash and cash equivalents) and long-term credit facility are classified as Level 3.</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In February 2007, the FASB issued SFAS 159, </w:t>
      </w:r>
      <w:r>
        <w:rPr>
          <w:rFonts w:ascii="Arial" w:cs="Arial" w:eastAsia="Arial" w:hAnsi="Arial"/>
          <w:sz w:val="16"/>
          <w:szCs w:val="16"/>
          <w:i w:val="1"/>
          <w:iCs w:val="1"/>
          <w:color w:val="auto"/>
        </w:rPr>
        <w:t>The Fair Value Option for Financial Assets and Financial Liabilities—Including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115</w:t>
      </w:r>
      <w:r>
        <w:rPr>
          <w:rFonts w:ascii="Arial" w:cs="Arial" w:eastAsia="Arial" w:hAnsi="Arial"/>
          <w:sz w:val="16"/>
          <w:szCs w:val="16"/>
          <w:color w:val="auto"/>
        </w:rPr>
        <w:t>. This statement permits an entity to choose to measure many financial instruments and certain other items at fair value. This statement applies to all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adopted SFAS 159 on October 1, 2008 and have made an irrevocable election to apply the fair value option to our credit facility liability. The fair value option was elected for our credit facility to align the measurement attributes of both the assets and liabilities while mitigating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volatility in earnings from using different measurement attributes. Upon our adoption our net asset value increased by $41.8 million, or $1.99 per share, due to the fair value adjustment related to our credit facility. We have used a nationally recognized independent valuation service to measure the fair value of our credit facility in a manner consistent with the valuation process that our board of directors uses to value our investments. After adoption, subsequent changes in the fair value of our credit facility will be recorded In the statement of operations. We have not elected to apply SFAS 159 to any other financial assets or liabilities. For the three months and nine months ended June 30, 2009, approximately $9.2 million was recorded as a change in unrealized appreciation and $11.4 million was recorded as a change in unrealized depreciation on the credit facility in the statement of operations, respectively.</w:t>
      </w:r>
    </w:p>
    <w:p>
      <w:pPr>
        <w:spacing w:after="0" w:line="12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In April 2009, the FASB issued FASB Staff Position No. 157-4, </w:t>
      </w:r>
      <w:r>
        <w:rPr>
          <w:rFonts w:ascii="Arial" w:cs="Arial" w:eastAsia="Arial" w:hAnsi="Arial"/>
          <w:sz w:val="16"/>
          <w:szCs w:val="16"/>
          <w:i w:val="1"/>
          <w:iCs w:val="1"/>
          <w:color w:val="auto"/>
        </w:rPr>
        <w:t>Determining Fair Value When the Volume and Level of Activity for the Asset or Liability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Have Significantly Decreased and Identifying Transactions That Are Not Orderly </w:t>
      </w:r>
      <w:r>
        <w:rPr>
          <w:rFonts w:ascii="Arial" w:cs="Arial" w:eastAsia="Arial" w:hAnsi="Arial"/>
          <w:sz w:val="16"/>
          <w:szCs w:val="16"/>
          <w:color w:val="auto"/>
        </w:rPr>
        <w:t>(“FSP No. 157-4”). FSP No. 157-4 made amendments to SFAS No. 157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additional guidance for estimating fair value in accordance with SFAS No. 157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FSP No. 157-4 is effective for periods ending after June 15, 2009; we adopted FSP No. 157-4 on June 30, 2009. The adoption of FSP No. 157-4 did not have a material impact on our consolidated financial statements.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12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When we make investments that involve deferrals of interest payable to us, any increase in the value of the investment due to the accrual or receipt of payment of interest is allocated to the increase in the cost basis of the investment, rather than to capital appreciation or gain.</w:t>
      </w:r>
    </w:p>
    <w:p>
      <w:pPr>
        <w:spacing w:after="0" w:line="8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It is possible that future events unforeseen by us or our Investment Adviser, such as a disturbance in the global credit markets, a severe decline in the value of the U.S. dollar, a sharp economic downturn or other general market disturbance, will negatively impact the market for leveraged finance instruments. If the market for our investments is substantially eroded, we may not find purchasers for our portfolio securities at all, or we may be able to sell them only for a fraction of their previously recorded value. During such times, our board of directors, in conjunction with our Investment Adviser and one or more independent valuation firms will continue to determine the fair value of our investments in accordance with our valuation process enumerated above. They will take into account the applicable market conditions, the nature and realizable value of any collateral, the portfolio company’s ability to make payments, its earnings and cash flows, the markets in which the portfolio company does business, comparison to publicly traded companies and other relevant factors. Determining fair value requires that judgment be applied to the specific facts and circumstances of each portfolio investment while employing a consistently applied valuation process for the types of investments we make.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a business development company, we offer, and must provide upon request, managerial assistance to certain of our portfolio companies. This assistance could involve monitoring the operations of our portfolio companies, participating in board and management meetings, consulting with and advising officers of portfolio companies and providing other organizational and financial guidance. Our Administrator provides such managerial assistance on our behalf to portfolio companies, if requested. We have not received any fees for such services since inception.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do not currently have any employees. Mr. Penn, our Chief Executive Officer, is the Managing Member of our Investment Adviser. Our Investment Adviser currently has four senior investment professionals, Messrs. Chang, Giannetti, Penn and Williams. In addition, Mr. Efrat, our Chief Financial Officer and Treasurer, is a Managing Director of our Administrator, and Mr. Guy Talarico is our Chief Compliance Officer. Our Administrator and our Investment Adviser have hired and expect to continue to hire professionals with skills applicable to our business plan, including experience in middle-market investing, leveraged finance and capital markets.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principal investment focus is to provide mezzanine debt and senior secured loans to U.S. middle-market companies in a variety of industries. We generally seek to target companies that generate positive cash flows from the broad variety of industries in which our Investment Adviser has direct expertise. The following is a representative list of the industries in which we have invested:</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0" w:type="dxa"/>
            <w:vAlign w:val="bottom"/>
          </w:tcPr>
          <w:p>
            <w:pPr>
              <w:ind w:left="120"/>
              <w:spacing w:after="0"/>
              <w:rPr>
                <w:sz w:val="20"/>
                <w:szCs w:val="20"/>
                <w:color w:val="auto"/>
              </w:rPr>
            </w:pPr>
            <w:r>
              <w:rPr>
                <w:rFonts w:ascii="Arial" w:cs="Arial" w:eastAsia="Arial" w:hAnsi="Arial"/>
                <w:sz w:val="18"/>
                <w:szCs w:val="18"/>
                <w:color w:val="auto"/>
              </w:rPr>
              <w:t>Aerospace &amp; Defense</w:t>
            </w:r>
          </w:p>
        </w:tc>
        <w:tc>
          <w:tcPr>
            <w:tcW w:w="1820" w:type="dxa"/>
            <w:vAlign w:val="bottom"/>
          </w:tcPr>
          <w:p>
            <w:pPr>
              <w:ind w:left="1640"/>
              <w:spacing w:after="0"/>
              <w:rPr>
                <w:sz w:val="20"/>
                <w:szCs w:val="20"/>
                <w:color w:val="auto"/>
              </w:rPr>
            </w:pPr>
            <w:r>
              <w:rPr>
                <w:rFonts w:ascii="Arial" w:cs="Arial" w:eastAsia="Arial" w:hAnsi="Arial"/>
                <w:sz w:val="18"/>
                <w:szCs w:val="18"/>
                <w:color w:val="auto"/>
              </w:rPr>
              <w:t>•</w:t>
            </w:r>
          </w:p>
        </w:tc>
        <w:tc>
          <w:tcPr>
            <w:tcW w:w="4640" w:type="dxa"/>
            <w:vAlign w:val="bottom"/>
          </w:tcPr>
          <w:p>
            <w:pPr>
              <w:ind w:left="120"/>
              <w:spacing w:after="0"/>
              <w:rPr>
                <w:sz w:val="20"/>
                <w:szCs w:val="20"/>
                <w:color w:val="auto"/>
              </w:rPr>
            </w:pPr>
            <w:r>
              <w:rPr>
                <w:rFonts w:ascii="Arial" w:cs="Arial" w:eastAsia="Arial" w:hAnsi="Arial"/>
                <w:sz w:val="18"/>
                <w:szCs w:val="18"/>
                <w:color w:val="auto"/>
                <w:w w:val="89"/>
              </w:rPr>
              <w:t>Home &amp; Office Furnishings, Housewares, &amp; Durable Consumer</w:t>
            </w:r>
          </w:p>
        </w:tc>
        <w:tc>
          <w:tcPr>
            <w:tcW w:w="0" w:type="dxa"/>
            <w:vAlign w:val="bottom"/>
          </w:tcPr>
          <w:p>
            <w:pPr>
              <w:spacing w:after="0"/>
              <w:rPr>
                <w:sz w:val="1"/>
                <w:szCs w:val="1"/>
                <w:color w:val="auto"/>
              </w:rPr>
            </w:pPr>
          </w:p>
        </w:tc>
      </w:tr>
      <w:tr>
        <w:trPr>
          <w:trHeight w:val="222"/>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000" w:type="dxa"/>
            <w:vAlign w:val="bottom"/>
            <w:vMerge w:val="restart"/>
          </w:tcPr>
          <w:p>
            <w:pPr>
              <w:ind w:left="120"/>
              <w:spacing w:after="0"/>
              <w:rPr>
                <w:sz w:val="20"/>
                <w:szCs w:val="20"/>
                <w:color w:val="auto"/>
              </w:rPr>
            </w:pPr>
            <w:r>
              <w:rPr>
                <w:rFonts w:ascii="Arial" w:cs="Arial" w:eastAsia="Arial" w:hAnsi="Arial"/>
                <w:sz w:val="18"/>
                <w:szCs w:val="18"/>
                <w:color w:val="auto"/>
              </w:rPr>
              <w:t>Auto Sector</w:t>
            </w:r>
          </w:p>
        </w:tc>
        <w:tc>
          <w:tcPr>
            <w:tcW w:w="182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Products</w:t>
            </w: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Arial" w:cs="Arial" w:eastAsia="Arial" w:hAnsi="Arial"/>
                <w:sz w:val="18"/>
                <w:szCs w:val="18"/>
                <w:color w:val="auto"/>
              </w:rPr>
              <w:t>•</w:t>
            </w:r>
          </w:p>
        </w:tc>
        <w:tc>
          <w:tcPr>
            <w:tcW w:w="4640" w:type="dxa"/>
            <w:vAlign w:val="bottom"/>
            <w:vMerge w:val="restart"/>
          </w:tcPr>
          <w:p>
            <w:pPr>
              <w:ind w:left="120"/>
              <w:spacing w:after="0"/>
              <w:rPr>
                <w:sz w:val="20"/>
                <w:szCs w:val="20"/>
                <w:color w:val="auto"/>
              </w:rPr>
            </w:pPr>
            <w:r>
              <w:rPr>
                <w:rFonts w:ascii="Arial" w:cs="Arial" w:eastAsia="Arial" w:hAnsi="Arial"/>
                <w:sz w:val="18"/>
                <w:szCs w:val="18"/>
                <w:color w:val="auto"/>
              </w:rPr>
              <w:t>Insurance</w:t>
            </w:r>
          </w:p>
        </w:tc>
        <w:tc>
          <w:tcPr>
            <w:tcW w:w="0" w:type="dxa"/>
            <w:vAlign w:val="bottom"/>
          </w:tcPr>
          <w:p>
            <w:pPr>
              <w:spacing w:after="0"/>
              <w:rPr>
                <w:sz w:val="1"/>
                <w:szCs w:val="1"/>
                <w:color w:val="auto"/>
              </w:rPr>
            </w:pPr>
          </w:p>
        </w:tc>
      </w:tr>
      <w:tr>
        <w:trPr>
          <w:trHeight w:val="216"/>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   Buildings &amp; Real Estate</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4180" w:type="dxa"/>
            <w:vAlign w:val="bottom"/>
            <w:gridSpan w:val="2"/>
            <w:vMerge w:val="continue"/>
          </w:tcPr>
          <w:p>
            <w:pPr>
              <w:spacing w:after="0"/>
              <w:rPr>
                <w:sz w:val="7"/>
                <w:szCs w:val="7"/>
                <w:color w:val="auto"/>
              </w:rPr>
            </w:pPr>
          </w:p>
        </w:tc>
        <w:tc>
          <w:tcPr>
            <w:tcW w:w="6460" w:type="dxa"/>
            <w:vAlign w:val="bottom"/>
            <w:gridSpan w:val="2"/>
            <w:vMerge w:val="restart"/>
          </w:tcPr>
          <w:p>
            <w:pPr>
              <w:ind w:left="1640"/>
              <w:spacing w:after="0"/>
              <w:rPr>
                <w:sz w:val="20"/>
                <w:szCs w:val="20"/>
                <w:color w:val="auto"/>
              </w:rPr>
            </w:pPr>
            <w:r>
              <w:rPr>
                <w:rFonts w:ascii="Arial" w:cs="Arial" w:eastAsia="Arial" w:hAnsi="Arial"/>
                <w:sz w:val="18"/>
                <w:szCs w:val="18"/>
                <w:color w:val="auto"/>
              </w:rPr>
              <w:t>•   Leisure, Amusement, Motion Pictures, Entertainment</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000" w:type="dxa"/>
            <w:vAlign w:val="bottom"/>
            <w:vMerge w:val="restart"/>
          </w:tcPr>
          <w:p>
            <w:pPr>
              <w:ind w:left="120"/>
              <w:spacing w:after="0"/>
              <w:rPr>
                <w:sz w:val="20"/>
                <w:szCs w:val="20"/>
                <w:color w:val="auto"/>
              </w:rPr>
            </w:pPr>
            <w:r>
              <w:rPr>
                <w:rFonts w:ascii="Arial" w:cs="Arial" w:eastAsia="Arial" w:hAnsi="Arial"/>
                <w:sz w:val="18"/>
                <w:szCs w:val="18"/>
                <w:color w:val="auto"/>
              </w:rPr>
              <w:t>Business Services</w:t>
            </w:r>
          </w:p>
        </w:tc>
        <w:tc>
          <w:tcPr>
            <w:tcW w:w="6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Arial" w:cs="Arial" w:eastAsia="Arial" w:hAnsi="Arial"/>
                <w:sz w:val="18"/>
                <w:szCs w:val="18"/>
                <w:color w:val="auto"/>
              </w:rPr>
              <w:t>•</w:t>
            </w:r>
          </w:p>
        </w:tc>
        <w:tc>
          <w:tcPr>
            <w:tcW w:w="4640" w:type="dxa"/>
            <w:vAlign w:val="bottom"/>
            <w:vMerge w:val="restart"/>
          </w:tcPr>
          <w:p>
            <w:pPr>
              <w:ind w:left="120"/>
              <w:spacing w:after="0"/>
              <w:rPr>
                <w:sz w:val="20"/>
                <w:szCs w:val="20"/>
                <w:color w:val="auto"/>
              </w:rPr>
            </w:pPr>
            <w:r>
              <w:rPr>
                <w:rFonts w:ascii="Arial" w:cs="Arial" w:eastAsia="Arial" w:hAnsi="Arial"/>
                <w:sz w:val="18"/>
                <w:szCs w:val="18"/>
                <w:color w:val="auto"/>
              </w:rPr>
              <w:t>Manufacturing/Basic Industry</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000" w:type="dxa"/>
            <w:vAlign w:val="bottom"/>
            <w:vMerge w:val="restart"/>
          </w:tcPr>
          <w:p>
            <w:pPr>
              <w:ind w:left="120"/>
              <w:spacing w:after="0"/>
              <w:rPr>
                <w:sz w:val="20"/>
                <w:szCs w:val="20"/>
                <w:color w:val="auto"/>
              </w:rPr>
            </w:pPr>
            <w:r>
              <w:rPr>
                <w:rFonts w:ascii="Arial" w:cs="Arial" w:eastAsia="Arial" w:hAnsi="Arial"/>
                <w:sz w:val="18"/>
                <w:szCs w:val="18"/>
                <w:color w:val="auto"/>
              </w:rPr>
              <w:t>Cargo Transport</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Arial" w:cs="Arial" w:eastAsia="Arial" w:hAnsi="Arial"/>
                <w:sz w:val="18"/>
                <w:szCs w:val="18"/>
                <w:color w:val="auto"/>
              </w:rPr>
              <w:t>•</w:t>
            </w:r>
          </w:p>
        </w:tc>
        <w:tc>
          <w:tcPr>
            <w:tcW w:w="4640" w:type="dxa"/>
            <w:vAlign w:val="bottom"/>
            <w:vMerge w:val="restart"/>
          </w:tcPr>
          <w:p>
            <w:pPr>
              <w:ind w:left="120"/>
              <w:spacing w:after="0"/>
              <w:rPr>
                <w:sz w:val="20"/>
                <w:szCs w:val="20"/>
                <w:color w:val="auto"/>
              </w:rPr>
            </w:pPr>
            <w:r>
              <w:rPr>
                <w:rFonts w:ascii="Arial" w:cs="Arial" w:eastAsia="Arial" w:hAnsi="Arial"/>
                <w:sz w:val="18"/>
                <w:szCs w:val="18"/>
                <w:color w:val="auto"/>
              </w:rPr>
              <w:t>Oil &amp; Gas</w:t>
            </w:r>
          </w:p>
        </w:tc>
        <w:tc>
          <w:tcPr>
            <w:tcW w:w="0" w:type="dxa"/>
            <w:vAlign w:val="bottom"/>
          </w:tcPr>
          <w:p>
            <w:pPr>
              <w:spacing w:after="0"/>
              <w:rPr>
                <w:sz w:val="1"/>
                <w:szCs w:val="1"/>
                <w:color w:val="auto"/>
              </w:rPr>
            </w:pPr>
          </w:p>
        </w:tc>
      </w:tr>
      <w:tr>
        <w:trPr>
          <w:trHeight w:val="216"/>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   Chemicals, Plastics and Rubber</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4180" w:type="dxa"/>
            <w:vAlign w:val="bottom"/>
            <w:gridSpan w:val="2"/>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Arial" w:cs="Arial" w:eastAsia="Arial" w:hAnsi="Arial"/>
                <w:sz w:val="18"/>
                <w:szCs w:val="18"/>
                <w:color w:val="auto"/>
              </w:rPr>
              <w:t>•</w:t>
            </w:r>
          </w:p>
        </w:tc>
        <w:tc>
          <w:tcPr>
            <w:tcW w:w="4640" w:type="dxa"/>
            <w:vAlign w:val="bottom"/>
            <w:vMerge w:val="restart"/>
          </w:tcPr>
          <w:p>
            <w:pPr>
              <w:ind w:left="120"/>
              <w:spacing w:after="0"/>
              <w:rPr>
                <w:sz w:val="20"/>
                <w:szCs w:val="20"/>
                <w:color w:val="auto"/>
              </w:rPr>
            </w:pPr>
            <w:r>
              <w:rPr>
                <w:rFonts w:ascii="Arial" w:cs="Arial" w:eastAsia="Arial" w:hAnsi="Arial"/>
                <w:sz w:val="18"/>
                <w:szCs w:val="18"/>
                <w:color w:val="auto"/>
              </w:rPr>
              <w:t>Other Media</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000" w:type="dxa"/>
            <w:vAlign w:val="bottom"/>
            <w:vMerge w:val="restart"/>
          </w:tcPr>
          <w:p>
            <w:pPr>
              <w:ind w:left="120"/>
              <w:spacing w:after="0"/>
              <w:rPr>
                <w:sz w:val="20"/>
                <w:szCs w:val="20"/>
                <w:color w:val="auto"/>
              </w:rPr>
            </w:pPr>
            <w:r>
              <w:rPr>
                <w:rFonts w:ascii="Arial" w:cs="Arial" w:eastAsia="Arial" w:hAnsi="Arial"/>
                <w:sz w:val="18"/>
                <w:szCs w:val="18"/>
                <w:color w:val="auto"/>
              </w:rPr>
              <w:t>Consumer Products</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Arial" w:cs="Arial" w:eastAsia="Arial" w:hAnsi="Arial"/>
                <w:sz w:val="18"/>
                <w:szCs w:val="18"/>
                <w:color w:val="auto"/>
              </w:rPr>
              <w:t>•</w:t>
            </w:r>
          </w:p>
        </w:tc>
        <w:tc>
          <w:tcPr>
            <w:tcW w:w="4640" w:type="dxa"/>
            <w:vAlign w:val="bottom"/>
            <w:vMerge w:val="restart"/>
          </w:tcPr>
          <w:p>
            <w:pPr>
              <w:ind w:left="120"/>
              <w:spacing w:after="0"/>
              <w:rPr>
                <w:sz w:val="20"/>
                <w:szCs w:val="20"/>
                <w:color w:val="auto"/>
              </w:rPr>
            </w:pPr>
            <w:r>
              <w:rPr>
                <w:rFonts w:ascii="Arial" w:cs="Arial" w:eastAsia="Arial" w:hAnsi="Arial"/>
                <w:sz w:val="18"/>
                <w:szCs w:val="18"/>
                <w:color w:val="auto"/>
              </w:rPr>
              <w:t>Printing</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000" w:type="dxa"/>
            <w:vAlign w:val="bottom"/>
            <w:vMerge w:val="restart"/>
          </w:tcPr>
          <w:p>
            <w:pPr>
              <w:ind w:left="120"/>
              <w:spacing w:after="0"/>
              <w:rPr>
                <w:sz w:val="20"/>
                <w:szCs w:val="20"/>
                <w:color w:val="auto"/>
              </w:rPr>
            </w:pPr>
            <w:r>
              <w:rPr>
                <w:rFonts w:ascii="Arial" w:cs="Arial" w:eastAsia="Arial" w:hAnsi="Arial"/>
                <w:sz w:val="18"/>
                <w:szCs w:val="18"/>
                <w:color w:val="auto"/>
              </w:rPr>
              <w:t>Distribution</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Arial" w:cs="Arial" w:eastAsia="Arial" w:hAnsi="Arial"/>
                <w:sz w:val="18"/>
                <w:szCs w:val="18"/>
                <w:color w:val="auto"/>
              </w:rPr>
              <w:t>•</w:t>
            </w:r>
          </w:p>
        </w:tc>
        <w:tc>
          <w:tcPr>
            <w:tcW w:w="4640" w:type="dxa"/>
            <w:vAlign w:val="bottom"/>
            <w:vMerge w:val="restart"/>
          </w:tcPr>
          <w:p>
            <w:pPr>
              <w:ind w:left="120"/>
              <w:spacing w:after="0"/>
              <w:rPr>
                <w:sz w:val="20"/>
                <w:szCs w:val="20"/>
                <w:color w:val="auto"/>
              </w:rPr>
            </w:pPr>
            <w:r>
              <w:rPr>
                <w:rFonts w:ascii="Arial" w:cs="Arial" w:eastAsia="Arial" w:hAnsi="Arial"/>
                <w:sz w:val="18"/>
                <w:szCs w:val="18"/>
                <w:color w:val="auto"/>
              </w:rPr>
              <w:t>Retail</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000" w:type="dxa"/>
            <w:vAlign w:val="bottom"/>
            <w:vMerge w:val="restart"/>
          </w:tcPr>
          <w:p>
            <w:pPr>
              <w:ind w:left="120"/>
              <w:spacing w:after="0"/>
              <w:rPr>
                <w:sz w:val="20"/>
                <w:szCs w:val="20"/>
                <w:color w:val="auto"/>
              </w:rPr>
            </w:pPr>
            <w:r>
              <w:rPr>
                <w:rFonts w:ascii="Arial" w:cs="Arial" w:eastAsia="Arial" w:hAnsi="Arial"/>
                <w:sz w:val="18"/>
                <w:szCs w:val="18"/>
                <w:color w:val="auto"/>
              </w:rPr>
              <w:t>Education</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Arial" w:cs="Arial" w:eastAsia="Arial" w:hAnsi="Arial"/>
                <w:sz w:val="18"/>
                <w:szCs w:val="18"/>
                <w:color w:val="auto"/>
              </w:rPr>
              <w:t>•</w:t>
            </w:r>
          </w:p>
        </w:tc>
        <w:tc>
          <w:tcPr>
            <w:tcW w:w="4640" w:type="dxa"/>
            <w:vAlign w:val="bottom"/>
            <w:vMerge w:val="restart"/>
          </w:tcPr>
          <w:p>
            <w:pPr>
              <w:ind w:left="120"/>
              <w:spacing w:after="0"/>
              <w:rPr>
                <w:sz w:val="20"/>
                <w:szCs w:val="20"/>
                <w:color w:val="auto"/>
              </w:rPr>
            </w:pPr>
            <w:r>
              <w:rPr>
                <w:rFonts w:ascii="Arial" w:cs="Arial" w:eastAsia="Arial" w:hAnsi="Arial"/>
                <w:sz w:val="18"/>
                <w:szCs w:val="18"/>
                <w:color w:val="auto"/>
              </w:rPr>
              <w:t>Retail Store</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000" w:type="dxa"/>
            <w:vAlign w:val="bottom"/>
            <w:vMerge w:val="restart"/>
          </w:tcPr>
          <w:p>
            <w:pPr>
              <w:ind w:left="120"/>
              <w:spacing w:after="0"/>
              <w:rPr>
                <w:sz w:val="20"/>
                <w:szCs w:val="20"/>
                <w:color w:val="auto"/>
              </w:rPr>
            </w:pPr>
            <w:r>
              <w:rPr>
                <w:rFonts w:ascii="Arial" w:cs="Arial" w:eastAsia="Arial" w:hAnsi="Arial"/>
                <w:sz w:val="18"/>
                <w:szCs w:val="18"/>
                <w:color w:val="auto"/>
              </w:rPr>
              <w:t>Energy/Utilities</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Arial" w:cs="Arial" w:eastAsia="Arial" w:hAnsi="Arial"/>
                <w:sz w:val="18"/>
                <w:szCs w:val="18"/>
                <w:color w:val="auto"/>
              </w:rPr>
              <w:t>•</w:t>
            </w:r>
          </w:p>
        </w:tc>
        <w:tc>
          <w:tcPr>
            <w:tcW w:w="4640" w:type="dxa"/>
            <w:vAlign w:val="bottom"/>
            <w:vMerge w:val="restart"/>
          </w:tcPr>
          <w:p>
            <w:pPr>
              <w:ind w:left="12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000" w:type="dxa"/>
            <w:vAlign w:val="bottom"/>
            <w:vMerge w:val="restart"/>
          </w:tcPr>
          <w:p>
            <w:pPr>
              <w:ind w:left="120"/>
              <w:spacing w:after="0"/>
              <w:rPr>
                <w:sz w:val="20"/>
                <w:szCs w:val="20"/>
                <w:color w:val="auto"/>
              </w:rPr>
            </w:pPr>
            <w:r>
              <w:rPr>
                <w:rFonts w:ascii="Arial" w:cs="Arial" w:eastAsia="Arial" w:hAnsi="Arial"/>
                <w:sz w:val="18"/>
                <w:szCs w:val="18"/>
                <w:color w:val="auto"/>
              </w:rPr>
              <w:t>Environmental Services</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vMerge w:val="restart"/>
          </w:tcPr>
          <w:p>
            <w:pPr>
              <w:ind w:left="1640"/>
              <w:spacing w:after="0"/>
              <w:rPr>
                <w:sz w:val="20"/>
                <w:szCs w:val="20"/>
                <w:color w:val="auto"/>
              </w:rPr>
            </w:pPr>
            <w:r>
              <w:rPr>
                <w:rFonts w:ascii="Arial" w:cs="Arial" w:eastAsia="Arial" w:hAnsi="Arial"/>
                <w:sz w:val="18"/>
                <w:szCs w:val="18"/>
                <w:color w:val="auto"/>
              </w:rPr>
              <w:t>•</w:t>
            </w:r>
          </w:p>
        </w:tc>
        <w:tc>
          <w:tcPr>
            <w:tcW w:w="4640" w:type="dxa"/>
            <w:vAlign w:val="bottom"/>
            <w:vMerge w:val="restart"/>
          </w:tcPr>
          <w:p>
            <w:pPr>
              <w:ind w:left="120"/>
              <w:spacing w:after="0"/>
              <w:rPr>
                <w:sz w:val="20"/>
                <w:szCs w:val="20"/>
                <w:color w:val="auto"/>
              </w:rPr>
            </w:pPr>
            <w:r>
              <w:rPr>
                <w:rFonts w:ascii="Arial" w:cs="Arial" w:eastAsia="Arial" w:hAnsi="Arial"/>
                <w:sz w:val="18"/>
                <w:szCs w:val="18"/>
                <w:color w:val="auto"/>
              </w:rPr>
              <w:t>Transportation</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000" w:type="dxa"/>
            <w:vAlign w:val="bottom"/>
            <w:vMerge w:val="restart"/>
          </w:tcPr>
          <w:p>
            <w:pPr>
              <w:ind w:left="120"/>
              <w:spacing w:after="0"/>
              <w:rPr>
                <w:sz w:val="20"/>
                <w:szCs w:val="20"/>
                <w:color w:val="auto"/>
              </w:rPr>
            </w:pPr>
            <w:r>
              <w:rPr>
                <w:rFonts w:ascii="Arial" w:cs="Arial" w:eastAsia="Arial" w:hAnsi="Arial"/>
                <w:sz w:val="18"/>
                <w:szCs w:val="18"/>
                <w:color w:val="auto"/>
              </w:rPr>
              <w:t>Financial Services</w:t>
            </w:r>
          </w:p>
        </w:tc>
        <w:tc>
          <w:tcPr>
            <w:tcW w:w="18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 w:type="dxa"/>
            <w:vAlign w:val="bottom"/>
            <w:vMerge w:val="continue"/>
          </w:tcPr>
          <w:p>
            <w:pPr>
              <w:spacing w:after="0"/>
              <w:rPr>
                <w:sz w:val="7"/>
                <w:szCs w:val="7"/>
                <w:color w:val="auto"/>
              </w:rPr>
            </w:pPr>
          </w:p>
        </w:tc>
        <w:tc>
          <w:tcPr>
            <w:tcW w:w="400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4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760" w:hanging="293"/>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Healthcare, Education &amp; Childcare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invest in other industries if we are presented with attractive opportunities.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Listed below are our top ten portfolio companies and industries represented as a percentage of net assets as of:</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Portfolio Company</w:t>
            </w:r>
          </w:p>
        </w:tc>
        <w:tc>
          <w:tcPr>
            <w:tcW w:w="36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60" w:type="dxa"/>
            <w:vAlign w:val="bottom"/>
            <w:gridSpan w:val="3"/>
            <w:vMerge w:val="restart"/>
          </w:tcPr>
          <w:p>
            <w:pPr>
              <w:jc w:val="center"/>
              <w:ind w:left="534"/>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21"/>
        </w:trPr>
        <w:tc>
          <w:tcPr>
            <w:tcW w:w="4780" w:type="dxa"/>
            <w:vAlign w:val="bottom"/>
            <w:gridSpan w:val="3"/>
            <w:vMerge w:val="restart"/>
            <w:shd w:val="clear" w:color="auto" w:fill="CCEEFF"/>
          </w:tcPr>
          <w:p>
            <w:pPr>
              <w:ind w:left="20"/>
              <w:spacing w:after="0" w:line="182" w:lineRule="exact"/>
              <w:rPr>
                <w:sz w:val="20"/>
                <w:szCs w:val="20"/>
                <w:color w:val="auto"/>
              </w:rPr>
            </w:pPr>
            <w:r>
              <w:rPr>
                <w:rFonts w:ascii="Arial" w:cs="Arial" w:eastAsia="Arial" w:hAnsi="Arial"/>
                <w:sz w:val="18"/>
                <w:szCs w:val="18"/>
                <w:color w:val="auto"/>
              </w:rPr>
              <w:t>i2 Holdings Ltd.</w:t>
            </w:r>
          </w:p>
        </w:tc>
        <w:tc>
          <w:tcPr>
            <w:tcW w:w="700" w:type="dxa"/>
            <w:vAlign w:val="bottom"/>
            <w:gridSpan w:val="2"/>
            <w:vMerge w:val="restart"/>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12%</w:t>
            </w: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780" w:type="dxa"/>
            <w:vAlign w:val="bottom"/>
            <w:tcBorders>
              <w:bottom w:val="single" w:sz="8" w:color="CCEEFF"/>
            </w:tcBorders>
            <w:gridSpan w:val="3"/>
            <w:vMerge w:val="continue"/>
            <w:shd w:val="clear" w:color="auto" w:fill="CCEEFF"/>
          </w:tcPr>
          <w:p>
            <w:pPr>
              <w:spacing w:after="0"/>
              <w:rPr>
                <w:sz w:val="15"/>
                <w:szCs w:val="15"/>
                <w:color w:val="auto"/>
              </w:rPr>
            </w:pPr>
          </w:p>
        </w:tc>
        <w:tc>
          <w:tcPr>
            <w:tcW w:w="700" w:type="dxa"/>
            <w:vAlign w:val="bottom"/>
            <w:tcBorders>
              <w:bottom w:val="single" w:sz="8" w:color="CCEEFF"/>
            </w:tcBorders>
            <w:gridSpan w:val="2"/>
            <w:vMerge w:val="continue"/>
            <w:shd w:val="clear" w:color="auto" w:fill="CCEEFF"/>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Portfolio Company</w:t>
            </w:r>
          </w:p>
        </w:tc>
        <w:tc>
          <w:tcPr>
            <w:tcW w:w="2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780" w:type="dxa"/>
            <w:vAlign w:val="bottom"/>
            <w:tcBorders>
              <w:top w:val="single" w:sz="8" w:color="CCEEFF"/>
            </w:tcBorders>
            <w:gridSpan w:val="3"/>
          </w:tcPr>
          <w:p>
            <w:pPr>
              <w:ind w:left="20"/>
              <w:spacing w:after="0" w:line="189" w:lineRule="exact"/>
              <w:rPr>
                <w:sz w:val="20"/>
                <w:szCs w:val="20"/>
                <w:color w:val="auto"/>
              </w:rPr>
            </w:pPr>
            <w:r>
              <w:rPr>
                <w:rFonts w:ascii="Arial" w:cs="Arial" w:eastAsia="Arial" w:hAnsi="Arial"/>
                <w:sz w:val="18"/>
                <w:szCs w:val="18"/>
                <w:color w:val="auto"/>
              </w:rPr>
              <w:t>CT Technologies Intermediate Holdings, Inc.</w:t>
            </w:r>
          </w:p>
        </w:tc>
        <w:tc>
          <w:tcPr>
            <w:tcW w:w="700" w:type="dxa"/>
            <w:vAlign w:val="bottom"/>
            <w:tcBorders>
              <w:top w:val="single" w:sz="8" w:color="CCEEFF"/>
            </w:tcBorders>
            <w:gridSpan w:val="2"/>
          </w:tcPr>
          <w:p>
            <w:pPr>
              <w:jc w:val="right"/>
              <w:ind w:right="60"/>
              <w:spacing w:after="0" w:line="189" w:lineRule="exact"/>
              <w:rPr>
                <w:sz w:val="20"/>
                <w:szCs w:val="20"/>
                <w:color w:val="auto"/>
              </w:rPr>
            </w:pPr>
            <w:r>
              <w:rPr>
                <w:rFonts w:ascii="Arial" w:cs="Arial" w:eastAsia="Arial" w:hAnsi="Arial"/>
                <w:sz w:val="18"/>
                <w:szCs w:val="18"/>
                <w:color w:val="auto"/>
              </w:rPr>
              <w:t>11%</w:t>
            </w:r>
          </w:p>
        </w:tc>
        <w:tc>
          <w:tcPr>
            <w:tcW w:w="340" w:type="dxa"/>
            <w:vAlign w:val="bottom"/>
          </w:tcPr>
          <w:p>
            <w:pPr>
              <w:spacing w:after="0"/>
              <w:rPr>
                <w:sz w:val="16"/>
                <w:szCs w:val="16"/>
                <w:color w:val="auto"/>
              </w:rPr>
            </w:pPr>
          </w:p>
        </w:tc>
        <w:tc>
          <w:tcPr>
            <w:tcW w:w="362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i2 Holdings Ltd.</w:t>
            </w:r>
          </w:p>
        </w:tc>
        <w:tc>
          <w:tcPr>
            <w:tcW w:w="1860" w:type="dxa"/>
            <w:vAlign w:val="bottom"/>
            <w:tcBorders>
              <w:top w:val="single" w:sz="8" w:color="CCEEFF"/>
            </w:tcBorders>
            <w:gridSpan w:val="3"/>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UP Acquisition Sub Inc.</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36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UP Acquisitions Sub Inc.</w:t>
            </w:r>
          </w:p>
        </w:tc>
        <w:tc>
          <w:tcPr>
            <w:tcW w:w="186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8"/>
        </w:trPr>
        <w:tc>
          <w:tcPr>
            <w:tcW w:w="4780" w:type="dxa"/>
            <w:vAlign w:val="bottom"/>
            <w:gridSpan w:val="3"/>
          </w:tcPr>
          <w:p>
            <w:pPr>
              <w:ind w:left="20"/>
              <w:spacing w:after="0" w:line="188" w:lineRule="exact"/>
              <w:rPr>
                <w:sz w:val="20"/>
                <w:szCs w:val="20"/>
                <w:color w:val="auto"/>
              </w:rPr>
            </w:pPr>
            <w:r>
              <w:rPr>
                <w:rFonts w:ascii="Arial" w:cs="Arial" w:eastAsia="Arial" w:hAnsi="Arial"/>
                <w:sz w:val="18"/>
                <w:szCs w:val="18"/>
                <w:color w:val="auto"/>
              </w:rPr>
              <w:t>Brand Energy and Infrastucture Services, Inc.</w:t>
            </w:r>
          </w:p>
        </w:tc>
        <w:tc>
          <w:tcPr>
            <w:tcW w:w="700" w:type="dxa"/>
            <w:vAlign w:val="bottom"/>
            <w:gridSpan w:val="2"/>
          </w:tcPr>
          <w:p>
            <w:pPr>
              <w:jc w:val="right"/>
              <w:ind w:right="60"/>
              <w:spacing w:after="0" w:line="188" w:lineRule="exact"/>
              <w:rPr>
                <w:sz w:val="20"/>
                <w:szCs w:val="20"/>
                <w:color w:val="auto"/>
              </w:rPr>
            </w:pPr>
            <w:r>
              <w:rPr>
                <w:rFonts w:ascii="Arial" w:cs="Arial" w:eastAsia="Arial" w:hAnsi="Arial"/>
                <w:sz w:val="18"/>
                <w:szCs w:val="18"/>
                <w:color w:val="auto"/>
              </w:rPr>
              <w:t>10%</w:t>
            </w:r>
          </w:p>
        </w:tc>
        <w:tc>
          <w:tcPr>
            <w:tcW w:w="340" w:type="dxa"/>
            <w:vAlign w:val="bottom"/>
          </w:tcPr>
          <w:p>
            <w:pPr>
              <w:spacing w:after="0"/>
              <w:rPr>
                <w:sz w:val="16"/>
                <w:szCs w:val="16"/>
                <w:color w:val="auto"/>
              </w:rPr>
            </w:pPr>
          </w:p>
        </w:tc>
        <w:tc>
          <w:tcPr>
            <w:tcW w:w="3620" w:type="dxa"/>
            <w:vAlign w:val="bottom"/>
            <w:gridSpan w:val="3"/>
            <w:shd w:val="clear" w:color="auto" w:fill="CCEEFF"/>
          </w:tcPr>
          <w:p>
            <w:pPr>
              <w:spacing w:after="0" w:line="188" w:lineRule="exact"/>
              <w:rPr>
                <w:sz w:val="20"/>
                <w:szCs w:val="20"/>
                <w:color w:val="auto"/>
              </w:rPr>
            </w:pPr>
            <w:r>
              <w:rPr>
                <w:rFonts w:ascii="Arial" w:cs="Arial" w:eastAsia="Arial" w:hAnsi="Arial"/>
                <w:sz w:val="18"/>
                <w:szCs w:val="18"/>
                <w:color w:val="auto"/>
              </w:rPr>
              <w:t>Brand Energy and Infrastructure</w:t>
            </w:r>
          </w:p>
        </w:tc>
        <w:tc>
          <w:tcPr>
            <w:tcW w:w="8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620" w:type="dxa"/>
            <w:vAlign w:val="bottom"/>
            <w:gridSpan w:val="3"/>
            <w:vMerge w:val="restart"/>
            <w:shd w:val="clear" w:color="auto" w:fill="CCEEFF"/>
          </w:tcPr>
          <w:p>
            <w:pPr>
              <w:ind w:left="220"/>
              <w:spacing w:after="0"/>
              <w:rPr>
                <w:sz w:val="20"/>
                <w:szCs w:val="20"/>
                <w:color w:val="auto"/>
              </w:rPr>
            </w:pPr>
            <w:r>
              <w:rPr>
                <w:rFonts w:ascii="Arial" w:cs="Arial" w:eastAsia="Arial" w:hAnsi="Arial"/>
                <w:sz w:val="18"/>
                <w:szCs w:val="18"/>
                <w:color w:val="auto"/>
              </w:rPr>
              <w:t>Services, Inc.</w:t>
            </w:r>
          </w:p>
        </w:tc>
        <w:tc>
          <w:tcPr>
            <w:tcW w:w="18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line="20" w:lineRule="exact"/>
              <w:rPr>
                <w:sz w:val="1"/>
                <w:szCs w:val="1"/>
                <w:color w:val="auto"/>
              </w:rPr>
            </w:pPr>
          </w:p>
        </w:tc>
      </w:tr>
      <w:tr>
        <w:trPr>
          <w:trHeight w:val="203"/>
        </w:trPr>
        <w:tc>
          <w:tcPr>
            <w:tcW w:w="4780" w:type="dxa"/>
            <w:vAlign w:val="bottom"/>
            <w:tcBorders>
              <w:bottom w:val="single" w:sz="8" w:color="CCEEFF"/>
            </w:tcBorders>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TZ Merger Sub, Inc.</w:t>
            </w:r>
          </w:p>
        </w:tc>
        <w:tc>
          <w:tcPr>
            <w:tcW w:w="700" w:type="dxa"/>
            <w:vAlign w:val="bottom"/>
            <w:tcBorders>
              <w:bottom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340" w:type="dxa"/>
            <w:vAlign w:val="bottom"/>
            <w:vMerge w:val="continue"/>
          </w:tcPr>
          <w:p>
            <w:pPr>
              <w:spacing w:after="0"/>
              <w:rPr>
                <w:sz w:val="17"/>
                <w:szCs w:val="17"/>
                <w:color w:val="auto"/>
              </w:rPr>
            </w:pPr>
          </w:p>
        </w:tc>
        <w:tc>
          <w:tcPr>
            <w:tcW w:w="3620" w:type="dxa"/>
            <w:vAlign w:val="bottom"/>
            <w:gridSpan w:val="3"/>
            <w:vMerge w:val="continue"/>
            <w:shd w:val="clear" w:color="auto" w:fill="CCEEFF"/>
          </w:tcPr>
          <w:p>
            <w:pPr>
              <w:spacing w:after="0"/>
              <w:rPr>
                <w:sz w:val="17"/>
                <w:szCs w:val="17"/>
                <w:color w:val="auto"/>
              </w:rPr>
            </w:pPr>
          </w:p>
        </w:tc>
        <w:tc>
          <w:tcPr>
            <w:tcW w:w="186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780" w:type="dxa"/>
            <w:vAlign w:val="bottom"/>
            <w:gridSpan w:val="3"/>
          </w:tcPr>
          <w:p>
            <w:pPr>
              <w:ind w:left="20"/>
              <w:spacing w:after="0" w:line="188" w:lineRule="exact"/>
              <w:rPr>
                <w:sz w:val="20"/>
                <w:szCs w:val="20"/>
                <w:color w:val="auto"/>
              </w:rPr>
            </w:pPr>
            <w:r>
              <w:rPr>
                <w:rFonts w:ascii="Arial" w:cs="Arial" w:eastAsia="Arial" w:hAnsi="Arial"/>
                <w:sz w:val="18"/>
                <w:szCs w:val="18"/>
                <w:color w:val="auto"/>
              </w:rPr>
              <w:t>Specialized Technology Resources, Inc.</w:t>
            </w:r>
          </w:p>
        </w:tc>
        <w:tc>
          <w:tcPr>
            <w:tcW w:w="700" w:type="dxa"/>
            <w:vAlign w:val="bottom"/>
            <w:gridSpan w:val="2"/>
          </w:tcPr>
          <w:p>
            <w:pPr>
              <w:jc w:val="right"/>
              <w:ind w:right="60"/>
              <w:spacing w:after="0" w:line="188" w:lineRule="exact"/>
              <w:rPr>
                <w:sz w:val="20"/>
                <w:szCs w:val="20"/>
                <w:color w:val="auto"/>
              </w:rPr>
            </w:pPr>
            <w:r>
              <w:rPr>
                <w:rFonts w:ascii="Arial" w:cs="Arial" w:eastAsia="Arial" w:hAnsi="Arial"/>
                <w:sz w:val="18"/>
                <w:szCs w:val="18"/>
                <w:color w:val="auto"/>
              </w:rPr>
              <w:t>9%</w:t>
            </w:r>
          </w:p>
        </w:tc>
        <w:tc>
          <w:tcPr>
            <w:tcW w:w="340" w:type="dxa"/>
            <w:vAlign w:val="bottom"/>
          </w:tcPr>
          <w:p>
            <w:pPr>
              <w:spacing w:after="0"/>
              <w:rPr>
                <w:sz w:val="16"/>
                <w:szCs w:val="16"/>
                <w:color w:val="auto"/>
              </w:rPr>
            </w:pPr>
          </w:p>
        </w:tc>
        <w:tc>
          <w:tcPr>
            <w:tcW w:w="3620" w:type="dxa"/>
            <w:vAlign w:val="bottom"/>
            <w:gridSpan w:val="3"/>
          </w:tcPr>
          <w:p>
            <w:pPr>
              <w:spacing w:after="0" w:line="188" w:lineRule="exact"/>
              <w:rPr>
                <w:sz w:val="20"/>
                <w:szCs w:val="20"/>
                <w:color w:val="auto"/>
              </w:rPr>
            </w:pPr>
            <w:r>
              <w:rPr>
                <w:rFonts w:ascii="Arial" w:cs="Arial" w:eastAsia="Arial" w:hAnsi="Arial"/>
                <w:sz w:val="18"/>
                <w:szCs w:val="18"/>
                <w:color w:val="auto"/>
              </w:rPr>
              <w:t>CT Technologies Intermediate</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620" w:type="dxa"/>
            <w:vAlign w:val="bottom"/>
            <w:gridSpan w:val="3"/>
            <w:vMerge w:val="restart"/>
          </w:tcPr>
          <w:p>
            <w:pPr>
              <w:ind w:left="220"/>
              <w:spacing w:after="0"/>
              <w:rPr>
                <w:sz w:val="20"/>
                <w:szCs w:val="20"/>
                <w:color w:val="auto"/>
              </w:rPr>
            </w:pPr>
            <w:r>
              <w:rPr>
                <w:rFonts w:ascii="Arial" w:cs="Arial" w:eastAsia="Arial" w:hAnsi="Arial"/>
                <w:sz w:val="18"/>
                <w:szCs w:val="18"/>
                <w:color w:val="auto"/>
              </w:rPr>
              <w:t>Holdings, Inc.</w:t>
            </w:r>
          </w:p>
        </w:tc>
        <w:tc>
          <w:tcPr>
            <w:tcW w:w="186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line="20" w:lineRule="exact"/>
              <w:rPr>
                <w:sz w:val="1"/>
                <w:szCs w:val="1"/>
                <w:color w:val="auto"/>
              </w:rPr>
            </w:pPr>
          </w:p>
        </w:tc>
      </w:tr>
      <w:tr>
        <w:trPr>
          <w:trHeight w:val="203"/>
        </w:trPr>
        <w:tc>
          <w:tcPr>
            <w:tcW w:w="4780" w:type="dxa"/>
            <w:vAlign w:val="bottom"/>
            <w:tcBorders>
              <w:bottom w:val="single" w:sz="8" w:color="CCEEFF"/>
            </w:tcBorders>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IDQ Holdings, Inc.</w:t>
            </w:r>
          </w:p>
        </w:tc>
        <w:tc>
          <w:tcPr>
            <w:tcW w:w="700" w:type="dxa"/>
            <w:vAlign w:val="bottom"/>
            <w:tcBorders>
              <w:bottom w:val="single" w:sz="8" w:color="CCEEFF"/>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340" w:type="dxa"/>
            <w:vAlign w:val="bottom"/>
            <w:vMerge w:val="continue"/>
          </w:tcPr>
          <w:p>
            <w:pPr>
              <w:spacing w:after="0"/>
              <w:rPr>
                <w:sz w:val="17"/>
                <w:szCs w:val="17"/>
                <w:color w:val="auto"/>
              </w:rPr>
            </w:pPr>
          </w:p>
        </w:tc>
        <w:tc>
          <w:tcPr>
            <w:tcW w:w="3620" w:type="dxa"/>
            <w:vAlign w:val="bottom"/>
            <w:tcBorders>
              <w:bottom w:val="single" w:sz="8" w:color="CCEEFF"/>
            </w:tcBorders>
            <w:gridSpan w:val="3"/>
            <w:vMerge w:val="continue"/>
          </w:tcPr>
          <w:p>
            <w:pPr>
              <w:spacing w:after="0"/>
              <w:rPr>
                <w:sz w:val="17"/>
                <w:szCs w:val="17"/>
                <w:color w:val="auto"/>
              </w:rPr>
            </w:pPr>
          </w:p>
        </w:tc>
        <w:tc>
          <w:tcPr>
            <w:tcW w:w="1860" w:type="dxa"/>
            <w:vAlign w:val="bottom"/>
            <w:tcBorders>
              <w:bottom w:val="single" w:sz="8" w:color="CCEEFF"/>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Affinion Group Holdings, Inc.</w:t>
            </w:r>
          </w:p>
        </w:tc>
        <w:tc>
          <w:tcPr>
            <w:tcW w:w="7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8%</w:t>
            </w:r>
          </w:p>
        </w:tc>
        <w:tc>
          <w:tcPr>
            <w:tcW w:w="340" w:type="dxa"/>
            <w:vAlign w:val="bottom"/>
          </w:tcPr>
          <w:p>
            <w:pPr>
              <w:spacing w:after="0"/>
              <w:rPr>
                <w:sz w:val="17"/>
                <w:szCs w:val="17"/>
                <w:color w:val="auto"/>
              </w:rPr>
            </w:pPr>
          </w:p>
        </w:tc>
        <w:tc>
          <w:tcPr>
            <w:tcW w:w="36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TZ Merger Sub, Inc.</w:t>
            </w:r>
          </w:p>
        </w:tc>
        <w:tc>
          <w:tcPr>
            <w:tcW w:w="186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Lyondell Chemical Co.</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36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IDQ Holdings, Inc.</w:t>
            </w:r>
          </w:p>
        </w:tc>
        <w:tc>
          <w:tcPr>
            <w:tcW w:w="186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78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Sheridan Holdings, Inc.</w:t>
            </w:r>
          </w:p>
        </w:tc>
        <w:tc>
          <w:tcPr>
            <w:tcW w:w="7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7%</w:t>
            </w:r>
          </w:p>
        </w:tc>
        <w:tc>
          <w:tcPr>
            <w:tcW w:w="340" w:type="dxa"/>
            <w:vAlign w:val="bottom"/>
          </w:tcPr>
          <w:p>
            <w:pPr>
              <w:spacing w:after="0"/>
              <w:rPr>
                <w:sz w:val="17"/>
                <w:szCs w:val="17"/>
                <w:color w:val="auto"/>
              </w:rPr>
            </w:pPr>
          </w:p>
        </w:tc>
        <w:tc>
          <w:tcPr>
            <w:tcW w:w="36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Specialized Technology Resources, Inc.</w:t>
            </w:r>
          </w:p>
        </w:tc>
        <w:tc>
          <w:tcPr>
            <w:tcW w:w="186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Affinion Group Holdings, Inc.</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Performance Holdings, Inc.</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TransFirst Holdings, Inc.</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8"/>
        </w:trPr>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860" w:type="dxa"/>
            <w:vAlign w:val="bottom"/>
            <w:gridSpan w:val="3"/>
          </w:tcPr>
          <w:p>
            <w:pPr>
              <w:jc w:val="center"/>
              <w:ind w:left="534"/>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Industry</w:t>
            </w:r>
          </w:p>
        </w:tc>
        <w:tc>
          <w:tcPr>
            <w:tcW w:w="4240" w:type="dxa"/>
            <w:vAlign w:val="bottom"/>
            <w:gridSpan w:val="2"/>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Industry</w:t>
            </w:r>
          </w:p>
        </w:tc>
        <w:tc>
          <w:tcPr>
            <w:tcW w:w="310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Chemicals, Plastics and Rubber</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Media</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Aerospace &amp; Defense</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Aerospace &amp; Defense</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Business Services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Healthcare, Education &amp; Childcare</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Oil &amp; Gas</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Oil &amp; Gas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Consumer Products</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Consumer Products</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Energy/Utilities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Healthcare, Education &amp; Childcare</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Insurance</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Insurance</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Auto Sector</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Auto Sector</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Other Media</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Chemicals, Plastics and Rubber</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We may also co-invest in the future on a concurrent basis with affiliates of PennantPark Investment, subject to compliance with applicable regulations and our allocation procedures. Some types of negotiated co-investments may be made only if we receive an order from the SEC permitting us to do so. There can be no assurance that any such order will be obtained.</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00"/>
          </w:cols>
          <w:pgMar w:left="240" w:top="459" w:right="3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at June 30, 2009. Percentages shown for class of investment securities held by us represent percentage of the class owned and do not necessarily represent voting ownership or economic ownership. Percentages shown for equity securities, other than warrants or options held, if any, represent the actual percentage of the class of security held before dilution. Percentages shown for warrants or options held, if any, represent the percentage of class of security we may own on a fully diluted basis assuming we exercise our warrants or options. For additional information see “Schedule of Investments” in our June 30, 2009 financial statements included elsewhere in this prospectus.</w:t>
      </w:r>
    </w:p>
    <w:p>
      <w:pPr>
        <w:spacing w:after="0" w:line="144"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portfolio companies are presented in three categories: “companies more than 25% owned” which represent portfolio companies where we directly or indirectly own more than 25% of the outstanding voting securities of such portfolio company and, therefore, are presumed to be controlled by us under the 1940 Act; “companies owned 5% to 25%” which represent portfolio companies where we directly or indirectly own 5% to 25% of the outstanding voting securities of such portfolio company or where we hold one or more seats on the portfolio company’s board of directors and, therefore, are deemed to be an affiliated person under the 1940 Act; and “companies less than 5% owned” which represent portfolio companies where we directly or indirectly own less than 5% of the outstanding voting securities of such portfolio company and where we have no other affiliations with such portfolio company. We make available significant managerial assistance to our portfolio companies. Substantially all of our investments are pledged as collateral under our credit facility. As of June 30, 2009, we held no voting seats on any of our portfolio companies’ board of directors.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34"/>
        </w:trPr>
        <w:tc>
          <w:tcPr>
            <w:tcW w:w="25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c>
          <w:tcPr>
            <w:tcW w:w="0" w:type="dxa"/>
            <w:vAlign w:val="bottom"/>
          </w:tcPr>
          <w:p>
            <w:pPr>
              <w:spacing w:after="0"/>
              <w:rPr>
                <w:sz w:val="1"/>
                <w:szCs w:val="1"/>
                <w:color w:val="auto"/>
              </w:rPr>
            </w:pPr>
          </w:p>
        </w:tc>
      </w:tr>
      <w:tr>
        <w:trPr>
          <w:trHeight w:val="176"/>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1880" w:type="dxa"/>
            <w:vAlign w:val="bottom"/>
          </w:tcPr>
          <w:p>
            <w:pPr>
              <w:spacing w:after="0"/>
              <w:rPr>
                <w:sz w:val="15"/>
                <w:szCs w:val="15"/>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32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32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9"/>
              </w:rPr>
              <w:t>Held</w:t>
            </w:r>
            <w:r>
              <w:rPr>
                <w:rFonts w:ascii="Arial" w:cs="Arial" w:eastAsia="Arial" w:hAnsi="Arial"/>
                <w:sz w:val="20"/>
                <w:szCs w:val="20"/>
                <w:b w:val="1"/>
                <w:bCs w:val="1"/>
                <w:color w:val="auto"/>
                <w:w w:val="89"/>
                <w:vertAlign w:val="superscript"/>
              </w:rPr>
              <w:t>(1)</w:t>
            </w:r>
          </w:p>
        </w:tc>
        <w:tc>
          <w:tcPr>
            <w:tcW w:w="0" w:type="dxa"/>
            <w:vAlign w:val="bottom"/>
          </w:tcPr>
          <w:p>
            <w:pPr>
              <w:spacing w:after="0"/>
              <w:rPr>
                <w:sz w:val="1"/>
                <w:szCs w:val="1"/>
                <w:color w:val="auto"/>
              </w:rPr>
            </w:pPr>
          </w:p>
        </w:tc>
      </w:tr>
      <w:tr>
        <w:trPr>
          <w:trHeight w:val="201"/>
        </w:trPr>
        <w:tc>
          <w:tcPr>
            <w:tcW w:w="44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Companies More Than 25% Owned</w:t>
            </w:r>
          </w:p>
        </w:tc>
        <w:tc>
          <w:tcPr>
            <w:tcW w:w="3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None</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Companies 5% to 25% Owned</w:t>
            </w:r>
          </w:p>
        </w:tc>
        <w:tc>
          <w:tcPr>
            <w:tcW w:w="3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42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xml:space="preserve"> , I</w:t>
            </w:r>
            <w:r>
              <w:rPr>
                <w:rFonts w:ascii="Arial" w:cs="Arial" w:eastAsia="Arial" w:hAnsi="Arial"/>
                <w:sz w:val="14"/>
                <w:szCs w:val="14"/>
                <w:color w:val="auto"/>
              </w:rPr>
              <w:t>NC</w:t>
            </w:r>
            <w:r>
              <w:rPr>
                <w:rFonts w:ascii="Arial" w:cs="Arial" w:eastAsia="Arial" w:hAnsi="Arial"/>
                <w:sz w:val="18"/>
                <w:szCs w:val="18"/>
                <w:color w:val="auto"/>
              </w:rPr>
              <w:t>. / P</w:t>
            </w:r>
            <w:r>
              <w:rPr>
                <w:rFonts w:ascii="Arial" w:cs="Arial" w:eastAsia="Arial" w:hAnsi="Arial"/>
                <w:sz w:val="14"/>
                <w:szCs w:val="14"/>
                <w:color w:val="auto"/>
              </w:rPr>
              <w:t>ERFORMANCE</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tc>
        <w:tc>
          <w:tcPr>
            <w:tcW w:w="3080" w:type="dxa"/>
            <w:vAlign w:val="bottom"/>
          </w:tcPr>
          <w:p>
            <w:pPr>
              <w:jc w:val="cente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EISURE</w:t>
            </w:r>
            <w:r>
              <w:rPr>
                <w:rFonts w:ascii="Arial" w:cs="Arial" w:eastAsia="Arial" w:hAnsi="Arial"/>
                <w:sz w:val="18"/>
                <w:szCs w:val="18"/>
                <w:color w:val="auto"/>
              </w:rPr>
              <w:t>, A</w:t>
            </w:r>
            <w:r>
              <w:rPr>
                <w:rFonts w:ascii="Arial" w:cs="Arial" w:eastAsia="Arial" w:hAnsi="Arial"/>
                <w:sz w:val="14"/>
                <w:szCs w:val="14"/>
                <w:color w:val="auto"/>
              </w:rPr>
              <w:t>MUSEMENT</w:t>
            </w:r>
            <w:r>
              <w:rPr>
                <w:rFonts w:ascii="Arial" w:cs="Arial" w:eastAsia="Arial" w:hAnsi="Arial"/>
                <w:sz w:val="18"/>
                <w:szCs w:val="18"/>
                <w:color w:val="auto"/>
              </w:rPr>
              <w:t>, M</w:t>
            </w:r>
            <w:r>
              <w:rPr>
                <w:rFonts w:ascii="Arial" w:cs="Arial" w:eastAsia="Arial" w:hAnsi="Arial"/>
                <w:sz w:val="14"/>
                <w:szCs w:val="14"/>
                <w:color w:val="auto"/>
              </w:rPr>
              <w:t>OTION</w:t>
            </w:r>
          </w:p>
        </w:tc>
        <w:tc>
          <w:tcPr>
            <w:tcW w:w="32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960" w:type="dxa"/>
            <w:vAlign w:val="bottom"/>
            <w:gridSpan w:val="2"/>
          </w:tcPr>
          <w:p>
            <w:pPr>
              <w:jc w:val="center"/>
              <w:ind w:left="232"/>
              <w:spacing w:after="0"/>
              <w:rPr>
                <w:sz w:val="20"/>
                <w:szCs w:val="20"/>
                <w:color w:val="auto"/>
              </w:rPr>
            </w:pPr>
            <w:r>
              <w:rPr>
                <w:rFonts w:ascii="Arial" w:cs="Arial" w:eastAsia="Arial" w:hAnsi="Arial"/>
                <w:sz w:val="18"/>
                <w:szCs w:val="18"/>
                <w:color w:val="auto"/>
                <w:w w:val="87"/>
              </w:rPr>
              <w:t>6.3%</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P</w:t>
            </w:r>
            <w:r>
              <w:rPr>
                <w:rFonts w:ascii="Arial" w:cs="Arial" w:eastAsia="Arial" w:hAnsi="Arial"/>
                <w:sz w:val="14"/>
                <w:szCs w:val="14"/>
                <w:color w:val="auto"/>
              </w:rPr>
              <w:t>ERFORMANCE</w:t>
            </w:r>
            <w:r>
              <w:rPr>
                <w:rFonts w:ascii="Arial" w:cs="Arial" w:eastAsia="Arial" w:hAnsi="Arial"/>
                <w:sz w:val="18"/>
                <w:szCs w:val="18"/>
                <w:color w:val="auto"/>
              </w:rPr>
              <w:t xml:space="preserve"> W</w:t>
            </w:r>
            <w:r>
              <w:rPr>
                <w:rFonts w:ascii="Arial" w:cs="Arial" w:eastAsia="Arial" w:hAnsi="Arial"/>
                <w:sz w:val="14"/>
                <w:szCs w:val="14"/>
                <w:color w:val="auto"/>
              </w:rPr>
              <w:t>AY</w:t>
            </w:r>
          </w:p>
        </w:tc>
        <w:tc>
          <w:tcPr>
            <w:tcW w:w="3080" w:type="dxa"/>
            <w:vAlign w:val="bottom"/>
          </w:tcPr>
          <w:p>
            <w:pPr>
              <w:jc w:val="center"/>
              <w:spacing w:after="0"/>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ICTURES</w:t>
            </w:r>
            <w:r>
              <w:rPr>
                <w:rFonts w:ascii="Arial" w:cs="Arial" w:eastAsia="Arial" w:hAnsi="Arial"/>
                <w:sz w:val="18"/>
                <w:szCs w:val="18"/>
                <w:color w:val="auto"/>
                <w:w w:val="99"/>
              </w:rPr>
              <w:t>, E</w:t>
            </w:r>
            <w:r>
              <w:rPr>
                <w:rFonts w:ascii="Arial" w:cs="Arial" w:eastAsia="Arial" w:hAnsi="Arial"/>
                <w:sz w:val="14"/>
                <w:szCs w:val="14"/>
                <w:color w:val="auto"/>
                <w:w w:val="99"/>
              </w:rPr>
              <w:t>NTERTAINMENT</w:t>
            </w:r>
          </w:p>
        </w:tc>
        <w:tc>
          <w:tcPr>
            <w:tcW w:w="32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7"/>
              </w:rPr>
              <w:t>Second Lien Secured Debt, Common</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HAPEL</w:t>
            </w:r>
            <w:r>
              <w:rPr>
                <w:rFonts w:ascii="Arial" w:cs="Arial" w:eastAsia="Arial" w:hAnsi="Arial"/>
                <w:sz w:val="18"/>
                <w:szCs w:val="18"/>
                <w:color w:val="auto"/>
              </w:rPr>
              <w:t xml:space="preserve"> H</w:t>
            </w:r>
            <w:r>
              <w:rPr>
                <w:rFonts w:ascii="Arial" w:cs="Arial" w:eastAsia="Arial" w:hAnsi="Arial"/>
                <w:sz w:val="14"/>
                <w:szCs w:val="14"/>
                <w:color w:val="auto"/>
              </w:rPr>
              <w:t>ILL</w:t>
            </w:r>
            <w:r>
              <w:rPr>
                <w:rFonts w:ascii="Arial" w:cs="Arial" w:eastAsia="Arial" w:hAnsi="Arial"/>
                <w:sz w:val="18"/>
                <w:szCs w:val="18"/>
                <w:color w:val="auto"/>
              </w:rPr>
              <w:t>, NC 27514</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Companies Less Than 5% Owned</w:t>
            </w:r>
          </w:p>
        </w:tc>
        <w:tc>
          <w:tcPr>
            <w:tcW w:w="3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420" w:type="dxa"/>
            <w:vAlign w:val="bottom"/>
            <w:gridSpan w:val="2"/>
          </w:tcPr>
          <w:p>
            <w:pPr>
              <w:spacing w:after="0"/>
              <w:rPr>
                <w:sz w:val="20"/>
                <w:szCs w:val="20"/>
                <w:color w:val="auto"/>
              </w:rPr>
            </w:pPr>
            <w:r>
              <w:rPr>
                <w:rFonts w:ascii="Arial" w:cs="Arial" w:eastAsia="Arial" w:hAnsi="Arial"/>
                <w:sz w:val="18"/>
                <w:szCs w:val="18"/>
                <w:color w:val="auto"/>
              </w:rPr>
              <w:t>1-800 C</w:t>
            </w:r>
            <w:r>
              <w:rPr>
                <w:rFonts w:ascii="Arial" w:cs="Arial" w:eastAsia="Arial" w:hAnsi="Arial"/>
                <w:sz w:val="14"/>
                <w:szCs w:val="14"/>
                <w:color w:val="auto"/>
              </w:rPr>
              <w:t>ONTACTS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80" w:type="dxa"/>
            <w:vAlign w:val="bottom"/>
          </w:tcPr>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ISTRIBUTION</w:t>
            </w:r>
          </w:p>
        </w:tc>
        <w:tc>
          <w:tcPr>
            <w:tcW w:w="32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3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66 E. W</w:t>
            </w:r>
            <w:r>
              <w:rPr>
                <w:rFonts w:ascii="Arial" w:cs="Arial" w:eastAsia="Arial" w:hAnsi="Arial"/>
                <w:sz w:val="14"/>
                <w:szCs w:val="14"/>
                <w:color w:val="auto"/>
              </w:rPr>
              <w:t>ADSWORTH</w:t>
            </w:r>
            <w:r>
              <w:rPr>
                <w:rFonts w:ascii="Arial" w:cs="Arial" w:eastAsia="Arial" w:hAnsi="Arial"/>
                <w:sz w:val="18"/>
                <w:szCs w:val="18"/>
                <w:color w:val="auto"/>
              </w:rPr>
              <w:t xml:space="preserve"> P</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R</w:t>
            </w:r>
            <w:r>
              <w:rPr>
                <w:rFonts w:ascii="Arial" w:cs="Arial" w:eastAsia="Arial" w:hAnsi="Arial"/>
                <w:sz w:val="18"/>
                <w:szCs w:val="18"/>
                <w:color w:val="auto"/>
              </w:rPr>
              <w:t>.,</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3</w:t>
            </w:r>
            <w:r>
              <w:rPr>
                <w:rFonts w:ascii="Arial" w:cs="Arial" w:eastAsia="Arial" w:hAnsi="Arial"/>
                <w:sz w:val="14"/>
                <w:szCs w:val="14"/>
                <w:color w:val="auto"/>
              </w:rPr>
              <w:t>RD</w:t>
            </w:r>
            <w:r>
              <w:rPr>
                <w:rFonts w:ascii="Arial" w:cs="Arial" w:eastAsia="Arial" w:hAnsi="Arial"/>
                <w:sz w:val="18"/>
                <w:szCs w:val="18"/>
                <w:color w:val="auto"/>
              </w:rPr>
              <w:t xml:space="preserve"> F</w:t>
            </w:r>
            <w:r>
              <w:rPr>
                <w:rFonts w:ascii="Arial" w:cs="Arial" w:eastAsia="Arial" w:hAnsi="Arial"/>
                <w:sz w:val="14"/>
                <w:szCs w:val="14"/>
                <w:color w:val="auto"/>
              </w:rPr>
              <w:t>L</w:t>
            </w:r>
            <w:r>
              <w:rPr>
                <w:rFonts w:ascii="Arial" w:cs="Arial" w:eastAsia="Arial" w:hAnsi="Arial"/>
                <w:sz w:val="18"/>
                <w:szCs w:val="18"/>
                <w:color w:val="auto"/>
              </w:rPr>
              <w:t>.</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RAPER</w:t>
            </w:r>
            <w:r>
              <w:rPr>
                <w:rFonts w:ascii="Arial" w:cs="Arial" w:eastAsia="Arial" w:hAnsi="Arial"/>
                <w:sz w:val="18"/>
                <w:szCs w:val="18"/>
                <w:color w:val="auto"/>
              </w:rPr>
              <w:t>, UT 84020</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42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FFINION</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8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32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3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100 C</w:t>
            </w:r>
            <w:r>
              <w:rPr>
                <w:rFonts w:ascii="Arial" w:cs="Arial" w:eastAsia="Arial" w:hAnsi="Arial"/>
                <w:sz w:val="14"/>
                <w:szCs w:val="14"/>
                <w:color w:val="auto"/>
              </w:rPr>
              <w:t>ONNECTICUT</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ORWALK</w:t>
            </w:r>
            <w:r>
              <w:rPr>
                <w:rFonts w:ascii="Arial" w:cs="Arial" w:eastAsia="Arial" w:hAnsi="Arial"/>
                <w:sz w:val="18"/>
                <w:szCs w:val="18"/>
                <w:color w:val="auto"/>
              </w:rPr>
              <w:t>, CA 06850</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42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RAND</w:t>
            </w:r>
            <w:r>
              <w:rPr>
                <w:rFonts w:ascii="Arial" w:cs="Arial" w:eastAsia="Arial" w:hAnsi="Arial"/>
                <w:sz w:val="18"/>
                <w:szCs w:val="18"/>
                <w:color w:val="auto"/>
              </w:rPr>
              <w:t xml:space="preserve"> E</w:t>
            </w:r>
            <w:r>
              <w:rPr>
                <w:rFonts w:ascii="Arial" w:cs="Arial" w:eastAsia="Arial" w:hAnsi="Arial"/>
                <w:sz w:val="14"/>
                <w:szCs w:val="14"/>
                <w:color w:val="auto"/>
              </w:rPr>
              <w:t>NERGY</w:t>
            </w:r>
            <w:r>
              <w:rPr>
                <w:rFonts w:ascii="Arial" w:cs="Arial" w:eastAsia="Arial" w:hAnsi="Arial"/>
                <w:sz w:val="18"/>
                <w:szCs w:val="18"/>
                <w:color w:val="auto"/>
              </w:rPr>
              <w:t xml:space="preserve"> &amp; I</w:t>
            </w:r>
            <w:r>
              <w:rPr>
                <w:rFonts w:ascii="Arial" w:cs="Arial" w:eastAsia="Arial" w:hAnsi="Arial"/>
                <w:sz w:val="14"/>
                <w:szCs w:val="14"/>
                <w:color w:val="auto"/>
              </w:rPr>
              <w:t>NFRASTRUCTURE</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8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NERGY</w:t>
            </w:r>
            <w:r>
              <w:rPr>
                <w:rFonts w:ascii="Arial" w:cs="Arial" w:eastAsia="Arial" w:hAnsi="Arial"/>
                <w:sz w:val="18"/>
                <w:szCs w:val="18"/>
                <w:color w:val="auto"/>
              </w:rPr>
              <w:t xml:space="preserve"> / U</w:t>
            </w:r>
            <w:r>
              <w:rPr>
                <w:rFonts w:ascii="Arial" w:cs="Arial" w:eastAsia="Arial" w:hAnsi="Arial"/>
                <w:sz w:val="14"/>
                <w:szCs w:val="14"/>
                <w:color w:val="auto"/>
              </w:rPr>
              <w:t>TILITIES</w:t>
            </w:r>
          </w:p>
        </w:tc>
        <w:tc>
          <w:tcPr>
            <w:tcW w:w="32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3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2505 S</w:t>
            </w:r>
            <w:r>
              <w:rPr>
                <w:rFonts w:ascii="Arial" w:cs="Arial" w:eastAsia="Arial" w:hAnsi="Arial"/>
                <w:sz w:val="14"/>
                <w:szCs w:val="14"/>
                <w:color w:val="auto"/>
              </w:rPr>
              <w:t>OUTH</w:t>
            </w:r>
            <w:r>
              <w:rPr>
                <w:rFonts w:ascii="Arial" w:cs="Arial" w:eastAsia="Arial" w:hAnsi="Arial"/>
                <w:sz w:val="18"/>
                <w:szCs w:val="18"/>
                <w:color w:val="auto"/>
              </w:rPr>
              <w:t xml:space="preserve"> M</w:t>
            </w:r>
            <w:r>
              <w:rPr>
                <w:rFonts w:ascii="Arial" w:cs="Arial" w:eastAsia="Arial" w:hAnsi="Arial"/>
                <w:sz w:val="14"/>
                <w:szCs w:val="14"/>
                <w:color w:val="auto"/>
              </w:rPr>
              <w:t>AIN</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20" w:type="dxa"/>
            <w:vAlign w:val="bottom"/>
            <w:gridSpan w:val="2"/>
            <w:vMerge w:val="continue"/>
          </w:tcPr>
          <w:p>
            <w:pPr>
              <w:spacing w:after="0"/>
              <w:rPr>
                <w:sz w:val="18"/>
                <w:szCs w:val="18"/>
                <w:color w:val="auto"/>
              </w:rPr>
            </w:pP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ENNESAW</w:t>
            </w:r>
            <w:r>
              <w:rPr>
                <w:rFonts w:ascii="Arial" w:cs="Arial" w:eastAsia="Arial" w:hAnsi="Arial"/>
                <w:sz w:val="18"/>
                <w:szCs w:val="18"/>
                <w:color w:val="auto"/>
              </w:rPr>
              <w:t>, GA 30144</w:t>
            </w:r>
          </w:p>
        </w:tc>
        <w:tc>
          <w:tcPr>
            <w:tcW w:w="3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080" w:type="dxa"/>
            <w:vAlign w:val="bottom"/>
          </w:tcPr>
          <w:p>
            <w:pPr>
              <w:jc w:val="right"/>
              <w:ind w:right="1615"/>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Percentage</w:t>
            </w:r>
          </w:p>
        </w:tc>
      </w:tr>
      <w:tr>
        <w:trPr>
          <w:trHeight w:val="134"/>
        </w:trPr>
        <w:tc>
          <w:tcPr>
            <w:tcW w:w="37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Name and Address of Portfolio</w:t>
            </w:r>
          </w:p>
        </w:tc>
        <w:tc>
          <w:tcPr>
            <w:tcW w:w="3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76"/>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w:t>
            </w:r>
          </w:p>
        </w:tc>
        <w:tc>
          <w:tcPr>
            <w:tcW w:w="1840" w:type="dxa"/>
            <w:vAlign w:val="bottom"/>
          </w:tcPr>
          <w:p>
            <w:pPr>
              <w:spacing w:after="0"/>
              <w:rPr>
                <w:sz w:val="15"/>
                <w:szCs w:val="15"/>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20" w:type="dxa"/>
            <w:vAlign w:val="bottom"/>
          </w:tcPr>
          <w:p>
            <w:pPr>
              <w:spacing w:after="0"/>
              <w:rPr>
                <w:sz w:val="15"/>
                <w:szCs w:val="15"/>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400" w:type="dxa"/>
            <w:vAlign w:val="bottom"/>
          </w:tcPr>
          <w:p>
            <w:pPr>
              <w:spacing w:after="0"/>
              <w:rPr>
                <w:sz w:val="15"/>
                <w:szCs w:val="15"/>
                <w:color w:val="auto"/>
              </w:rPr>
            </w:pPr>
          </w:p>
        </w:tc>
        <w:tc>
          <w:tcPr>
            <w:tcW w:w="6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4"/>
              </w:rPr>
              <w:t>Held</w:t>
            </w:r>
            <w:r>
              <w:rPr>
                <w:rFonts w:ascii="Arial" w:cs="Arial" w:eastAsia="Arial" w:hAnsi="Arial"/>
                <w:sz w:val="20"/>
                <w:szCs w:val="20"/>
                <w:b w:val="1"/>
                <w:bCs w:val="1"/>
                <w:color w:val="auto"/>
                <w:w w:val="94"/>
                <w:vertAlign w:val="superscript"/>
              </w:rPr>
              <w:t>(1)</w:t>
            </w:r>
          </w:p>
        </w:tc>
        <w:tc>
          <w:tcPr>
            <w:tcW w:w="140" w:type="dxa"/>
            <w:vAlign w:val="bottom"/>
          </w:tcPr>
          <w:p>
            <w:pPr>
              <w:spacing w:after="0"/>
              <w:rPr>
                <w:sz w:val="15"/>
                <w:szCs w:val="15"/>
                <w:color w:val="auto"/>
              </w:rPr>
            </w:pPr>
          </w:p>
        </w:tc>
      </w:tr>
      <w:tr>
        <w:trPr>
          <w:trHeight w:val="201"/>
        </w:trPr>
        <w:tc>
          <w:tcPr>
            <w:tcW w:w="3740" w:type="dxa"/>
            <w:vAlign w:val="bottom"/>
            <w:gridSpan w:val="2"/>
          </w:tcPr>
          <w:p>
            <w:pPr>
              <w:spacing w:after="0" w:line="201" w:lineRule="exact"/>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URLINGTON</w:t>
            </w:r>
            <w:r>
              <w:rPr>
                <w:rFonts w:ascii="Arial" w:cs="Arial" w:eastAsia="Arial" w:hAnsi="Arial"/>
                <w:sz w:val="18"/>
                <w:szCs w:val="18"/>
                <w:color w:val="auto"/>
              </w:rPr>
              <w:t xml:space="preserve"> C</w:t>
            </w:r>
            <w:r>
              <w:rPr>
                <w:rFonts w:ascii="Arial" w:cs="Arial" w:eastAsia="Arial" w:hAnsi="Arial"/>
                <w:sz w:val="14"/>
                <w:szCs w:val="14"/>
                <w:color w:val="auto"/>
              </w:rPr>
              <w:t>OAT</w:t>
            </w:r>
            <w:r>
              <w:rPr>
                <w:rFonts w:ascii="Arial" w:cs="Arial" w:eastAsia="Arial" w:hAnsi="Arial"/>
                <w:sz w:val="18"/>
                <w:szCs w:val="18"/>
                <w:color w:val="auto"/>
              </w:rPr>
              <w:t xml:space="preserve"> F</w:t>
            </w:r>
            <w:r>
              <w:rPr>
                <w:rFonts w:ascii="Arial" w:cs="Arial" w:eastAsia="Arial" w:hAnsi="Arial"/>
                <w:sz w:val="14"/>
                <w:szCs w:val="14"/>
                <w:color w:val="auto"/>
              </w:rPr>
              <w:t>ACTORY</w:t>
            </w:r>
            <w:r>
              <w:rPr>
                <w:rFonts w:ascii="Arial" w:cs="Arial" w:eastAsia="Arial" w:hAnsi="Arial"/>
                <w:sz w:val="18"/>
                <w:szCs w:val="18"/>
                <w:color w:val="auto"/>
              </w:rPr>
              <w:t xml:space="preserve"> W</w:t>
            </w:r>
            <w:r>
              <w:rPr>
                <w:rFonts w:ascii="Arial" w:cs="Arial" w:eastAsia="Arial" w:hAnsi="Arial"/>
                <w:sz w:val="14"/>
                <w:szCs w:val="14"/>
                <w:color w:val="auto"/>
              </w:rPr>
              <w:t>AREHOUSE</w:t>
            </w:r>
          </w:p>
        </w:tc>
        <w:tc>
          <w:tcPr>
            <w:tcW w:w="3040" w:type="dxa"/>
            <w:vAlign w:val="bottom"/>
          </w:tcPr>
          <w:p>
            <w:pPr>
              <w:jc w:val="center"/>
              <w:spacing w:after="0" w:line="201" w:lineRule="exact"/>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ETAIL</w:t>
            </w:r>
            <w:r>
              <w:rPr>
                <w:rFonts w:ascii="Arial" w:cs="Arial" w:eastAsia="Arial" w:hAnsi="Arial"/>
                <w:sz w:val="18"/>
                <w:szCs w:val="18"/>
                <w:color w:val="auto"/>
                <w:w w:val="98"/>
              </w:rPr>
              <w:t xml:space="preserve"> S</w:t>
            </w:r>
            <w:r>
              <w:rPr>
                <w:rFonts w:ascii="Arial" w:cs="Arial" w:eastAsia="Arial" w:hAnsi="Arial"/>
                <w:sz w:val="14"/>
                <w:szCs w:val="14"/>
                <w:color w:val="auto"/>
                <w:w w:val="98"/>
              </w:rPr>
              <w:t>TORE</w:t>
            </w:r>
          </w:p>
        </w:tc>
        <w:tc>
          <w:tcPr>
            <w:tcW w:w="420" w:type="dxa"/>
            <w:vAlign w:val="bottom"/>
          </w:tcPr>
          <w:p>
            <w:pPr>
              <w:spacing w:after="0"/>
              <w:rPr>
                <w:sz w:val="17"/>
                <w:szCs w:val="17"/>
                <w:color w:val="auto"/>
              </w:rPr>
            </w:pPr>
          </w:p>
        </w:tc>
        <w:tc>
          <w:tcPr>
            <w:tcW w:w="2960" w:type="dxa"/>
            <w:vAlign w:val="bottom"/>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400" w:type="dxa"/>
            <w:vAlign w:val="bottom"/>
          </w:tcPr>
          <w:p>
            <w:pPr>
              <w:spacing w:after="0"/>
              <w:rPr>
                <w:sz w:val="17"/>
                <w:szCs w:val="17"/>
                <w:color w:val="auto"/>
              </w:rPr>
            </w:pPr>
          </w:p>
        </w:tc>
        <w:tc>
          <w:tcPr>
            <w:tcW w:w="66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r>
      <w:tr>
        <w:trPr>
          <w:trHeight w:val="216"/>
        </w:trPr>
        <w:tc>
          <w:tcPr>
            <w:tcW w:w="3740" w:type="dxa"/>
            <w:vAlign w:val="bottom"/>
            <w:gridSpan w:val="2"/>
          </w:tcPr>
          <w:p>
            <w:pPr>
              <w:ind w:left="22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ORP</w:t>
            </w: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1830 R</w:t>
            </w:r>
            <w:r>
              <w:rPr>
                <w:rFonts w:ascii="Arial" w:cs="Arial" w:eastAsia="Arial" w:hAnsi="Arial"/>
                <w:sz w:val="14"/>
                <w:szCs w:val="14"/>
                <w:color w:val="auto"/>
              </w:rPr>
              <w:t>T</w:t>
            </w:r>
            <w:r>
              <w:rPr>
                <w:rFonts w:ascii="Arial" w:cs="Arial" w:eastAsia="Arial" w:hAnsi="Arial"/>
                <w:sz w:val="18"/>
                <w:szCs w:val="18"/>
                <w:color w:val="auto"/>
              </w:rPr>
              <w:t>. 130</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URLINGTON</w:t>
            </w:r>
            <w:r>
              <w:rPr>
                <w:rFonts w:ascii="Arial" w:cs="Arial" w:eastAsia="Arial" w:hAnsi="Arial"/>
                <w:sz w:val="18"/>
                <w:szCs w:val="18"/>
                <w:color w:val="auto"/>
              </w:rPr>
              <w:t>, NJ 08016</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CT T</w:t>
            </w:r>
            <w:r>
              <w:rPr>
                <w:rFonts w:ascii="Arial" w:cs="Arial" w:eastAsia="Arial" w:hAnsi="Arial"/>
                <w:sz w:val="14"/>
                <w:szCs w:val="14"/>
                <w:color w:val="auto"/>
              </w:rPr>
              <w:t>ECHNOLOGIES</w:t>
            </w:r>
            <w:r>
              <w:rPr>
                <w:rFonts w:ascii="Arial" w:cs="Arial" w:eastAsia="Arial" w:hAnsi="Arial"/>
                <w:sz w:val="18"/>
                <w:szCs w:val="18"/>
                <w:color w:val="auto"/>
              </w:rPr>
              <w:t xml:space="preserve"> I</w:t>
            </w:r>
            <w:r>
              <w:rPr>
                <w:rFonts w:ascii="Arial" w:cs="Arial" w:eastAsia="Arial" w:hAnsi="Arial"/>
                <w:sz w:val="14"/>
                <w:szCs w:val="14"/>
                <w:color w:val="auto"/>
              </w:rPr>
              <w:t>NTERMEDIATE</w:t>
            </w:r>
          </w:p>
        </w:tc>
        <w:tc>
          <w:tcPr>
            <w:tcW w:w="3040" w:type="dxa"/>
            <w:vAlign w:val="bottom"/>
          </w:tcPr>
          <w:p>
            <w:pPr>
              <w:jc w:val="center"/>
              <w:spacing w:after="0"/>
              <w:rPr>
                <w:sz w:val="20"/>
                <w:szCs w:val="20"/>
                <w:color w:val="auto"/>
              </w:rPr>
            </w:pPr>
            <w:r>
              <w:rPr>
                <w:rFonts w:ascii="Arial" w:cs="Arial" w:eastAsia="Arial" w:hAnsi="Arial"/>
                <w:sz w:val="18"/>
                <w:szCs w:val="18"/>
                <w:color w:val="auto"/>
                <w:w w:val="96"/>
              </w:rPr>
              <w:t>B</w:t>
            </w:r>
            <w:r>
              <w:rPr>
                <w:rFonts w:ascii="Arial" w:cs="Arial" w:eastAsia="Arial" w:hAnsi="Arial"/>
                <w:sz w:val="14"/>
                <w:szCs w:val="14"/>
                <w:color w:val="auto"/>
                <w:w w:val="96"/>
              </w:rPr>
              <w:t>USINESS</w:t>
            </w:r>
            <w:r>
              <w:rPr>
                <w:rFonts w:ascii="Arial" w:cs="Arial" w:eastAsia="Arial" w:hAnsi="Arial"/>
                <w:sz w:val="18"/>
                <w:szCs w:val="18"/>
                <w:color w:val="auto"/>
                <w:w w:val="96"/>
              </w:rPr>
              <w:t xml:space="preserve"> S</w:t>
            </w:r>
            <w:r>
              <w:rPr>
                <w:rFonts w:ascii="Arial" w:cs="Arial" w:eastAsia="Arial" w:hAnsi="Arial"/>
                <w:sz w:val="14"/>
                <w:szCs w:val="14"/>
                <w:color w:val="auto"/>
                <w:w w:val="96"/>
              </w:rPr>
              <w:t>ERVICES</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4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gridSpan w:val="2"/>
          </w:tcPr>
          <w:p>
            <w:pPr>
              <w:ind w:left="220"/>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875 N</w:t>
            </w:r>
            <w:r>
              <w:rPr>
                <w:rFonts w:ascii="Arial" w:cs="Arial" w:eastAsia="Arial" w:hAnsi="Arial"/>
                <w:sz w:val="14"/>
                <w:szCs w:val="14"/>
                <w:color w:val="auto"/>
              </w:rPr>
              <w:t>ORTH</w:t>
            </w:r>
            <w:r>
              <w:rPr>
                <w:rFonts w:ascii="Arial" w:cs="Arial" w:eastAsia="Arial" w:hAnsi="Arial"/>
                <w:sz w:val="18"/>
                <w:szCs w:val="18"/>
                <w:color w:val="auto"/>
              </w:rPr>
              <w:t xml:space="preserve"> M</w:t>
            </w:r>
            <w:r>
              <w:rPr>
                <w:rFonts w:ascii="Arial" w:cs="Arial" w:eastAsia="Arial" w:hAnsi="Arial"/>
                <w:sz w:val="14"/>
                <w:szCs w:val="14"/>
                <w:color w:val="auto"/>
              </w:rPr>
              <w:t>ICHIGAN</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HICAGO</w:t>
            </w:r>
            <w:r>
              <w:rPr>
                <w:rFonts w:ascii="Arial" w:cs="Arial" w:eastAsia="Arial" w:hAnsi="Arial"/>
                <w:sz w:val="18"/>
                <w:szCs w:val="18"/>
                <w:color w:val="auto"/>
              </w:rPr>
              <w:t xml:space="preserve"> IL 60601</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1"/>
        </w:trPr>
        <w:tc>
          <w:tcPr>
            <w:tcW w:w="374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ONSOLIDATED</w:t>
            </w:r>
            <w:r>
              <w:rPr>
                <w:rFonts w:ascii="Arial" w:cs="Arial" w:eastAsia="Arial" w:hAnsi="Arial"/>
                <w:sz w:val="18"/>
                <w:szCs w:val="18"/>
                <w:color w:val="auto"/>
              </w:rPr>
              <w:t xml:space="preserve"> F</w:t>
            </w:r>
            <w:r>
              <w:rPr>
                <w:rFonts w:ascii="Arial" w:cs="Arial" w:eastAsia="Arial" w:hAnsi="Arial"/>
                <w:sz w:val="14"/>
                <w:szCs w:val="14"/>
                <w:color w:val="auto"/>
              </w:rPr>
              <w:t>OUNDRIES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40" w:type="dxa"/>
            <w:vAlign w:val="bottom"/>
          </w:tcPr>
          <w:p>
            <w:pPr>
              <w:jc w:val="center"/>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EROSPACE</w:t>
            </w:r>
            <w:r>
              <w:rPr>
                <w:rFonts w:ascii="Arial" w:cs="Arial" w:eastAsia="Arial" w:hAnsi="Arial"/>
                <w:sz w:val="18"/>
                <w:szCs w:val="18"/>
                <w:color w:val="auto"/>
                <w:w w:val="96"/>
              </w:rPr>
              <w:t xml:space="preserve"> &amp; D</w:t>
            </w:r>
            <w:r>
              <w:rPr>
                <w:rFonts w:ascii="Arial" w:cs="Arial" w:eastAsia="Arial" w:hAnsi="Arial"/>
                <w:sz w:val="14"/>
                <w:szCs w:val="14"/>
                <w:color w:val="auto"/>
                <w:w w:val="96"/>
              </w:rPr>
              <w:t>EFENSE</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4200 V</w:t>
            </w:r>
            <w:r>
              <w:rPr>
                <w:rFonts w:ascii="Arial" w:cs="Arial" w:eastAsia="Arial" w:hAnsi="Arial"/>
                <w:sz w:val="14"/>
                <w:szCs w:val="14"/>
                <w:color w:val="auto"/>
              </w:rPr>
              <w:t>ALLEY</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0"/>
              </w:rPr>
              <w:t>Preferred Equity</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OMONA</w:t>
            </w:r>
            <w:r>
              <w:rPr>
                <w:rFonts w:ascii="Arial" w:cs="Arial" w:eastAsia="Arial" w:hAnsi="Arial"/>
                <w:sz w:val="18"/>
                <w:szCs w:val="18"/>
                <w:color w:val="auto"/>
              </w:rPr>
              <w:t>, CA 91766</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Common Equity</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IGICEL</w:t>
            </w:r>
            <w:r>
              <w:rPr>
                <w:rFonts w:ascii="Arial" w:cs="Arial" w:eastAsia="Arial" w:hAnsi="Arial"/>
                <w:sz w:val="18"/>
                <w:szCs w:val="18"/>
                <w:color w:val="auto"/>
              </w:rPr>
              <w:t xml:space="preserve"> L</w:t>
            </w:r>
            <w:r>
              <w:rPr>
                <w:rFonts w:ascii="Arial" w:cs="Arial" w:eastAsia="Arial" w:hAnsi="Arial"/>
                <w:sz w:val="14"/>
                <w:szCs w:val="14"/>
                <w:color w:val="auto"/>
              </w:rPr>
              <w:t>TD</w:t>
            </w:r>
            <w:r>
              <w:rPr>
                <w:rFonts w:ascii="Arial" w:cs="Arial" w:eastAsia="Arial" w:hAnsi="Arial"/>
                <w:sz w:val="18"/>
                <w:szCs w:val="18"/>
                <w:color w:val="auto"/>
              </w:rPr>
              <w:t>.</w:t>
            </w:r>
          </w:p>
        </w:tc>
        <w:tc>
          <w:tcPr>
            <w:tcW w:w="3040" w:type="dxa"/>
            <w:vAlign w:val="bottom"/>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4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YOLL</w:t>
            </w:r>
            <w:r>
              <w:rPr>
                <w:rFonts w:ascii="Arial" w:cs="Arial" w:eastAsia="Arial" w:hAnsi="Arial"/>
                <w:sz w:val="18"/>
                <w:szCs w:val="18"/>
                <w:color w:val="auto"/>
              </w:rPr>
              <w:t xml:space="preserve"> B</w:t>
            </w:r>
            <w:r>
              <w:rPr>
                <w:rFonts w:ascii="Arial" w:cs="Arial" w:eastAsia="Arial" w:hAnsi="Arial"/>
                <w:sz w:val="14"/>
                <w:szCs w:val="14"/>
                <w:color w:val="auto"/>
              </w:rPr>
              <w:t>UILDING</w:t>
            </w: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40 K</w:t>
            </w:r>
            <w:r>
              <w:rPr>
                <w:rFonts w:ascii="Arial" w:cs="Arial" w:eastAsia="Arial" w:hAnsi="Arial"/>
                <w:sz w:val="14"/>
                <w:szCs w:val="14"/>
                <w:color w:val="auto"/>
              </w:rPr>
              <w:t>NUTSFORD</w:t>
            </w:r>
            <w:r>
              <w:rPr>
                <w:rFonts w:ascii="Arial" w:cs="Arial" w:eastAsia="Arial" w:hAnsi="Arial"/>
                <w:sz w:val="18"/>
                <w:szCs w:val="18"/>
                <w:color w:val="auto"/>
              </w:rPr>
              <w:t xml:space="preserve"> B</w:t>
            </w:r>
            <w:r>
              <w:rPr>
                <w:rFonts w:ascii="Arial" w:cs="Arial" w:eastAsia="Arial" w:hAnsi="Arial"/>
                <w:sz w:val="14"/>
                <w:szCs w:val="14"/>
                <w:color w:val="auto"/>
              </w:rPr>
              <w:t>OULEVARD</w:t>
            </w: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INGSTON</w:t>
            </w:r>
            <w:r>
              <w:rPr>
                <w:rFonts w:ascii="Arial" w:cs="Arial" w:eastAsia="Arial" w:hAnsi="Arial"/>
                <w:sz w:val="18"/>
                <w:szCs w:val="18"/>
                <w:color w:val="auto"/>
              </w:rPr>
              <w:t xml:space="preserve"> 5,</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AMAICA</w:t>
            </w:r>
            <w:r>
              <w:rPr>
                <w:rFonts w:ascii="Arial" w:cs="Arial" w:eastAsia="Arial" w:hAnsi="Arial"/>
                <w:sz w:val="18"/>
                <w:szCs w:val="18"/>
                <w:color w:val="auto"/>
              </w:rPr>
              <w:t>, W.I.</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NVIRO</w:t>
            </w:r>
            <w:r>
              <w:rPr>
                <w:rFonts w:ascii="Arial" w:cs="Arial" w:eastAsia="Arial" w:hAnsi="Arial"/>
                <w:sz w:val="18"/>
                <w:szCs w:val="18"/>
                <w:color w:val="auto"/>
              </w:rPr>
              <w:t>S</w:t>
            </w:r>
            <w:r>
              <w:rPr>
                <w:rFonts w:ascii="Arial" w:cs="Arial" w:eastAsia="Arial" w:hAnsi="Arial"/>
                <w:sz w:val="14"/>
                <w:szCs w:val="14"/>
                <w:color w:val="auto"/>
              </w:rPr>
              <w:t>OLUTIONS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4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NVIRONMENTAL</w:t>
            </w:r>
            <w:r>
              <w:rPr>
                <w:rFonts w:ascii="Arial" w:cs="Arial" w:eastAsia="Arial" w:hAnsi="Arial"/>
                <w:sz w:val="18"/>
                <w:szCs w:val="18"/>
                <w:color w:val="auto"/>
              </w:rPr>
              <w:t xml:space="preserve"> S</w:t>
            </w:r>
            <w:r>
              <w:rPr>
                <w:rFonts w:ascii="Arial" w:cs="Arial" w:eastAsia="Arial" w:hAnsi="Arial"/>
                <w:sz w:val="14"/>
                <w:szCs w:val="14"/>
                <w:color w:val="auto"/>
              </w:rPr>
              <w:t>ERVICES</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11220 A</w:t>
            </w:r>
            <w:r>
              <w:rPr>
                <w:rFonts w:ascii="Arial" w:cs="Arial" w:eastAsia="Arial" w:hAnsi="Arial"/>
                <w:sz w:val="14"/>
                <w:szCs w:val="14"/>
                <w:color w:val="auto"/>
              </w:rPr>
              <w:t>SSET</w:t>
            </w:r>
            <w:r>
              <w:rPr>
                <w:rFonts w:ascii="Arial" w:cs="Arial" w:eastAsia="Arial" w:hAnsi="Arial"/>
                <w:sz w:val="18"/>
                <w:szCs w:val="18"/>
                <w:color w:val="auto"/>
              </w:rPr>
              <w:t xml:space="preserve"> L</w:t>
            </w:r>
            <w:r>
              <w:rPr>
                <w:rFonts w:ascii="Arial" w:cs="Arial" w:eastAsia="Arial" w:hAnsi="Arial"/>
                <w:sz w:val="14"/>
                <w:szCs w:val="14"/>
                <w:color w:val="auto"/>
              </w:rPr>
              <w:t>OOP</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201</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ANASSAS</w:t>
            </w:r>
            <w:r>
              <w:rPr>
                <w:rFonts w:ascii="Arial" w:cs="Arial" w:eastAsia="Arial" w:hAnsi="Arial"/>
                <w:sz w:val="18"/>
                <w:szCs w:val="18"/>
                <w:color w:val="auto"/>
              </w:rPr>
              <w:t>, VA 20109</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ENERICS</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xml:space="preserve"> (U.S.), I</w:t>
            </w:r>
            <w:r>
              <w:rPr>
                <w:rFonts w:ascii="Arial" w:cs="Arial" w:eastAsia="Arial" w:hAnsi="Arial"/>
                <w:sz w:val="14"/>
                <w:szCs w:val="14"/>
                <w:color w:val="auto"/>
              </w:rPr>
              <w:t>NC</w:t>
            </w:r>
            <w:r>
              <w:rPr>
                <w:rFonts w:ascii="Arial" w:cs="Arial" w:eastAsia="Arial" w:hAnsi="Arial"/>
                <w:sz w:val="18"/>
                <w:szCs w:val="18"/>
                <w:color w:val="auto"/>
              </w:rPr>
              <w:t>.</w:t>
            </w:r>
          </w:p>
        </w:tc>
        <w:tc>
          <w:tcPr>
            <w:tcW w:w="304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 C</w:t>
            </w:r>
            <w:r>
              <w:rPr>
                <w:rFonts w:ascii="Arial" w:cs="Arial" w:eastAsia="Arial" w:hAnsi="Arial"/>
                <w:sz w:val="14"/>
                <w:szCs w:val="14"/>
                <w:color w:val="auto"/>
              </w:rPr>
              <w:t>HILDCARE</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130 V</w:t>
            </w:r>
            <w:r>
              <w:rPr>
                <w:rFonts w:ascii="Arial" w:cs="Arial" w:eastAsia="Arial" w:hAnsi="Arial"/>
                <w:sz w:val="14"/>
                <w:szCs w:val="14"/>
                <w:color w:val="auto"/>
              </w:rPr>
              <w:t>INTAGE</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UNTSVILLE</w:t>
            </w:r>
            <w:r>
              <w:rPr>
                <w:rFonts w:ascii="Arial" w:cs="Arial" w:eastAsia="Arial" w:hAnsi="Arial"/>
                <w:sz w:val="18"/>
                <w:szCs w:val="18"/>
                <w:color w:val="auto"/>
              </w:rPr>
              <w:t>, AL 35811</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REATWIDE</w:t>
            </w:r>
            <w:r>
              <w:rPr>
                <w:rFonts w:ascii="Arial" w:cs="Arial" w:eastAsia="Arial" w:hAnsi="Arial"/>
                <w:sz w:val="18"/>
                <w:szCs w:val="18"/>
                <w:color w:val="auto"/>
              </w:rPr>
              <w:t xml:space="preserve"> L</w:t>
            </w:r>
            <w:r>
              <w:rPr>
                <w:rFonts w:ascii="Arial" w:cs="Arial" w:eastAsia="Arial" w:hAnsi="Arial"/>
                <w:sz w:val="14"/>
                <w:szCs w:val="14"/>
                <w:color w:val="auto"/>
              </w:rPr>
              <w:t>OGISTIC</w:t>
            </w:r>
          </w:p>
        </w:tc>
        <w:tc>
          <w:tcPr>
            <w:tcW w:w="304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ERVICES</w:t>
            </w:r>
            <w:r>
              <w:rPr>
                <w:rFonts w:ascii="Arial" w:cs="Arial" w:eastAsia="Arial" w:hAnsi="Arial"/>
                <w:sz w:val="18"/>
                <w:szCs w:val="18"/>
                <w:color w:val="auto"/>
              </w:rPr>
              <w:t>, L.L.C</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12404 P</w:t>
            </w:r>
            <w:r>
              <w:rPr>
                <w:rFonts w:ascii="Arial" w:cs="Arial" w:eastAsia="Arial" w:hAnsi="Arial"/>
                <w:sz w:val="14"/>
                <w:szCs w:val="14"/>
                <w:color w:val="auto"/>
              </w:rPr>
              <w:t>ARK</w:t>
            </w:r>
            <w:r>
              <w:rPr>
                <w:rFonts w:ascii="Arial" w:cs="Arial" w:eastAsia="Arial" w:hAnsi="Arial"/>
                <w:sz w:val="18"/>
                <w:szCs w:val="18"/>
                <w:color w:val="auto"/>
              </w:rPr>
              <w:t xml:space="preserve"> C</w:t>
            </w:r>
            <w:r>
              <w:rPr>
                <w:rFonts w:ascii="Arial" w:cs="Arial" w:eastAsia="Arial" w:hAnsi="Arial"/>
                <w:sz w:val="14"/>
                <w:szCs w:val="14"/>
                <w:color w:val="auto"/>
              </w:rPr>
              <w:t>ENTRAL</w:t>
            </w:r>
            <w:r>
              <w:rPr>
                <w:rFonts w:ascii="Arial" w:cs="Arial" w:eastAsia="Arial" w:hAnsi="Arial"/>
                <w:sz w:val="18"/>
                <w:szCs w:val="18"/>
                <w:color w:val="auto"/>
              </w:rPr>
              <w:t xml:space="preserve"> D</w:t>
            </w:r>
            <w:r>
              <w:rPr>
                <w:rFonts w:ascii="Arial" w:cs="Arial" w:eastAsia="Arial" w:hAnsi="Arial"/>
                <w:sz w:val="14"/>
                <w:szCs w:val="14"/>
                <w:color w:val="auto"/>
              </w:rPr>
              <w:t>R</w:t>
            </w: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TE</w:t>
            </w:r>
            <w:r>
              <w:rPr>
                <w:rFonts w:ascii="Arial" w:cs="Arial" w:eastAsia="Arial" w:hAnsi="Arial"/>
                <w:sz w:val="18"/>
                <w:szCs w:val="18"/>
                <w:color w:val="auto"/>
              </w:rPr>
              <w:t>. 300S</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ALLAS</w:t>
            </w:r>
            <w:r>
              <w:rPr>
                <w:rFonts w:ascii="Arial" w:cs="Arial" w:eastAsia="Arial" w:hAnsi="Arial"/>
                <w:sz w:val="18"/>
                <w:szCs w:val="18"/>
                <w:color w:val="auto"/>
              </w:rPr>
              <w:t>, TX 75251-1803</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REATWIDE</w:t>
            </w:r>
            <w:r>
              <w:rPr>
                <w:rFonts w:ascii="Arial" w:cs="Arial" w:eastAsia="Arial" w:hAnsi="Arial"/>
                <w:sz w:val="18"/>
                <w:szCs w:val="18"/>
                <w:color w:val="auto"/>
              </w:rPr>
              <w:t xml:space="preserve"> L</w:t>
            </w:r>
            <w:r>
              <w:rPr>
                <w:rFonts w:ascii="Arial" w:cs="Arial" w:eastAsia="Arial" w:hAnsi="Arial"/>
                <w:sz w:val="14"/>
                <w:szCs w:val="14"/>
                <w:color w:val="auto"/>
              </w:rPr>
              <w:t>OGISTICS</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4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12404 P</w:t>
            </w:r>
            <w:r>
              <w:rPr>
                <w:rFonts w:ascii="Arial" w:cs="Arial" w:eastAsia="Arial" w:hAnsi="Arial"/>
                <w:sz w:val="14"/>
                <w:szCs w:val="14"/>
                <w:color w:val="auto"/>
              </w:rPr>
              <w:t>ARK</w:t>
            </w:r>
            <w:r>
              <w:rPr>
                <w:rFonts w:ascii="Arial" w:cs="Arial" w:eastAsia="Arial" w:hAnsi="Arial"/>
                <w:sz w:val="18"/>
                <w:szCs w:val="18"/>
                <w:color w:val="auto"/>
              </w:rPr>
              <w:t xml:space="preserve"> C</w:t>
            </w:r>
            <w:r>
              <w:rPr>
                <w:rFonts w:ascii="Arial" w:cs="Arial" w:eastAsia="Arial" w:hAnsi="Arial"/>
                <w:sz w:val="14"/>
                <w:szCs w:val="14"/>
                <w:color w:val="auto"/>
              </w:rPr>
              <w:t>ENTRAL</w:t>
            </w:r>
            <w:r>
              <w:rPr>
                <w:rFonts w:ascii="Arial" w:cs="Arial" w:eastAsia="Arial" w:hAnsi="Arial"/>
                <w:sz w:val="18"/>
                <w:szCs w:val="18"/>
                <w:color w:val="auto"/>
              </w:rPr>
              <w:t xml:space="preserve"> D</w:t>
            </w:r>
            <w:r>
              <w:rPr>
                <w:rFonts w:ascii="Arial" w:cs="Arial" w:eastAsia="Arial" w:hAnsi="Arial"/>
                <w:sz w:val="14"/>
                <w:szCs w:val="14"/>
                <w:color w:val="auto"/>
              </w:rPr>
              <w:t>R</w:t>
            </w:r>
            <w:r>
              <w:rPr>
                <w:rFonts w:ascii="Arial" w:cs="Arial" w:eastAsia="Arial" w:hAnsi="Arial"/>
                <w:sz w:val="18"/>
                <w:szCs w:val="18"/>
                <w:color w:val="auto"/>
              </w:rPr>
              <w:t>.</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3000</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OUTH</w:t>
            </w:r>
            <w:r>
              <w:rPr>
                <w:rFonts w:ascii="Arial" w:cs="Arial" w:eastAsia="Arial" w:hAnsi="Arial"/>
                <w:sz w:val="18"/>
                <w:szCs w:val="18"/>
                <w:color w:val="auto"/>
              </w:rPr>
              <w:t xml:space="preserve"> D</w:t>
            </w:r>
            <w:r>
              <w:rPr>
                <w:rFonts w:ascii="Arial" w:cs="Arial" w:eastAsia="Arial" w:hAnsi="Arial"/>
                <w:sz w:val="14"/>
                <w:szCs w:val="14"/>
                <w:color w:val="auto"/>
              </w:rPr>
              <w:t>ALLAS</w:t>
            </w:r>
            <w:r>
              <w:rPr>
                <w:rFonts w:ascii="Arial" w:cs="Arial" w:eastAsia="Arial" w:hAnsi="Arial"/>
                <w:sz w:val="18"/>
                <w:szCs w:val="18"/>
                <w:color w:val="auto"/>
              </w:rPr>
              <w:t>, TX 75251</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ANLEY</w:t>
            </w:r>
            <w:r>
              <w:rPr>
                <w:rFonts w:ascii="Arial" w:cs="Arial" w:eastAsia="Arial" w:hAnsi="Arial"/>
                <w:sz w:val="18"/>
                <w:szCs w:val="18"/>
                <w:color w:val="auto"/>
              </w:rPr>
              <w:t>-W</w:t>
            </w:r>
            <w:r>
              <w:rPr>
                <w:rFonts w:ascii="Arial" w:cs="Arial" w:eastAsia="Arial" w:hAnsi="Arial"/>
                <w:sz w:val="14"/>
                <w:szCs w:val="14"/>
                <w:color w:val="auto"/>
              </w:rPr>
              <w:t>OOD</w:t>
            </w:r>
            <w:r>
              <w:rPr>
                <w:rFonts w:ascii="Arial" w:cs="Arial" w:eastAsia="Arial" w:hAnsi="Arial"/>
                <w:sz w:val="18"/>
                <w:szCs w:val="18"/>
                <w:color w:val="auto"/>
              </w:rPr>
              <w:t>, L.L.C.</w:t>
            </w:r>
          </w:p>
        </w:tc>
        <w:tc>
          <w:tcPr>
            <w:tcW w:w="304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T</w:t>
            </w:r>
            <w:r>
              <w:rPr>
                <w:rFonts w:ascii="Arial" w:cs="Arial" w:eastAsia="Arial" w:hAnsi="Arial"/>
                <w:sz w:val="14"/>
                <w:szCs w:val="14"/>
                <w:color w:val="auto"/>
              </w:rPr>
              <w:t>HOMAS</w:t>
            </w:r>
            <w:r>
              <w:rPr>
                <w:rFonts w:ascii="Arial" w:cs="Arial" w:eastAsia="Arial" w:hAnsi="Arial"/>
                <w:sz w:val="18"/>
                <w:szCs w:val="18"/>
                <w:color w:val="auto"/>
              </w:rPr>
              <w:t xml:space="preserve"> C</w:t>
            </w:r>
            <w:r>
              <w:rPr>
                <w:rFonts w:ascii="Arial" w:cs="Arial" w:eastAsia="Arial" w:hAnsi="Arial"/>
                <w:sz w:val="14"/>
                <w:szCs w:val="14"/>
                <w:color w:val="auto"/>
              </w:rPr>
              <w:t>IRCLE</w:t>
            </w:r>
            <w:r>
              <w:rPr>
                <w:rFonts w:ascii="Arial" w:cs="Arial" w:eastAsia="Arial" w:hAnsi="Arial"/>
                <w:sz w:val="18"/>
                <w:szCs w:val="18"/>
                <w:color w:val="auto"/>
              </w:rPr>
              <w:t>, NW</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600</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ASHINGTON</w:t>
            </w:r>
            <w:r>
              <w:rPr>
                <w:rFonts w:ascii="Arial" w:cs="Arial" w:eastAsia="Arial" w:hAnsi="Arial"/>
                <w:sz w:val="18"/>
                <w:szCs w:val="18"/>
                <w:color w:val="auto"/>
              </w:rPr>
              <w:t>, DC 20005</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UGHES</w:t>
            </w:r>
            <w:r>
              <w:rPr>
                <w:rFonts w:ascii="Arial" w:cs="Arial" w:eastAsia="Arial" w:hAnsi="Arial"/>
                <w:sz w:val="18"/>
                <w:szCs w:val="18"/>
                <w:color w:val="auto"/>
              </w:rPr>
              <w:t xml:space="preserve"> N</w:t>
            </w:r>
            <w:r>
              <w:rPr>
                <w:rFonts w:ascii="Arial" w:cs="Arial" w:eastAsia="Arial" w:hAnsi="Arial"/>
                <w:sz w:val="14"/>
                <w:szCs w:val="14"/>
                <w:color w:val="auto"/>
              </w:rPr>
              <w:t>ETWORK</w:t>
            </w:r>
            <w:r>
              <w:rPr>
                <w:rFonts w:ascii="Arial" w:cs="Arial" w:eastAsia="Arial" w:hAnsi="Arial"/>
                <w:sz w:val="18"/>
                <w:szCs w:val="18"/>
                <w:color w:val="auto"/>
              </w:rPr>
              <w:t xml:space="preserve"> S</w:t>
            </w:r>
            <w:r>
              <w:rPr>
                <w:rFonts w:ascii="Arial" w:cs="Arial" w:eastAsia="Arial" w:hAnsi="Arial"/>
                <w:sz w:val="14"/>
                <w:szCs w:val="14"/>
                <w:color w:val="auto"/>
              </w:rPr>
              <w:t>YSTEMS</w:t>
            </w:r>
            <w:r>
              <w:rPr>
                <w:rFonts w:ascii="Arial" w:cs="Arial" w:eastAsia="Arial" w:hAnsi="Arial"/>
                <w:sz w:val="18"/>
                <w:szCs w:val="18"/>
                <w:color w:val="auto"/>
              </w:rPr>
              <w:t>, L.L.C.</w:t>
            </w:r>
          </w:p>
        </w:tc>
        <w:tc>
          <w:tcPr>
            <w:tcW w:w="3040" w:type="dxa"/>
            <w:vAlign w:val="bottom"/>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11717 E</w:t>
            </w:r>
            <w:r>
              <w:rPr>
                <w:rFonts w:ascii="Arial" w:cs="Arial" w:eastAsia="Arial" w:hAnsi="Arial"/>
                <w:sz w:val="14"/>
                <w:szCs w:val="14"/>
                <w:color w:val="auto"/>
              </w:rPr>
              <w:t>XPLORATION</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ERMANTOWN</w:t>
            </w:r>
            <w:r>
              <w:rPr>
                <w:rFonts w:ascii="Arial" w:cs="Arial" w:eastAsia="Arial" w:hAnsi="Arial"/>
                <w:sz w:val="18"/>
                <w:szCs w:val="18"/>
                <w:color w:val="auto"/>
              </w:rPr>
              <w:t>, MD 20876</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40" w:type="dxa"/>
            <w:vAlign w:val="bottom"/>
            <w:gridSpan w:val="2"/>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NTERDYNAMICS</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40" w:type="dxa"/>
            <w:vAlign w:val="bottom"/>
          </w:tcPr>
          <w:p>
            <w:pPr>
              <w:jc w:val="center"/>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UTO</w:t>
            </w:r>
            <w:r>
              <w:rPr>
                <w:rFonts w:ascii="Arial" w:cs="Arial" w:eastAsia="Arial" w:hAnsi="Arial"/>
                <w:sz w:val="18"/>
                <w:szCs w:val="18"/>
                <w:color w:val="auto"/>
                <w:w w:val="96"/>
              </w:rPr>
              <w:t xml:space="preserve"> S</w:t>
            </w:r>
            <w:r>
              <w:rPr>
                <w:rFonts w:ascii="Arial" w:cs="Arial" w:eastAsia="Arial" w:hAnsi="Arial"/>
                <w:sz w:val="14"/>
                <w:szCs w:val="14"/>
                <w:color w:val="auto"/>
                <w:w w:val="96"/>
              </w:rPr>
              <w:t>ECTOR</w:t>
            </w:r>
          </w:p>
        </w:tc>
        <w:tc>
          <w:tcPr>
            <w:tcW w:w="4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560 W</w:t>
            </w:r>
            <w:r>
              <w:rPr>
                <w:rFonts w:ascii="Arial" w:cs="Arial" w:eastAsia="Arial" w:hAnsi="Arial"/>
                <w:sz w:val="14"/>
                <w:szCs w:val="14"/>
                <w:color w:val="auto"/>
              </w:rPr>
              <w:t>HITE</w:t>
            </w:r>
            <w:r>
              <w:rPr>
                <w:rFonts w:ascii="Arial" w:cs="Arial" w:eastAsia="Arial" w:hAnsi="Arial"/>
                <w:sz w:val="18"/>
                <w:szCs w:val="18"/>
                <w:color w:val="auto"/>
              </w:rPr>
              <w:t xml:space="preserve"> P</w:t>
            </w:r>
            <w:r>
              <w:rPr>
                <w:rFonts w:ascii="Arial" w:cs="Arial" w:eastAsia="Arial" w:hAnsi="Arial"/>
                <w:sz w:val="14"/>
                <w:szCs w:val="14"/>
                <w:color w:val="auto"/>
              </w:rPr>
              <w:t>LAINS</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6</w:t>
            </w:r>
            <w:r>
              <w:rPr>
                <w:rFonts w:ascii="Arial" w:cs="Arial" w:eastAsia="Arial" w:hAnsi="Arial"/>
                <w:sz w:val="9"/>
                <w:szCs w:val="9"/>
                <w:color w:val="auto"/>
              </w:rPr>
              <w:t>TH</w:t>
            </w:r>
            <w:r>
              <w:rPr>
                <w:rFonts w:ascii="Arial" w:cs="Arial" w:eastAsia="Arial" w:hAnsi="Arial"/>
                <w:sz w:val="18"/>
                <w:szCs w:val="18"/>
                <w:color w:val="auto"/>
              </w:rPr>
              <w:t xml:space="preserve"> F</w:t>
            </w:r>
            <w:r>
              <w:rPr>
                <w:rFonts w:ascii="Arial" w:cs="Arial" w:eastAsia="Arial" w:hAnsi="Arial"/>
                <w:sz w:val="14"/>
                <w:szCs w:val="14"/>
                <w:color w:val="auto"/>
              </w:rPr>
              <w:t>LOOR</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ARRYTOWN</w:t>
            </w:r>
            <w:r>
              <w:rPr>
                <w:rFonts w:ascii="Arial" w:cs="Arial" w:eastAsia="Arial" w:hAnsi="Arial"/>
                <w:sz w:val="18"/>
                <w:szCs w:val="18"/>
                <w:color w:val="auto"/>
              </w:rPr>
              <w:t>, NY 10591</w:t>
            </w: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65"/>
        </w:trPr>
        <w:tc>
          <w:tcPr>
            <w:tcW w:w="1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40" w:type="dxa"/>
            <w:vAlign w:val="bottom"/>
          </w:tcPr>
          <w:p>
            <w:pPr>
              <w:jc w:val="right"/>
              <w:ind w:right="894"/>
              <w:spacing w:after="0"/>
              <w:rPr>
                <w:sz w:val="20"/>
                <w:szCs w:val="20"/>
                <w:color w:val="auto"/>
              </w:rPr>
            </w:pPr>
            <w:r>
              <w:rPr>
                <w:rFonts w:ascii="Arial" w:cs="Arial" w:eastAsia="Arial" w:hAnsi="Arial"/>
                <w:sz w:val="18"/>
                <w:szCs w:val="18"/>
                <w:color w:val="auto"/>
              </w:rPr>
              <w:t>68</w:t>
            </w:r>
          </w:p>
        </w:tc>
        <w:tc>
          <w:tcPr>
            <w:tcW w:w="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r>
      <w:tr>
        <w:trPr>
          <w:trHeight w:val="134"/>
        </w:trPr>
        <w:tc>
          <w:tcPr>
            <w:tcW w:w="38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Name and Address of Portfolio</w:t>
            </w:r>
          </w:p>
        </w:tc>
        <w:tc>
          <w:tcPr>
            <w:tcW w:w="3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76"/>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83"/>
              </w:rPr>
              <w:t>Nature of Business</w:t>
            </w:r>
          </w:p>
        </w:tc>
        <w:tc>
          <w:tcPr>
            <w:tcW w:w="420" w:type="dxa"/>
            <w:vAlign w:val="bottom"/>
          </w:tcPr>
          <w:p>
            <w:pPr>
              <w:spacing w:after="0"/>
              <w:rPr>
                <w:sz w:val="15"/>
                <w:szCs w:val="15"/>
                <w:color w:val="auto"/>
              </w:rPr>
            </w:pPr>
          </w:p>
        </w:tc>
        <w:tc>
          <w:tcPr>
            <w:tcW w:w="3040" w:type="dxa"/>
            <w:vAlign w:val="bottom"/>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42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Held</w:t>
            </w:r>
            <w:r>
              <w:rPr>
                <w:rFonts w:ascii="Arial" w:cs="Arial" w:eastAsia="Arial" w:hAnsi="Arial"/>
                <w:sz w:val="20"/>
                <w:szCs w:val="20"/>
                <w:b w:val="1"/>
                <w:bCs w:val="1"/>
                <w:color w:val="auto"/>
                <w:w w:val="89"/>
                <w:vertAlign w:val="superscript"/>
              </w:rPr>
              <w:t>(1)</w:t>
            </w:r>
          </w:p>
        </w:tc>
      </w:tr>
      <w:tr>
        <w:trPr>
          <w:trHeight w:val="201"/>
        </w:trPr>
        <w:tc>
          <w:tcPr>
            <w:tcW w:w="1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i2 H</w:t>
            </w:r>
            <w:r>
              <w:rPr>
                <w:rFonts w:ascii="Arial" w:cs="Arial" w:eastAsia="Arial" w:hAnsi="Arial"/>
                <w:sz w:val="14"/>
                <w:szCs w:val="14"/>
                <w:color w:val="auto"/>
              </w:rPr>
              <w:t>OLDINGS</w:t>
            </w:r>
            <w:r>
              <w:rPr>
                <w:rFonts w:ascii="Arial" w:cs="Arial" w:eastAsia="Arial" w:hAnsi="Arial"/>
                <w:sz w:val="18"/>
                <w:szCs w:val="18"/>
                <w:color w:val="auto"/>
              </w:rPr>
              <w:t>, L</w:t>
            </w:r>
            <w:r>
              <w:rPr>
                <w:rFonts w:ascii="Arial" w:cs="Arial" w:eastAsia="Arial" w:hAnsi="Arial"/>
                <w:sz w:val="14"/>
                <w:szCs w:val="14"/>
                <w:color w:val="auto"/>
              </w:rPr>
              <w:t>TD</w:t>
            </w:r>
            <w:r>
              <w:rPr>
                <w:rFonts w:ascii="Arial" w:cs="Arial" w:eastAsia="Arial" w:hAnsi="Arial"/>
                <w:sz w:val="18"/>
                <w:szCs w:val="18"/>
                <w:color w:val="auto"/>
              </w:rPr>
              <w:t>.</w:t>
            </w:r>
          </w:p>
        </w:tc>
        <w:tc>
          <w:tcPr>
            <w:tcW w:w="1980" w:type="dxa"/>
            <w:vAlign w:val="bottom"/>
          </w:tcPr>
          <w:p>
            <w:pPr>
              <w:spacing w:after="0"/>
              <w:rPr>
                <w:sz w:val="17"/>
                <w:szCs w:val="17"/>
                <w:color w:val="auto"/>
              </w:rPr>
            </w:pPr>
          </w:p>
        </w:tc>
        <w:tc>
          <w:tcPr>
            <w:tcW w:w="30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 </w:t>
            </w:r>
            <w:r>
              <w:rPr>
                <w:rFonts w:ascii="Arial" w:cs="Arial" w:eastAsia="Arial" w:hAnsi="Arial"/>
                <w:sz w:val="14"/>
                <w:szCs w:val="14"/>
                <w:color w:val="auto"/>
                <w:w w:val="97"/>
              </w:rPr>
              <w:t>DEFENSE</w:t>
            </w:r>
          </w:p>
        </w:tc>
        <w:tc>
          <w:tcPr>
            <w:tcW w:w="420" w:type="dxa"/>
            <w:vAlign w:val="bottom"/>
          </w:tcPr>
          <w:p>
            <w:pPr>
              <w:spacing w:after="0"/>
              <w:rPr>
                <w:sz w:val="17"/>
                <w:szCs w:val="17"/>
                <w:color w:val="auto"/>
              </w:rPr>
            </w:pPr>
          </w:p>
        </w:tc>
        <w:tc>
          <w:tcPr>
            <w:tcW w:w="30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Subordinated Debt</w:t>
            </w:r>
          </w:p>
        </w:tc>
        <w:tc>
          <w:tcPr>
            <w:tcW w:w="420" w:type="dxa"/>
            <w:vAlign w:val="bottom"/>
          </w:tcPr>
          <w:p>
            <w:pPr>
              <w:spacing w:after="0"/>
              <w:rPr>
                <w:sz w:val="17"/>
                <w:szCs w:val="17"/>
                <w:color w:val="auto"/>
              </w:rPr>
            </w:pPr>
          </w:p>
        </w:tc>
        <w:tc>
          <w:tcPr>
            <w:tcW w:w="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3.9%</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V</w:t>
            </w:r>
            <w:r>
              <w:rPr>
                <w:rFonts w:ascii="Arial" w:cs="Arial" w:eastAsia="Arial" w:hAnsi="Arial"/>
                <w:sz w:val="14"/>
                <w:szCs w:val="14"/>
                <w:color w:val="auto"/>
              </w:rPr>
              <w:t>ISUAL</w:t>
            </w:r>
            <w:r>
              <w:rPr>
                <w:rFonts w:ascii="Arial" w:cs="Arial" w:eastAsia="Arial" w:hAnsi="Arial"/>
                <w:sz w:val="18"/>
                <w:szCs w:val="18"/>
                <w:color w:val="auto"/>
              </w:rPr>
              <w:t xml:space="preserve"> S</w:t>
            </w:r>
            <w:r>
              <w:rPr>
                <w:rFonts w:ascii="Arial" w:cs="Arial" w:eastAsia="Arial" w:hAnsi="Arial"/>
                <w:sz w:val="14"/>
                <w:szCs w:val="14"/>
                <w:color w:val="auto"/>
              </w:rPr>
              <w:t>PACE</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P</w:t>
            </w:r>
            <w:r>
              <w:rPr>
                <w:rFonts w:ascii="Arial" w:cs="Arial" w:eastAsia="Arial" w:hAnsi="Arial"/>
                <w:sz w:val="14"/>
                <w:szCs w:val="14"/>
                <w:color w:val="auto"/>
              </w:rPr>
              <w:t>ARK</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9"/>
              </w:rPr>
              <w:t>Preferred Equity</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ULBOURN</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AMBRIDGESHIRE</w:t>
            </w:r>
            <w:r>
              <w:rPr>
                <w:rFonts w:ascii="Arial" w:cs="Arial" w:eastAsia="Arial" w:hAnsi="Arial"/>
                <w:sz w:val="18"/>
                <w:szCs w:val="18"/>
                <w:color w:val="auto"/>
              </w:rPr>
              <w:t>, CB215XH</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NITED</w:t>
            </w:r>
            <w:r>
              <w:rPr>
                <w:rFonts w:ascii="Arial" w:cs="Arial" w:eastAsia="Arial" w:hAnsi="Arial"/>
                <w:sz w:val="18"/>
                <w:szCs w:val="18"/>
                <w:color w:val="auto"/>
              </w:rPr>
              <w:t xml:space="preserve"> K</w:t>
            </w:r>
            <w:r>
              <w:rPr>
                <w:rFonts w:ascii="Arial" w:cs="Arial" w:eastAsia="Arial" w:hAnsi="Arial"/>
                <w:sz w:val="14"/>
                <w:szCs w:val="14"/>
                <w:color w:val="auto"/>
              </w:rPr>
              <w:t>INGDOM</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ACUZZI</w:t>
            </w:r>
            <w:r>
              <w:rPr>
                <w:rFonts w:ascii="Arial" w:cs="Arial" w:eastAsia="Arial" w:hAnsi="Arial"/>
                <w:sz w:val="18"/>
                <w:szCs w:val="18"/>
                <w:color w:val="auto"/>
              </w:rPr>
              <w:t xml:space="preserve"> B</w:t>
            </w:r>
            <w:r>
              <w:rPr>
                <w:rFonts w:ascii="Arial" w:cs="Arial" w:eastAsia="Arial" w:hAnsi="Arial"/>
                <w:sz w:val="14"/>
                <w:szCs w:val="14"/>
                <w:color w:val="auto"/>
              </w:rPr>
              <w:t>RANDS</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777 S. F</w:t>
            </w:r>
            <w:r>
              <w:rPr>
                <w:rFonts w:ascii="Arial" w:cs="Arial" w:eastAsia="Arial" w:hAnsi="Arial"/>
                <w:sz w:val="14"/>
                <w:szCs w:val="14"/>
                <w:color w:val="auto"/>
              </w:rPr>
              <w:t>LAGLER</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02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r>
              <w:rPr>
                <w:rFonts w:ascii="Arial" w:cs="Arial" w:eastAsia="Arial" w:hAnsi="Arial"/>
                <w:sz w:val="18"/>
                <w:szCs w:val="18"/>
                <w:color w:val="auto"/>
                <w:w w:val="98"/>
              </w:rPr>
              <w:t xml:space="preserve"> 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1100-W</w:t>
            </w:r>
            <w:r>
              <w:rPr>
                <w:rFonts w:ascii="Arial" w:cs="Arial" w:eastAsia="Arial" w:hAnsi="Arial"/>
                <w:sz w:val="14"/>
                <w:szCs w:val="14"/>
                <w:color w:val="auto"/>
              </w:rPr>
              <w:t>EST</w:t>
            </w:r>
          </w:p>
        </w:tc>
        <w:tc>
          <w:tcPr>
            <w:tcW w:w="302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 D</w:t>
            </w:r>
            <w:r>
              <w:rPr>
                <w:rFonts w:ascii="Arial" w:cs="Arial" w:eastAsia="Arial" w:hAnsi="Arial"/>
                <w:sz w:val="14"/>
                <w:szCs w:val="14"/>
                <w:color w:val="auto"/>
                <w:w w:val="98"/>
              </w:rPr>
              <w:t>URABLE</w:t>
            </w:r>
            <w:r>
              <w:rPr>
                <w:rFonts w:ascii="Arial" w:cs="Arial" w:eastAsia="Arial" w:hAnsi="Arial"/>
                <w:sz w:val="18"/>
                <w:szCs w:val="18"/>
                <w:color w:val="auto"/>
                <w:w w:val="98"/>
              </w:rPr>
              <w:t xml:space="preserve"> C</w:t>
            </w:r>
            <w:r>
              <w:rPr>
                <w:rFonts w:ascii="Arial" w:cs="Arial" w:eastAsia="Arial" w:hAnsi="Arial"/>
                <w:sz w:val="14"/>
                <w:szCs w:val="14"/>
                <w:color w:val="auto"/>
                <w:w w:val="98"/>
              </w:rPr>
              <w:t>ONSUMER</w:t>
            </w: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6"/>
        </w:trPr>
        <w:tc>
          <w:tcPr>
            <w:tcW w:w="388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EST</w:t>
            </w:r>
            <w:r>
              <w:rPr>
                <w:rFonts w:ascii="Arial" w:cs="Arial" w:eastAsia="Arial" w:hAnsi="Arial"/>
                <w:sz w:val="18"/>
                <w:szCs w:val="18"/>
                <w:color w:val="auto"/>
              </w:rPr>
              <w:t xml:space="preserve"> P</w:t>
            </w:r>
            <w:r>
              <w:rPr>
                <w:rFonts w:ascii="Arial" w:cs="Arial" w:eastAsia="Arial" w:hAnsi="Arial"/>
                <w:sz w:val="14"/>
                <w:szCs w:val="14"/>
                <w:color w:val="auto"/>
              </w:rPr>
              <w:t>ALM</w:t>
            </w:r>
            <w:r>
              <w:rPr>
                <w:rFonts w:ascii="Arial" w:cs="Arial" w:eastAsia="Arial" w:hAnsi="Arial"/>
                <w:sz w:val="18"/>
                <w:szCs w:val="18"/>
                <w:color w:val="auto"/>
              </w:rPr>
              <w:t xml:space="preserve"> B</w:t>
            </w:r>
            <w:r>
              <w:rPr>
                <w:rFonts w:ascii="Arial" w:cs="Arial" w:eastAsia="Arial" w:hAnsi="Arial"/>
                <w:sz w:val="14"/>
                <w:szCs w:val="14"/>
                <w:color w:val="auto"/>
              </w:rPr>
              <w:t>EACH</w:t>
            </w:r>
            <w:r>
              <w:rPr>
                <w:rFonts w:ascii="Arial" w:cs="Arial" w:eastAsia="Arial" w:hAnsi="Arial"/>
                <w:sz w:val="18"/>
                <w:szCs w:val="18"/>
                <w:color w:val="auto"/>
              </w:rPr>
              <w:t>, FL. 33401</w:t>
            </w:r>
          </w:p>
        </w:tc>
        <w:tc>
          <w:tcPr>
            <w:tcW w:w="302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4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EARNING</w:t>
            </w:r>
            <w:r>
              <w:rPr>
                <w:rFonts w:ascii="Arial" w:cs="Arial" w:eastAsia="Arial" w:hAnsi="Arial"/>
                <w:sz w:val="18"/>
                <w:szCs w:val="18"/>
                <w:color w:val="auto"/>
              </w:rPr>
              <w:t xml:space="preserve"> C</w:t>
            </w:r>
            <w:r>
              <w:rPr>
                <w:rFonts w:ascii="Arial" w:cs="Arial" w:eastAsia="Arial" w:hAnsi="Arial"/>
                <w:sz w:val="14"/>
                <w:szCs w:val="14"/>
                <w:color w:val="auto"/>
              </w:rPr>
              <w:t>ARE</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(U.S.)</w:t>
            </w:r>
          </w:p>
        </w:tc>
        <w:tc>
          <w:tcPr>
            <w:tcW w:w="302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21333 H</w:t>
            </w:r>
            <w:r>
              <w:rPr>
                <w:rFonts w:ascii="Arial" w:cs="Arial" w:eastAsia="Arial" w:hAnsi="Arial"/>
                <w:sz w:val="14"/>
                <w:szCs w:val="14"/>
                <w:color w:val="auto"/>
              </w:rPr>
              <w:t>AGGERTY</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300</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OVI</w:t>
            </w:r>
            <w:r>
              <w:rPr>
                <w:rFonts w:ascii="Arial" w:cs="Arial" w:eastAsia="Arial" w:hAnsi="Arial"/>
                <w:sz w:val="18"/>
                <w:szCs w:val="18"/>
                <w:color w:val="auto"/>
              </w:rPr>
              <w:t>, M</w:t>
            </w:r>
            <w:r>
              <w:rPr>
                <w:rFonts w:ascii="Arial" w:cs="Arial" w:eastAsia="Arial" w:hAnsi="Arial"/>
                <w:sz w:val="14"/>
                <w:szCs w:val="14"/>
                <w:color w:val="auto"/>
              </w:rPr>
              <w:t>ICHIGAN</w:t>
            </w:r>
            <w:r>
              <w:rPr>
                <w:rFonts w:ascii="Arial" w:cs="Arial" w:eastAsia="Arial" w:hAnsi="Arial"/>
                <w:sz w:val="18"/>
                <w:szCs w:val="18"/>
                <w:color w:val="auto"/>
              </w:rPr>
              <w:t xml:space="preserve"> 48375</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EVLAD</w:t>
            </w:r>
            <w:r>
              <w:rPr>
                <w:rFonts w:ascii="Arial" w:cs="Arial" w:eastAsia="Arial" w:hAnsi="Arial"/>
                <w:sz w:val="18"/>
                <w:szCs w:val="18"/>
                <w:color w:val="auto"/>
              </w:rPr>
              <w:t>, L.L.C.</w:t>
            </w:r>
          </w:p>
        </w:tc>
        <w:tc>
          <w:tcPr>
            <w:tcW w:w="302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5"/>
                <w:szCs w:val="15"/>
                <w:color w:val="auto"/>
              </w:rPr>
              <w:t>C</w:t>
            </w:r>
            <w:r>
              <w:rPr>
                <w:rFonts w:ascii="Arial" w:cs="Arial" w:eastAsia="Arial" w:hAnsi="Arial"/>
                <w:sz w:val="17"/>
                <w:szCs w:val="17"/>
                <w:color w:val="auto"/>
              </w:rPr>
              <w:t>/</w:t>
            </w:r>
            <w:r>
              <w:rPr>
                <w:rFonts w:ascii="Arial" w:cs="Arial" w:eastAsia="Arial" w:hAnsi="Arial"/>
                <w:sz w:val="15"/>
                <w:szCs w:val="15"/>
                <w:color w:val="auto"/>
              </w:rPr>
              <w:t xml:space="preserve">O </w:t>
            </w:r>
            <w:r>
              <w:rPr>
                <w:rFonts w:ascii="Arial" w:cs="Arial" w:eastAsia="Arial" w:hAnsi="Arial"/>
                <w:sz w:val="17"/>
                <w:szCs w:val="17"/>
                <w:color w:val="auto"/>
              </w:rPr>
              <w:t>H</w:t>
            </w:r>
            <w:r>
              <w:rPr>
                <w:rFonts w:ascii="Arial" w:cs="Arial" w:eastAsia="Arial" w:hAnsi="Arial"/>
                <w:sz w:val="15"/>
                <w:szCs w:val="15"/>
                <w:color w:val="auto"/>
              </w:rPr>
              <w:t xml:space="preserve">ARVEST </w:t>
            </w:r>
            <w:r>
              <w:rPr>
                <w:rFonts w:ascii="Arial" w:cs="Arial" w:eastAsia="Arial" w:hAnsi="Arial"/>
                <w:sz w:val="17"/>
                <w:szCs w:val="17"/>
                <w:color w:val="auto"/>
              </w:rPr>
              <w:t>P</w:t>
            </w:r>
            <w:r>
              <w:rPr>
                <w:rFonts w:ascii="Arial" w:cs="Arial" w:eastAsia="Arial" w:hAnsi="Arial"/>
                <w:sz w:val="15"/>
                <w:szCs w:val="15"/>
                <w:color w:val="auto"/>
              </w:rPr>
              <w:t>ARTNERS</w:t>
            </w:r>
            <w:r>
              <w:rPr>
                <w:rFonts w:ascii="Arial" w:cs="Arial" w:eastAsia="Arial" w:hAnsi="Arial"/>
                <w:sz w:val="17"/>
                <w:szCs w:val="17"/>
                <w:color w:val="auto"/>
              </w:rPr>
              <w:t>, I</w:t>
            </w:r>
            <w:r>
              <w:rPr>
                <w:rFonts w:ascii="Arial" w:cs="Arial" w:eastAsia="Arial" w:hAnsi="Arial"/>
                <w:sz w:val="15"/>
                <w:szCs w:val="15"/>
                <w:color w:val="auto"/>
              </w:rPr>
              <w:t>NC</w:t>
            </w:r>
            <w:r>
              <w:rPr>
                <w:rFonts w:ascii="Arial" w:cs="Arial" w:eastAsia="Arial" w:hAnsi="Arial"/>
                <w:sz w:val="17"/>
                <w:szCs w:val="17"/>
                <w:color w:val="auto"/>
              </w:rPr>
              <w:t>.</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280 P</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NY 10017</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YONDELL</w:t>
            </w:r>
            <w:r>
              <w:rPr>
                <w:rFonts w:ascii="Arial" w:cs="Arial" w:eastAsia="Arial" w:hAnsi="Arial"/>
                <w:sz w:val="18"/>
                <w:szCs w:val="18"/>
                <w:color w:val="auto"/>
              </w:rPr>
              <w:t xml:space="preserve"> C</w:t>
            </w:r>
            <w:r>
              <w:rPr>
                <w:rFonts w:ascii="Arial" w:cs="Arial" w:eastAsia="Arial" w:hAnsi="Arial"/>
                <w:sz w:val="14"/>
                <w:szCs w:val="14"/>
                <w:color w:val="auto"/>
              </w:rPr>
              <w:t>HEMICAL</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HEMICALS</w:t>
            </w:r>
            <w:r>
              <w:rPr>
                <w:rFonts w:ascii="Arial" w:cs="Arial" w:eastAsia="Arial" w:hAnsi="Arial"/>
                <w:sz w:val="18"/>
                <w:szCs w:val="18"/>
                <w:color w:val="auto"/>
                <w:w w:val="98"/>
              </w:rPr>
              <w:t>, P</w:t>
            </w:r>
            <w:r>
              <w:rPr>
                <w:rFonts w:ascii="Arial" w:cs="Arial" w:eastAsia="Arial" w:hAnsi="Arial"/>
                <w:sz w:val="14"/>
                <w:szCs w:val="14"/>
                <w:color w:val="auto"/>
                <w:w w:val="98"/>
              </w:rPr>
              <w:t>LASTICS</w:t>
            </w:r>
            <w:r>
              <w:rPr>
                <w:rFonts w:ascii="Arial" w:cs="Arial" w:eastAsia="Arial" w:hAnsi="Arial"/>
                <w:sz w:val="18"/>
                <w:szCs w:val="18"/>
                <w:color w:val="auto"/>
                <w:w w:val="98"/>
              </w:rPr>
              <w:t>, &amp; R</w:t>
            </w:r>
            <w:r>
              <w:rPr>
                <w:rFonts w:ascii="Arial" w:cs="Arial" w:eastAsia="Arial" w:hAnsi="Arial"/>
                <w:sz w:val="14"/>
                <w:szCs w:val="14"/>
                <w:color w:val="auto"/>
                <w:w w:val="98"/>
              </w:rPr>
              <w:t>UBBER</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YONDELL</w:t>
            </w:r>
            <w:r>
              <w:rPr>
                <w:rFonts w:ascii="Arial" w:cs="Arial" w:eastAsia="Arial" w:hAnsi="Arial"/>
                <w:sz w:val="18"/>
                <w:szCs w:val="18"/>
                <w:color w:val="auto"/>
              </w:rPr>
              <w:t>B</w:t>
            </w:r>
            <w:r>
              <w:rPr>
                <w:rFonts w:ascii="Arial" w:cs="Arial" w:eastAsia="Arial" w:hAnsi="Arial"/>
                <w:sz w:val="14"/>
                <w:szCs w:val="14"/>
                <w:color w:val="auto"/>
              </w:rPr>
              <w:t>ASELL</w:t>
            </w:r>
            <w:r>
              <w:rPr>
                <w:rFonts w:ascii="Arial" w:cs="Arial" w:eastAsia="Arial" w:hAnsi="Arial"/>
                <w:sz w:val="18"/>
                <w:szCs w:val="18"/>
                <w:color w:val="auto"/>
              </w:rPr>
              <w:t xml:space="preserve"> I</w:t>
            </w:r>
            <w:r>
              <w:rPr>
                <w:rFonts w:ascii="Arial" w:cs="Arial" w:eastAsia="Arial" w:hAnsi="Arial"/>
                <w:sz w:val="14"/>
                <w:szCs w:val="14"/>
                <w:color w:val="auto"/>
              </w:rPr>
              <w:t>NDUSTRIES</w:t>
            </w:r>
            <w:r>
              <w:rPr>
                <w:rFonts w:ascii="Arial" w:cs="Arial" w:eastAsia="Arial" w:hAnsi="Arial"/>
                <w:sz w:val="18"/>
                <w:szCs w:val="18"/>
                <w:color w:val="auto"/>
              </w:rPr>
              <w:t xml:space="preserve"> 1221</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C</w:t>
            </w:r>
            <w:r>
              <w:rPr>
                <w:rFonts w:ascii="Arial" w:cs="Arial" w:eastAsia="Arial" w:hAnsi="Arial"/>
                <w:sz w:val="18"/>
                <w:szCs w:val="18"/>
                <w:color w:val="auto"/>
              </w:rPr>
              <w:t>K</w:t>
            </w:r>
            <w:r>
              <w:rPr>
                <w:rFonts w:ascii="Arial" w:cs="Arial" w:eastAsia="Arial" w:hAnsi="Arial"/>
                <w:sz w:val="14"/>
                <w:szCs w:val="14"/>
                <w:color w:val="auto"/>
              </w:rPr>
              <w:t>INNEY</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OUSTON</w:t>
            </w:r>
            <w:r>
              <w:rPr>
                <w:rFonts w:ascii="Arial" w:cs="Arial" w:eastAsia="Arial" w:hAnsi="Arial"/>
                <w:sz w:val="18"/>
                <w:szCs w:val="18"/>
                <w:color w:val="auto"/>
              </w:rPr>
              <w:t>, TX 77010</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31"/>
        </w:trPr>
        <w:tc>
          <w:tcPr>
            <w:tcW w:w="388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ATTRESS</w:t>
            </w:r>
            <w:r>
              <w:rPr>
                <w:rFonts w:ascii="Arial" w:cs="Arial" w:eastAsia="Arial" w:hAnsi="Arial"/>
                <w:sz w:val="18"/>
                <w:szCs w:val="18"/>
                <w:color w:val="auto"/>
              </w:rPr>
              <w:t xml:space="preserve"> H</w:t>
            </w:r>
            <w:r>
              <w:rPr>
                <w:rFonts w:ascii="Arial" w:cs="Arial" w:eastAsia="Arial" w:hAnsi="Arial"/>
                <w:sz w:val="14"/>
                <w:szCs w:val="14"/>
                <w:color w:val="auto"/>
              </w:rPr>
              <w:t>OLDING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r>
              <w:rPr>
                <w:rFonts w:ascii="Arial" w:cs="Arial" w:eastAsia="Arial" w:hAnsi="Arial"/>
                <w:sz w:val="18"/>
                <w:szCs w:val="18"/>
                <w:color w:val="auto"/>
                <w:w w:val="98"/>
              </w:rPr>
              <w:t xml:space="preserve"> 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5815 G</w:t>
            </w:r>
            <w:r>
              <w:rPr>
                <w:rFonts w:ascii="Arial" w:cs="Arial" w:eastAsia="Arial" w:hAnsi="Arial"/>
                <w:sz w:val="14"/>
                <w:szCs w:val="14"/>
                <w:color w:val="auto"/>
              </w:rPr>
              <w:t>ULF</w:t>
            </w:r>
            <w:r>
              <w:rPr>
                <w:rFonts w:ascii="Arial" w:cs="Arial" w:eastAsia="Arial" w:hAnsi="Arial"/>
                <w:sz w:val="18"/>
                <w:szCs w:val="18"/>
                <w:color w:val="auto"/>
              </w:rPr>
              <w:t xml:space="preserve"> F</w:t>
            </w:r>
            <w:r>
              <w:rPr>
                <w:rFonts w:ascii="Arial" w:cs="Arial" w:eastAsia="Arial" w:hAnsi="Arial"/>
                <w:sz w:val="14"/>
                <w:szCs w:val="14"/>
                <w:color w:val="auto"/>
              </w:rPr>
              <w:t>REEWAY</w:t>
            </w:r>
          </w:p>
        </w:tc>
        <w:tc>
          <w:tcPr>
            <w:tcW w:w="302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 D</w:t>
            </w:r>
            <w:r>
              <w:rPr>
                <w:rFonts w:ascii="Arial" w:cs="Arial" w:eastAsia="Arial" w:hAnsi="Arial"/>
                <w:sz w:val="14"/>
                <w:szCs w:val="14"/>
                <w:color w:val="auto"/>
                <w:w w:val="98"/>
              </w:rPr>
              <w:t>URABLE</w:t>
            </w:r>
            <w:r>
              <w:rPr>
                <w:rFonts w:ascii="Arial" w:cs="Arial" w:eastAsia="Arial" w:hAnsi="Arial"/>
                <w:sz w:val="18"/>
                <w:szCs w:val="18"/>
                <w:color w:val="auto"/>
                <w:w w:val="98"/>
              </w:rPr>
              <w:t xml:space="preserve"> C</w:t>
            </w:r>
            <w:r>
              <w:rPr>
                <w:rFonts w:ascii="Arial" w:cs="Arial" w:eastAsia="Arial" w:hAnsi="Arial"/>
                <w:sz w:val="14"/>
                <w:szCs w:val="14"/>
                <w:color w:val="auto"/>
                <w:w w:val="98"/>
              </w:rPr>
              <w:t>ONSUMER</w:t>
            </w: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6"/>
        </w:trPr>
        <w:tc>
          <w:tcPr>
            <w:tcW w:w="38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OUSTON</w:t>
            </w:r>
            <w:r>
              <w:rPr>
                <w:rFonts w:ascii="Arial" w:cs="Arial" w:eastAsia="Arial" w:hAnsi="Arial"/>
                <w:sz w:val="18"/>
                <w:szCs w:val="18"/>
                <w:color w:val="auto"/>
              </w:rPr>
              <w:t>, TX 77023</w:t>
            </w:r>
          </w:p>
        </w:tc>
        <w:tc>
          <w:tcPr>
            <w:tcW w:w="302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4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ITCHELL</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w w:val="96"/>
              </w:rPr>
              <w:t>B</w:t>
            </w:r>
            <w:r>
              <w:rPr>
                <w:rFonts w:ascii="Arial" w:cs="Arial" w:eastAsia="Arial" w:hAnsi="Arial"/>
                <w:sz w:val="14"/>
                <w:szCs w:val="14"/>
                <w:color w:val="auto"/>
                <w:w w:val="96"/>
              </w:rPr>
              <w:t>USINESS</w:t>
            </w:r>
            <w:r>
              <w:rPr>
                <w:rFonts w:ascii="Arial" w:cs="Arial" w:eastAsia="Arial" w:hAnsi="Arial"/>
                <w:sz w:val="18"/>
                <w:szCs w:val="18"/>
                <w:color w:val="auto"/>
                <w:w w:val="96"/>
              </w:rPr>
              <w:t xml:space="preserve"> S</w:t>
            </w:r>
            <w:r>
              <w:rPr>
                <w:rFonts w:ascii="Arial" w:cs="Arial" w:eastAsia="Arial" w:hAnsi="Arial"/>
                <w:sz w:val="14"/>
                <w:szCs w:val="14"/>
                <w:color w:val="auto"/>
                <w:w w:val="96"/>
              </w:rPr>
              <w:t>ERVICES</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9889 W</w:t>
            </w:r>
            <w:r>
              <w:rPr>
                <w:rFonts w:ascii="Arial" w:cs="Arial" w:eastAsia="Arial" w:hAnsi="Arial"/>
                <w:sz w:val="14"/>
                <w:szCs w:val="14"/>
                <w:color w:val="auto"/>
              </w:rPr>
              <w:t>ILLOW</w:t>
            </w:r>
            <w:r>
              <w:rPr>
                <w:rFonts w:ascii="Arial" w:cs="Arial" w:eastAsia="Arial" w:hAnsi="Arial"/>
                <w:sz w:val="18"/>
                <w:szCs w:val="18"/>
                <w:color w:val="auto"/>
              </w:rPr>
              <w:t xml:space="preserve"> C</w:t>
            </w:r>
            <w:r>
              <w:rPr>
                <w:rFonts w:ascii="Arial" w:cs="Arial" w:eastAsia="Arial" w:hAnsi="Arial"/>
                <w:sz w:val="14"/>
                <w:szCs w:val="14"/>
                <w:color w:val="auto"/>
              </w:rPr>
              <w:t>REEK</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AN</w:t>
            </w:r>
            <w:r>
              <w:rPr>
                <w:rFonts w:ascii="Arial" w:cs="Arial" w:eastAsia="Arial" w:hAnsi="Arial"/>
                <w:sz w:val="18"/>
                <w:szCs w:val="18"/>
                <w:color w:val="auto"/>
              </w:rPr>
              <w:t xml:space="preserve"> D</w:t>
            </w:r>
            <w:r>
              <w:rPr>
                <w:rFonts w:ascii="Arial" w:cs="Arial" w:eastAsia="Arial" w:hAnsi="Arial"/>
                <w:sz w:val="14"/>
                <w:szCs w:val="14"/>
                <w:color w:val="auto"/>
              </w:rPr>
              <w:t>IEGO</w:t>
            </w:r>
            <w:r>
              <w:rPr>
                <w:rFonts w:ascii="Arial" w:cs="Arial" w:eastAsia="Arial" w:hAnsi="Arial"/>
                <w:sz w:val="18"/>
                <w:szCs w:val="18"/>
                <w:color w:val="auto"/>
              </w:rPr>
              <w:t>, CA 92131</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ATIONAL</w:t>
            </w:r>
            <w:r>
              <w:rPr>
                <w:rFonts w:ascii="Arial" w:cs="Arial" w:eastAsia="Arial" w:hAnsi="Arial"/>
                <w:sz w:val="18"/>
                <w:szCs w:val="18"/>
                <w:color w:val="auto"/>
              </w:rPr>
              <w:t xml:space="preserve"> B</w:t>
            </w:r>
            <w:r>
              <w:rPr>
                <w:rFonts w:ascii="Arial" w:cs="Arial" w:eastAsia="Arial" w:hAnsi="Arial"/>
                <w:sz w:val="14"/>
                <w:szCs w:val="14"/>
                <w:color w:val="auto"/>
              </w:rPr>
              <w:t>EDDING</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 L.L.C.</w:t>
            </w:r>
          </w:p>
        </w:tc>
        <w:tc>
          <w:tcPr>
            <w:tcW w:w="3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5401 T</w:t>
            </w:r>
            <w:r>
              <w:rPr>
                <w:rFonts w:ascii="Arial" w:cs="Arial" w:eastAsia="Arial" w:hAnsi="Arial"/>
                <w:sz w:val="14"/>
                <w:szCs w:val="14"/>
                <w:color w:val="auto"/>
              </w:rPr>
              <w:t>RILLIUM</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OME</w:t>
            </w:r>
            <w:r>
              <w:rPr>
                <w:rFonts w:ascii="Arial" w:cs="Arial" w:eastAsia="Arial" w:hAnsi="Arial"/>
                <w:sz w:val="18"/>
                <w:szCs w:val="18"/>
                <w:color w:val="auto"/>
                <w:w w:val="98"/>
              </w:rPr>
              <w:t xml:space="preserve"> &amp; O</w:t>
            </w:r>
            <w:r>
              <w:rPr>
                <w:rFonts w:ascii="Arial" w:cs="Arial" w:eastAsia="Arial" w:hAnsi="Arial"/>
                <w:sz w:val="14"/>
                <w:szCs w:val="14"/>
                <w:color w:val="auto"/>
                <w:w w:val="98"/>
              </w:rPr>
              <w:t>FFICE</w:t>
            </w:r>
            <w:r>
              <w:rPr>
                <w:rFonts w:ascii="Arial" w:cs="Arial" w:eastAsia="Arial" w:hAnsi="Arial"/>
                <w:sz w:val="18"/>
                <w:szCs w:val="18"/>
                <w:color w:val="auto"/>
                <w:w w:val="98"/>
              </w:rPr>
              <w:t xml:space="preserve"> 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250</w:t>
            </w:r>
          </w:p>
        </w:tc>
        <w:tc>
          <w:tcPr>
            <w:tcW w:w="302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&amp; D</w:t>
            </w:r>
            <w:r>
              <w:rPr>
                <w:rFonts w:ascii="Arial" w:cs="Arial" w:eastAsia="Arial" w:hAnsi="Arial"/>
                <w:sz w:val="14"/>
                <w:szCs w:val="14"/>
                <w:color w:val="auto"/>
                <w:w w:val="98"/>
              </w:rPr>
              <w:t>URABLE</w:t>
            </w:r>
            <w:r>
              <w:rPr>
                <w:rFonts w:ascii="Arial" w:cs="Arial" w:eastAsia="Arial" w:hAnsi="Arial"/>
                <w:sz w:val="18"/>
                <w:szCs w:val="18"/>
                <w:color w:val="auto"/>
                <w:w w:val="98"/>
              </w:rPr>
              <w:t xml:space="preserve"> C</w:t>
            </w:r>
            <w:r>
              <w:rPr>
                <w:rFonts w:ascii="Arial" w:cs="Arial" w:eastAsia="Arial" w:hAnsi="Arial"/>
                <w:sz w:val="14"/>
                <w:szCs w:val="14"/>
                <w:color w:val="auto"/>
                <w:w w:val="98"/>
              </w:rPr>
              <w:t>ONSUMER</w:t>
            </w: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6"/>
        </w:trPr>
        <w:tc>
          <w:tcPr>
            <w:tcW w:w="38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OFFMAN</w:t>
            </w:r>
            <w:r>
              <w:rPr>
                <w:rFonts w:ascii="Arial" w:cs="Arial" w:eastAsia="Arial" w:hAnsi="Arial"/>
                <w:sz w:val="18"/>
                <w:szCs w:val="18"/>
                <w:color w:val="auto"/>
              </w:rPr>
              <w:t xml:space="preserve"> E</w:t>
            </w:r>
            <w:r>
              <w:rPr>
                <w:rFonts w:ascii="Arial" w:cs="Arial" w:eastAsia="Arial" w:hAnsi="Arial"/>
                <w:sz w:val="14"/>
                <w:szCs w:val="14"/>
                <w:color w:val="auto"/>
              </w:rPr>
              <w:t>STATES</w:t>
            </w:r>
            <w:r>
              <w:rPr>
                <w:rFonts w:ascii="Arial" w:cs="Arial" w:eastAsia="Arial" w:hAnsi="Arial"/>
                <w:sz w:val="18"/>
                <w:szCs w:val="18"/>
                <w:color w:val="auto"/>
              </w:rPr>
              <w:t>, IL 60192</w:t>
            </w:r>
          </w:p>
        </w:tc>
        <w:tc>
          <w:tcPr>
            <w:tcW w:w="302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4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ENTON</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249 W. 17</w:t>
            </w:r>
            <w:r>
              <w:rPr>
                <w:rFonts w:ascii="Arial" w:cs="Arial" w:eastAsia="Arial" w:hAnsi="Arial"/>
                <w:sz w:val="9"/>
                <w:szCs w:val="9"/>
                <w:color w:val="auto"/>
              </w:rPr>
              <w:t>TH</w:t>
            </w:r>
            <w:r>
              <w:rPr>
                <w:rFonts w:ascii="Arial" w:cs="Arial" w:eastAsia="Arial" w:hAnsi="Arial"/>
                <w:sz w:val="18"/>
                <w:szCs w:val="18"/>
                <w:color w:val="auto"/>
              </w:rPr>
              <w:t xml:space="preserve"> </w:t>
            </w:r>
            <w:r>
              <w:rPr>
                <w:rFonts w:ascii="Arial" w:cs="Arial" w:eastAsia="Arial" w:hAnsi="Arial"/>
                <w:sz w:val="14"/>
                <w:szCs w:val="14"/>
                <w:color w:val="auto"/>
              </w:rPr>
              <w:t>STREET</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OURTH</w:t>
            </w:r>
            <w:r>
              <w:rPr>
                <w:rFonts w:ascii="Arial" w:cs="Arial" w:eastAsia="Arial" w:hAnsi="Arial"/>
                <w:sz w:val="18"/>
                <w:szCs w:val="18"/>
                <w:color w:val="auto"/>
              </w:rPr>
              <w:t xml:space="preserve"> F</w:t>
            </w:r>
            <w:r>
              <w:rPr>
                <w:rFonts w:ascii="Arial" w:cs="Arial" w:eastAsia="Arial" w:hAnsi="Arial"/>
                <w:sz w:val="14"/>
                <w:szCs w:val="14"/>
                <w:color w:val="auto"/>
              </w:rPr>
              <w:t>LOOR</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NY 10011</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HILOSOPHY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4602 E</w:t>
            </w:r>
            <w:r>
              <w:rPr>
                <w:rFonts w:ascii="Arial" w:cs="Arial" w:eastAsia="Arial" w:hAnsi="Arial"/>
                <w:sz w:val="14"/>
                <w:szCs w:val="14"/>
                <w:color w:val="auto"/>
              </w:rPr>
              <w:t>AST</w:t>
            </w:r>
            <w:r>
              <w:rPr>
                <w:rFonts w:ascii="Arial" w:cs="Arial" w:eastAsia="Arial" w:hAnsi="Arial"/>
                <w:sz w:val="18"/>
                <w:szCs w:val="18"/>
                <w:color w:val="auto"/>
              </w:rPr>
              <w:t xml:space="preserve"> H</w:t>
            </w:r>
            <w:r>
              <w:rPr>
                <w:rFonts w:ascii="Arial" w:cs="Arial" w:eastAsia="Arial" w:hAnsi="Arial"/>
                <w:sz w:val="14"/>
                <w:szCs w:val="14"/>
                <w:color w:val="auto"/>
              </w:rPr>
              <w:t>AMMOND</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HOENIX</w:t>
            </w:r>
            <w:r>
              <w:rPr>
                <w:rFonts w:ascii="Arial" w:cs="Arial" w:eastAsia="Arial" w:hAnsi="Arial"/>
                <w:sz w:val="18"/>
                <w:szCs w:val="18"/>
                <w:color w:val="auto"/>
              </w:rPr>
              <w:t>, AZ 85034</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UEBECOR</w:t>
            </w:r>
            <w:r>
              <w:rPr>
                <w:rFonts w:ascii="Arial" w:cs="Arial" w:eastAsia="Arial" w:hAnsi="Arial"/>
                <w:sz w:val="18"/>
                <w:szCs w:val="18"/>
                <w:color w:val="auto"/>
              </w:rPr>
              <w:t xml:space="preserve"> W</w:t>
            </w:r>
            <w:r>
              <w:rPr>
                <w:rFonts w:ascii="Arial" w:cs="Arial" w:eastAsia="Arial" w:hAnsi="Arial"/>
                <w:sz w:val="14"/>
                <w:szCs w:val="14"/>
                <w:color w:val="auto"/>
              </w:rPr>
              <w:t>ORLD</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 xml:space="preserve">999 </w:t>
            </w:r>
            <w:r>
              <w:rPr>
                <w:rFonts w:ascii="Arial" w:cs="Arial" w:eastAsia="Arial" w:hAnsi="Arial"/>
                <w:sz w:val="14"/>
                <w:szCs w:val="14"/>
                <w:color w:val="auto"/>
              </w:rPr>
              <w:t>DE</w:t>
            </w:r>
            <w:r>
              <w:rPr>
                <w:rFonts w:ascii="Arial" w:cs="Arial" w:eastAsia="Arial" w:hAnsi="Arial"/>
                <w:sz w:val="18"/>
                <w:szCs w:val="18"/>
                <w:color w:val="auto"/>
              </w:rPr>
              <w:t xml:space="preserve"> M</w:t>
            </w:r>
            <w:r>
              <w:rPr>
                <w:rFonts w:ascii="Arial" w:cs="Arial" w:eastAsia="Arial" w:hAnsi="Arial"/>
                <w:sz w:val="14"/>
                <w:szCs w:val="14"/>
                <w:color w:val="auto"/>
              </w:rPr>
              <w:t>AISONNEUVE</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 xml:space="preserve"> W</w:t>
            </w:r>
            <w:r>
              <w:rPr>
                <w:rFonts w:ascii="Arial" w:cs="Arial" w:eastAsia="Arial" w:hAnsi="Arial"/>
                <w:sz w:val="14"/>
                <w:szCs w:val="14"/>
                <w:color w:val="auto"/>
              </w:rPr>
              <w:t>EST</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ONTREAL</w:t>
            </w:r>
            <w:r>
              <w:rPr>
                <w:rFonts w:ascii="Arial" w:cs="Arial" w:eastAsia="Arial" w:hAnsi="Arial"/>
                <w:sz w:val="18"/>
                <w:szCs w:val="18"/>
                <w:color w:val="auto"/>
              </w:rPr>
              <w:t>, Q</w:t>
            </w:r>
            <w:r>
              <w:rPr>
                <w:rFonts w:ascii="Arial" w:cs="Arial" w:eastAsia="Arial" w:hAnsi="Arial"/>
                <w:sz w:val="14"/>
                <w:szCs w:val="14"/>
                <w:color w:val="auto"/>
              </w:rPr>
              <w:t>UEBEC</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ANADA</w:t>
            </w:r>
            <w:r>
              <w:rPr>
                <w:rFonts w:ascii="Arial" w:cs="Arial" w:eastAsia="Arial" w:hAnsi="Arial"/>
                <w:sz w:val="18"/>
                <w:szCs w:val="18"/>
                <w:color w:val="auto"/>
              </w:rPr>
              <w:t xml:space="preserve"> H3A 3L4</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2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4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275 G</w:t>
            </w:r>
            <w:r>
              <w:rPr>
                <w:rFonts w:ascii="Arial" w:cs="Arial" w:eastAsia="Arial" w:hAnsi="Arial"/>
                <w:sz w:val="14"/>
                <w:szCs w:val="14"/>
                <w:color w:val="auto"/>
              </w:rPr>
              <w:t>ROVE</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2-130</w:t>
            </w:r>
          </w:p>
        </w:tc>
        <w:tc>
          <w:tcPr>
            <w:tcW w:w="3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EWTON</w:t>
            </w:r>
            <w:r>
              <w:rPr>
                <w:rFonts w:ascii="Arial" w:cs="Arial" w:eastAsia="Arial" w:hAnsi="Arial"/>
                <w:sz w:val="18"/>
                <w:szCs w:val="18"/>
                <w:color w:val="auto"/>
              </w:rPr>
              <w:t>, MA 02466</w:t>
            </w:r>
          </w:p>
        </w:tc>
        <w:tc>
          <w:tcPr>
            <w:tcW w:w="3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65"/>
        </w:trPr>
        <w:tc>
          <w:tcPr>
            <w:tcW w:w="19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020" w:type="dxa"/>
            <w:vAlign w:val="bottom"/>
          </w:tcPr>
          <w:p>
            <w:pPr>
              <w:jc w:val="right"/>
              <w:ind w:right="1013"/>
              <w:spacing w:after="0"/>
              <w:rPr>
                <w:sz w:val="20"/>
                <w:szCs w:val="20"/>
                <w:color w:val="auto"/>
              </w:rPr>
            </w:pPr>
            <w:r>
              <w:rPr>
                <w:rFonts w:ascii="Arial" w:cs="Arial" w:eastAsia="Arial" w:hAnsi="Arial"/>
                <w:sz w:val="18"/>
                <w:szCs w:val="18"/>
                <w:color w:val="auto"/>
              </w:rPr>
              <w:t>69</w:t>
            </w:r>
          </w:p>
        </w:tc>
        <w:tc>
          <w:tcPr>
            <w:tcW w:w="4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Percentage</w:t>
            </w:r>
          </w:p>
        </w:tc>
      </w:tr>
      <w:tr>
        <w:trPr>
          <w:trHeight w:val="134"/>
        </w:trPr>
        <w:tc>
          <w:tcPr>
            <w:tcW w:w="37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Name and Address of Portfolio</w:t>
            </w:r>
          </w:p>
        </w:tc>
        <w:tc>
          <w:tcPr>
            <w:tcW w:w="3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76"/>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20" w:type="dxa"/>
            <w:vAlign w:val="bottom"/>
          </w:tcPr>
          <w:p>
            <w:pPr>
              <w:spacing w:after="0"/>
              <w:rPr>
                <w:sz w:val="15"/>
                <w:szCs w:val="15"/>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400" w:type="dxa"/>
            <w:vAlign w:val="bottom"/>
          </w:tcPr>
          <w:p>
            <w:pPr>
              <w:spacing w:after="0"/>
              <w:rPr>
                <w:sz w:val="15"/>
                <w:szCs w:val="15"/>
                <w:color w:val="auto"/>
              </w:rPr>
            </w:pPr>
          </w:p>
        </w:tc>
        <w:tc>
          <w:tcPr>
            <w:tcW w:w="800" w:type="dxa"/>
            <w:vAlign w:val="bottom"/>
            <w:gridSpan w:val="2"/>
          </w:tcPr>
          <w:p>
            <w:pPr>
              <w:jc w:val="center"/>
              <w:ind w:right="140"/>
              <w:spacing w:after="0" w:line="176" w:lineRule="exact"/>
              <w:rPr>
                <w:sz w:val="20"/>
                <w:szCs w:val="20"/>
                <w:color w:val="auto"/>
              </w:rPr>
            </w:pPr>
            <w:r>
              <w:rPr>
                <w:rFonts w:ascii="Arial" w:cs="Arial" w:eastAsia="Arial" w:hAnsi="Arial"/>
                <w:sz w:val="13"/>
                <w:szCs w:val="13"/>
                <w:b w:val="1"/>
                <w:bCs w:val="1"/>
                <w:color w:val="auto"/>
                <w:w w:val="94"/>
              </w:rPr>
              <w:t>Held</w:t>
            </w:r>
            <w:r>
              <w:rPr>
                <w:rFonts w:ascii="Arial" w:cs="Arial" w:eastAsia="Arial" w:hAnsi="Arial"/>
                <w:sz w:val="20"/>
                <w:szCs w:val="20"/>
                <w:b w:val="1"/>
                <w:bCs w:val="1"/>
                <w:color w:val="auto"/>
                <w:w w:val="94"/>
                <w:vertAlign w:val="superscript"/>
              </w:rPr>
              <w:t>(1)</w:t>
            </w:r>
          </w:p>
        </w:tc>
      </w:tr>
      <w:tr>
        <w:trPr>
          <w:trHeight w:val="201"/>
        </w:trPr>
        <w:tc>
          <w:tcPr>
            <w:tcW w:w="1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EALOGY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860" w:type="dxa"/>
            <w:vAlign w:val="bottom"/>
          </w:tcPr>
          <w:p>
            <w:pPr>
              <w:spacing w:after="0"/>
              <w:rPr>
                <w:sz w:val="17"/>
                <w:szCs w:val="17"/>
                <w:color w:val="auto"/>
              </w:rPr>
            </w:pPr>
          </w:p>
        </w:tc>
        <w:tc>
          <w:tcPr>
            <w:tcW w:w="30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B</w:t>
            </w:r>
            <w:r>
              <w:rPr>
                <w:rFonts w:ascii="Arial" w:cs="Arial" w:eastAsia="Arial" w:hAnsi="Arial"/>
                <w:sz w:val="14"/>
                <w:szCs w:val="14"/>
                <w:color w:val="auto"/>
                <w:w w:val="99"/>
              </w:rPr>
              <w:t>UILDINGS</w:t>
            </w:r>
            <w:r>
              <w:rPr>
                <w:rFonts w:ascii="Arial" w:cs="Arial" w:eastAsia="Arial" w:hAnsi="Arial"/>
                <w:sz w:val="18"/>
                <w:szCs w:val="18"/>
                <w:color w:val="auto"/>
                <w:w w:val="99"/>
              </w:rPr>
              <w:t xml:space="preserve"> &amp; R</w:t>
            </w:r>
            <w:r>
              <w:rPr>
                <w:rFonts w:ascii="Arial" w:cs="Arial" w:eastAsia="Arial" w:hAnsi="Arial"/>
                <w:sz w:val="14"/>
                <w:szCs w:val="14"/>
                <w:color w:val="auto"/>
                <w:w w:val="99"/>
              </w:rPr>
              <w:t>EAL</w:t>
            </w:r>
            <w:r>
              <w:rPr>
                <w:rFonts w:ascii="Arial" w:cs="Arial" w:eastAsia="Arial" w:hAnsi="Arial"/>
                <w:sz w:val="18"/>
                <w:szCs w:val="18"/>
                <w:color w:val="auto"/>
                <w:w w:val="99"/>
              </w:rPr>
              <w:t xml:space="preserve"> E</w:t>
            </w:r>
            <w:r>
              <w:rPr>
                <w:rFonts w:ascii="Arial" w:cs="Arial" w:eastAsia="Arial" w:hAnsi="Arial"/>
                <w:sz w:val="14"/>
                <w:szCs w:val="14"/>
                <w:color w:val="auto"/>
                <w:w w:val="99"/>
              </w:rPr>
              <w:t>STATE</w:t>
            </w:r>
          </w:p>
        </w:tc>
        <w:tc>
          <w:tcPr>
            <w:tcW w:w="420" w:type="dxa"/>
            <w:vAlign w:val="bottom"/>
          </w:tcPr>
          <w:p>
            <w:pPr>
              <w:spacing w:after="0"/>
              <w:rPr>
                <w:sz w:val="17"/>
                <w:szCs w:val="17"/>
                <w:color w:val="auto"/>
              </w:rPr>
            </w:pPr>
          </w:p>
        </w:tc>
        <w:tc>
          <w:tcPr>
            <w:tcW w:w="29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Subordinated Debt</w:t>
            </w:r>
          </w:p>
        </w:tc>
        <w:tc>
          <w:tcPr>
            <w:tcW w:w="400" w:type="dxa"/>
            <w:vAlign w:val="bottom"/>
          </w:tcPr>
          <w:p>
            <w:pPr>
              <w:spacing w:after="0"/>
              <w:rPr>
                <w:sz w:val="17"/>
                <w:szCs w:val="17"/>
                <w:color w:val="auto"/>
              </w:rPr>
            </w:pPr>
          </w:p>
        </w:tc>
        <w:tc>
          <w:tcPr>
            <w:tcW w:w="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C</w:t>
            </w:r>
            <w:r>
              <w:rPr>
                <w:rFonts w:ascii="Arial" w:cs="Arial" w:eastAsia="Arial" w:hAnsi="Arial"/>
                <w:sz w:val="14"/>
                <w:szCs w:val="14"/>
                <w:color w:val="auto"/>
              </w:rPr>
              <w:t>AMPUS</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ARSIPPANY</w:t>
            </w:r>
            <w:r>
              <w:rPr>
                <w:rFonts w:ascii="Arial" w:cs="Arial" w:eastAsia="Arial" w:hAnsi="Arial"/>
                <w:sz w:val="18"/>
                <w:szCs w:val="18"/>
                <w:color w:val="auto"/>
              </w:rPr>
              <w:t>, NJ 07054</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EXAIR</w:t>
            </w:r>
            <w:r>
              <w:rPr>
                <w:rFonts w:ascii="Arial" w:cs="Arial" w:eastAsia="Arial" w:hAnsi="Arial"/>
                <w:sz w:val="18"/>
                <w:szCs w:val="18"/>
                <w:color w:val="auto"/>
              </w:rPr>
              <w:t>, L.L.C</w:t>
            </w:r>
          </w:p>
        </w:tc>
        <w:tc>
          <w:tcPr>
            <w:tcW w:w="3000" w:type="dxa"/>
            <w:vAlign w:val="bottom"/>
          </w:tcPr>
          <w:p>
            <w:pPr>
              <w:jc w:val="cente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ETAIL</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50 W</w:t>
            </w:r>
            <w:r>
              <w:rPr>
                <w:rFonts w:ascii="Arial" w:cs="Arial" w:eastAsia="Arial" w:hAnsi="Arial"/>
                <w:sz w:val="14"/>
                <w:szCs w:val="14"/>
                <w:color w:val="auto"/>
              </w:rPr>
              <w:t>EST</w:t>
            </w:r>
            <w:r>
              <w:rPr>
                <w:rFonts w:ascii="Arial" w:cs="Arial" w:eastAsia="Arial" w:hAnsi="Arial"/>
                <w:sz w:val="18"/>
                <w:szCs w:val="18"/>
                <w:color w:val="auto"/>
              </w:rPr>
              <w:t xml:space="preserve"> B</w:t>
            </w:r>
            <w:r>
              <w:rPr>
                <w:rFonts w:ascii="Arial" w:cs="Arial" w:eastAsia="Arial" w:hAnsi="Arial"/>
                <w:sz w:val="14"/>
                <w:szCs w:val="14"/>
                <w:color w:val="auto"/>
              </w:rPr>
              <w:t>IG</w:t>
            </w:r>
            <w:r>
              <w:rPr>
                <w:rFonts w:ascii="Arial" w:cs="Arial" w:eastAsia="Arial" w:hAnsi="Arial"/>
                <w:sz w:val="18"/>
                <w:szCs w:val="18"/>
                <w:color w:val="auto"/>
              </w:rPr>
              <w:t xml:space="preserve"> B</w:t>
            </w:r>
            <w:r>
              <w:rPr>
                <w:rFonts w:ascii="Arial" w:cs="Arial" w:eastAsia="Arial" w:hAnsi="Arial"/>
                <w:sz w:val="14"/>
                <w:szCs w:val="14"/>
                <w:color w:val="auto"/>
              </w:rPr>
              <w:t>EAVER</w:t>
            </w:r>
            <w:r>
              <w:rPr>
                <w:rFonts w:ascii="Arial" w:cs="Arial" w:eastAsia="Arial" w:hAnsi="Arial"/>
                <w:sz w:val="18"/>
                <w:szCs w:val="18"/>
                <w:color w:val="auto"/>
              </w:rPr>
              <w:t>,</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350</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ROY</w:t>
            </w:r>
            <w:r>
              <w:rPr>
                <w:rFonts w:ascii="Arial" w:cs="Arial" w:eastAsia="Arial" w:hAnsi="Arial"/>
                <w:sz w:val="18"/>
                <w:szCs w:val="18"/>
                <w:color w:val="auto"/>
              </w:rPr>
              <w:t>, MI 48084</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EXNORD</w:t>
            </w:r>
            <w:r>
              <w:rPr>
                <w:rFonts w:ascii="Arial" w:cs="Arial" w:eastAsia="Arial" w:hAnsi="Arial"/>
                <w:sz w:val="18"/>
                <w:szCs w:val="18"/>
                <w:color w:val="auto"/>
              </w:rPr>
              <w:t>, L.L.C.</w:t>
            </w:r>
          </w:p>
        </w:tc>
        <w:tc>
          <w:tcPr>
            <w:tcW w:w="300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r>
              <w:rPr>
                <w:rFonts w:ascii="Arial" w:cs="Arial" w:eastAsia="Arial" w:hAnsi="Arial"/>
                <w:sz w:val="18"/>
                <w:szCs w:val="18"/>
                <w:color w:val="auto"/>
              </w:rPr>
              <w:t>/ B</w:t>
            </w:r>
            <w:r>
              <w:rPr>
                <w:rFonts w:ascii="Arial" w:cs="Arial" w:eastAsia="Arial" w:hAnsi="Arial"/>
                <w:sz w:val="14"/>
                <w:szCs w:val="14"/>
                <w:color w:val="auto"/>
              </w:rPr>
              <w:t>ASIC</w:t>
            </w:r>
            <w:r>
              <w:rPr>
                <w:rFonts w:ascii="Arial" w:cs="Arial" w:eastAsia="Arial" w:hAnsi="Arial"/>
                <w:sz w:val="18"/>
                <w:szCs w:val="18"/>
                <w:color w:val="auto"/>
              </w:rPr>
              <w:t xml:space="preserve"> I</w:t>
            </w:r>
            <w:r>
              <w:rPr>
                <w:rFonts w:ascii="Arial" w:cs="Arial" w:eastAsia="Arial" w:hAnsi="Arial"/>
                <w:sz w:val="14"/>
                <w:szCs w:val="14"/>
                <w:color w:val="auto"/>
              </w:rPr>
              <w:t>NDUSTRIES</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5555 S. W</w:t>
            </w:r>
            <w:r>
              <w:rPr>
                <w:rFonts w:ascii="Arial" w:cs="Arial" w:eastAsia="Arial" w:hAnsi="Arial"/>
                <w:sz w:val="14"/>
                <w:szCs w:val="14"/>
                <w:color w:val="auto"/>
              </w:rPr>
              <w:t>OODLAND</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B</w:t>
            </w:r>
            <w:r>
              <w:rPr>
                <w:rFonts w:ascii="Arial" w:cs="Arial" w:eastAsia="Arial" w:hAnsi="Arial"/>
                <w:sz w:val="14"/>
                <w:szCs w:val="14"/>
                <w:color w:val="auto"/>
              </w:rPr>
              <w:t>ERLIN</w:t>
            </w:r>
            <w:r>
              <w:rPr>
                <w:rFonts w:ascii="Arial" w:cs="Arial" w:eastAsia="Arial" w:hAnsi="Arial"/>
                <w:sz w:val="18"/>
                <w:szCs w:val="18"/>
                <w:color w:val="auto"/>
              </w:rPr>
              <w:t>, WI 53151</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1"/>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RANSPORTATION</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2200 S</w:t>
            </w:r>
            <w:r>
              <w:rPr>
                <w:rFonts w:ascii="Arial" w:cs="Arial" w:eastAsia="Arial" w:hAnsi="Arial"/>
                <w:sz w:val="14"/>
                <w:szCs w:val="14"/>
                <w:color w:val="auto"/>
              </w:rPr>
              <w:t>OUTH</w:t>
            </w:r>
            <w:r>
              <w:rPr>
                <w:rFonts w:ascii="Arial" w:cs="Arial" w:eastAsia="Arial" w:hAnsi="Arial"/>
                <w:sz w:val="18"/>
                <w:szCs w:val="18"/>
                <w:color w:val="auto"/>
              </w:rPr>
              <w:t xml:space="preserve"> 75</w:t>
            </w:r>
            <w:r>
              <w:rPr>
                <w:rFonts w:ascii="Arial" w:cs="Arial" w:eastAsia="Arial" w:hAnsi="Arial"/>
                <w:sz w:val="9"/>
                <w:szCs w:val="9"/>
                <w:color w:val="auto"/>
              </w:rPr>
              <w:t>TH</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HOENIX</w:t>
            </w:r>
            <w:r>
              <w:rPr>
                <w:rFonts w:ascii="Arial" w:cs="Arial" w:eastAsia="Arial" w:hAnsi="Arial"/>
                <w:sz w:val="18"/>
                <w:szCs w:val="18"/>
                <w:color w:val="auto"/>
              </w:rPr>
              <w:t>, AZ 85043</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HERIDAN</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1613 N. H</w:t>
            </w:r>
            <w:r>
              <w:rPr>
                <w:rFonts w:ascii="Arial" w:cs="Arial" w:eastAsia="Arial" w:hAnsi="Arial"/>
                <w:sz w:val="14"/>
                <w:szCs w:val="14"/>
                <w:color w:val="auto"/>
              </w:rPr>
              <w:t>ARRISON</w:t>
            </w:r>
            <w:r>
              <w:rPr>
                <w:rFonts w:ascii="Arial" w:cs="Arial" w:eastAsia="Arial" w:hAnsi="Arial"/>
                <w:sz w:val="18"/>
                <w:szCs w:val="18"/>
                <w:color w:val="auto"/>
              </w:rPr>
              <w:t xml:space="preserve"> P</w:t>
            </w:r>
            <w:r>
              <w:rPr>
                <w:rFonts w:ascii="Arial" w:cs="Arial" w:eastAsia="Arial" w:hAnsi="Arial"/>
                <w:sz w:val="14"/>
                <w:szCs w:val="14"/>
                <w:color w:val="auto"/>
              </w:rPr>
              <w:t>ARKWAY</w:t>
            </w:r>
          </w:p>
        </w:tc>
        <w:tc>
          <w:tcPr>
            <w:tcW w:w="30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200</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UNRISE</w:t>
            </w:r>
            <w:r>
              <w:rPr>
                <w:rFonts w:ascii="Arial" w:cs="Arial" w:eastAsia="Arial" w:hAnsi="Arial"/>
                <w:sz w:val="18"/>
                <w:szCs w:val="18"/>
                <w:color w:val="auto"/>
              </w:rPr>
              <w:t>, FL 33323</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31"/>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ITEL</w:t>
            </w:r>
            <w:r>
              <w:rPr>
                <w:rFonts w:ascii="Arial" w:cs="Arial" w:eastAsia="Arial" w:hAnsi="Arial"/>
                <w:sz w:val="18"/>
                <w:szCs w:val="18"/>
                <w:color w:val="auto"/>
              </w:rPr>
              <w:t>, L.L.C.</w:t>
            </w:r>
          </w:p>
        </w:tc>
        <w:tc>
          <w:tcPr>
            <w:tcW w:w="3000" w:type="dxa"/>
            <w:vAlign w:val="bottom"/>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WO</w:t>
            </w:r>
            <w:r>
              <w:rPr>
                <w:rFonts w:ascii="Arial" w:cs="Arial" w:eastAsia="Arial" w:hAnsi="Arial"/>
                <w:sz w:val="18"/>
                <w:szCs w:val="18"/>
                <w:color w:val="auto"/>
              </w:rPr>
              <w:t xml:space="preserve"> A</w:t>
            </w:r>
            <w:r>
              <w:rPr>
                <w:rFonts w:ascii="Arial" w:cs="Arial" w:eastAsia="Arial" w:hAnsi="Arial"/>
                <w:sz w:val="14"/>
                <w:szCs w:val="14"/>
                <w:color w:val="auto"/>
              </w:rPr>
              <w:t>MERICAN</w:t>
            </w:r>
            <w:r>
              <w:rPr>
                <w:rFonts w:ascii="Arial" w:cs="Arial" w:eastAsia="Arial" w:hAnsi="Arial"/>
                <w:sz w:val="18"/>
                <w:szCs w:val="18"/>
                <w:color w:val="auto"/>
              </w:rPr>
              <w:t xml:space="preserve"> C</w:t>
            </w:r>
            <w:r>
              <w:rPr>
                <w:rFonts w:ascii="Arial" w:cs="Arial" w:eastAsia="Arial" w:hAnsi="Arial"/>
                <w:sz w:val="14"/>
                <w:szCs w:val="14"/>
                <w:color w:val="auto"/>
              </w:rPr>
              <w:t>ENTER</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3102 W</w:t>
            </w:r>
            <w:r>
              <w:rPr>
                <w:rFonts w:ascii="Arial" w:cs="Arial" w:eastAsia="Arial" w:hAnsi="Arial"/>
                <w:sz w:val="14"/>
                <w:szCs w:val="14"/>
                <w:color w:val="auto"/>
              </w:rPr>
              <w:t>EST</w:t>
            </w:r>
            <w:r>
              <w:rPr>
                <w:rFonts w:ascii="Arial" w:cs="Arial" w:eastAsia="Arial" w:hAnsi="Arial"/>
                <w:sz w:val="18"/>
                <w:szCs w:val="18"/>
                <w:color w:val="auto"/>
              </w:rPr>
              <w:t xml:space="preserve"> E</w:t>
            </w:r>
            <w:r>
              <w:rPr>
                <w:rFonts w:ascii="Arial" w:cs="Arial" w:eastAsia="Arial" w:hAnsi="Arial"/>
                <w:sz w:val="14"/>
                <w:szCs w:val="14"/>
                <w:color w:val="auto"/>
              </w:rPr>
              <w:t>ND</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1000</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ASHVILLE</w:t>
            </w:r>
            <w:r>
              <w:rPr>
                <w:rFonts w:ascii="Arial" w:cs="Arial" w:eastAsia="Arial" w:hAnsi="Arial"/>
                <w:sz w:val="18"/>
                <w:szCs w:val="18"/>
                <w:color w:val="auto"/>
              </w:rPr>
              <w:t>, TN 37203</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PECIALIZED</w:t>
            </w:r>
            <w:r>
              <w:rPr>
                <w:rFonts w:ascii="Arial" w:cs="Arial" w:eastAsia="Arial" w:hAnsi="Arial"/>
                <w:sz w:val="18"/>
                <w:szCs w:val="18"/>
                <w:color w:val="auto"/>
              </w:rPr>
              <w:t xml:space="preserve"> T</w:t>
            </w:r>
            <w:r>
              <w:rPr>
                <w:rFonts w:ascii="Arial" w:cs="Arial" w:eastAsia="Arial" w:hAnsi="Arial"/>
                <w:sz w:val="14"/>
                <w:szCs w:val="14"/>
                <w:color w:val="auto"/>
              </w:rPr>
              <w:t>ECHNOLOGY</w:t>
            </w:r>
            <w:r>
              <w:rPr>
                <w:rFonts w:ascii="Arial" w:cs="Arial" w:eastAsia="Arial" w:hAnsi="Arial"/>
                <w:sz w:val="18"/>
                <w:szCs w:val="18"/>
                <w:color w:val="auto"/>
              </w:rPr>
              <w:t xml:space="preserve">   R</w:t>
            </w:r>
            <w:r>
              <w:rPr>
                <w:rFonts w:ascii="Arial" w:cs="Arial" w:eastAsia="Arial" w:hAnsi="Arial"/>
                <w:sz w:val="14"/>
                <w:szCs w:val="14"/>
                <w:color w:val="auto"/>
              </w:rPr>
              <w:t>ESOURCES</w:t>
            </w:r>
            <w:r>
              <w:rPr>
                <w:rFonts w:ascii="Arial" w:cs="Arial" w:eastAsia="Arial" w:hAnsi="Arial"/>
                <w:sz w:val="18"/>
                <w:szCs w:val="18"/>
                <w:color w:val="auto"/>
              </w:rPr>
              <w:t>,</w:t>
            </w:r>
          </w:p>
        </w:tc>
        <w:tc>
          <w:tcPr>
            <w:tcW w:w="3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HEMICAL</w:t>
            </w:r>
            <w:r>
              <w:rPr>
                <w:rFonts w:ascii="Arial" w:cs="Arial" w:eastAsia="Arial" w:hAnsi="Arial"/>
                <w:sz w:val="18"/>
                <w:szCs w:val="18"/>
                <w:color w:val="auto"/>
              </w:rPr>
              <w:t>, P</w:t>
            </w:r>
            <w:r>
              <w:rPr>
                <w:rFonts w:ascii="Arial" w:cs="Arial" w:eastAsia="Arial" w:hAnsi="Arial"/>
                <w:sz w:val="14"/>
                <w:szCs w:val="14"/>
                <w:color w:val="auto"/>
              </w:rPr>
              <w:t>LASTICS</w:t>
            </w:r>
            <w:r>
              <w:rPr>
                <w:rFonts w:ascii="Arial" w:cs="Arial" w:eastAsia="Arial" w:hAnsi="Arial"/>
                <w:sz w:val="18"/>
                <w:szCs w:val="18"/>
                <w:color w:val="auto"/>
              </w:rPr>
              <w:t xml:space="preserve"> &amp; R</w:t>
            </w:r>
            <w:r>
              <w:rPr>
                <w:rFonts w:ascii="Arial" w:cs="Arial" w:eastAsia="Arial" w:hAnsi="Arial"/>
                <w:sz w:val="14"/>
                <w:szCs w:val="14"/>
                <w:color w:val="auto"/>
              </w:rPr>
              <w:t>UBBER</w:t>
            </w: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10 W</w:t>
            </w:r>
            <w:r>
              <w:rPr>
                <w:rFonts w:ascii="Arial" w:cs="Arial" w:eastAsia="Arial" w:hAnsi="Arial"/>
                <w:sz w:val="14"/>
                <w:szCs w:val="14"/>
                <w:color w:val="auto"/>
              </w:rPr>
              <w:t>ATER</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NFIELD</w:t>
            </w:r>
            <w:r>
              <w:rPr>
                <w:rFonts w:ascii="Arial" w:cs="Arial" w:eastAsia="Arial" w:hAnsi="Arial"/>
                <w:sz w:val="18"/>
                <w:szCs w:val="18"/>
                <w:color w:val="auto"/>
              </w:rPr>
              <w:t>, CT 06082</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RANS</w:t>
            </w:r>
            <w:r>
              <w:rPr>
                <w:rFonts w:ascii="Arial" w:cs="Arial" w:eastAsia="Arial" w:hAnsi="Arial"/>
                <w:sz w:val="18"/>
                <w:szCs w:val="18"/>
                <w:color w:val="auto"/>
              </w:rPr>
              <w:t>F</w:t>
            </w:r>
            <w:r>
              <w:rPr>
                <w:rFonts w:ascii="Arial" w:cs="Arial" w:eastAsia="Arial" w:hAnsi="Arial"/>
                <w:sz w:val="14"/>
                <w:szCs w:val="14"/>
                <w:color w:val="auto"/>
              </w:rPr>
              <w:t>IRST</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40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5950 B</w:t>
            </w:r>
            <w:r>
              <w:rPr>
                <w:rFonts w:ascii="Arial" w:cs="Arial" w:eastAsia="Arial" w:hAnsi="Arial"/>
                <w:sz w:val="14"/>
                <w:szCs w:val="14"/>
                <w:color w:val="auto"/>
              </w:rPr>
              <w:t>ERKSHIRE</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1100</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ALLAS</w:t>
            </w:r>
            <w:r>
              <w:rPr>
                <w:rFonts w:ascii="Arial" w:cs="Arial" w:eastAsia="Arial" w:hAnsi="Arial"/>
                <w:sz w:val="18"/>
                <w:szCs w:val="18"/>
                <w:color w:val="auto"/>
              </w:rPr>
              <w:t>, T</w:t>
            </w:r>
            <w:r>
              <w:rPr>
                <w:rFonts w:ascii="Arial" w:cs="Arial" w:eastAsia="Arial" w:hAnsi="Arial"/>
                <w:sz w:val="14"/>
                <w:szCs w:val="14"/>
                <w:color w:val="auto"/>
              </w:rPr>
              <w:t>EXAS</w:t>
            </w:r>
            <w:r>
              <w:rPr>
                <w:rFonts w:ascii="Arial" w:cs="Arial" w:eastAsia="Arial" w:hAnsi="Arial"/>
                <w:sz w:val="18"/>
                <w:szCs w:val="18"/>
                <w:color w:val="auto"/>
              </w:rPr>
              <w:t xml:space="preserve"> 75225</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TZ M</w:t>
            </w:r>
            <w:r>
              <w:rPr>
                <w:rFonts w:ascii="Arial" w:cs="Arial" w:eastAsia="Arial" w:hAnsi="Arial"/>
                <w:sz w:val="14"/>
                <w:szCs w:val="14"/>
                <w:color w:val="auto"/>
              </w:rPr>
              <w:t>ERGER</w:t>
            </w:r>
            <w:r>
              <w:rPr>
                <w:rFonts w:ascii="Arial" w:cs="Arial" w:eastAsia="Arial" w:hAnsi="Arial"/>
                <w:sz w:val="18"/>
                <w:szCs w:val="18"/>
                <w:color w:val="auto"/>
              </w:rPr>
              <w:t xml:space="preserve"> S</w:t>
            </w:r>
            <w:r>
              <w:rPr>
                <w:rFonts w:ascii="Arial" w:cs="Arial" w:eastAsia="Arial" w:hAnsi="Arial"/>
                <w:sz w:val="14"/>
                <w:szCs w:val="14"/>
                <w:color w:val="auto"/>
              </w:rPr>
              <w:t>UB</w:t>
            </w:r>
            <w:r>
              <w:rPr>
                <w:rFonts w:ascii="Arial" w:cs="Arial" w:eastAsia="Arial" w:hAnsi="Arial"/>
                <w:sz w:val="18"/>
                <w:szCs w:val="18"/>
                <w:color w:val="auto"/>
              </w:rPr>
              <w:t>, I</w:t>
            </w:r>
            <w:r>
              <w:rPr>
                <w:rFonts w:ascii="Arial" w:cs="Arial" w:eastAsia="Arial" w:hAnsi="Arial"/>
                <w:sz w:val="14"/>
                <w:szCs w:val="14"/>
                <w:color w:val="auto"/>
              </w:rPr>
              <w:t>NC</w:t>
            </w:r>
          </w:p>
        </w:tc>
        <w:tc>
          <w:tcPr>
            <w:tcW w:w="3000" w:type="dxa"/>
            <w:vAlign w:val="bottom"/>
          </w:tcPr>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NSURANCE</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060" w:type="dxa"/>
            <w:vAlign w:val="bottom"/>
            <w:gridSpan w:val="2"/>
          </w:tcPr>
          <w:p>
            <w:pPr>
              <w:jc w:val="center"/>
              <w:ind w:left="332"/>
              <w:spacing w:after="0"/>
              <w:rPr>
                <w:sz w:val="20"/>
                <w:szCs w:val="20"/>
                <w:color w:val="auto"/>
              </w:rPr>
            </w:pPr>
            <w:r>
              <w:rPr>
                <w:rFonts w:ascii="Arial" w:cs="Arial" w:eastAsia="Arial" w:hAnsi="Arial"/>
                <w:sz w:val="18"/>
                <w:szCs w:val="18"/>
                <w:color w:val="auto"/>
                <w:w w:val="87"/>
              </w:rPr>
              <w:t>1.3%</w:t>
            </w:r>
          </w:p>
        </w:tc>
        <w:tc>
          <w:tcPr>
            <w:tcW w:w="140" w:type="dxa"/>
            <w:vAlign w:val="bottom"/>
          </w:tcPr>
          <w:p>
            <w:pPr>
              <w:spacing w:after="0"/>
              <w:rPr>
                <w:sz w:val="24"/>
                <w:szCs w:val="24"/>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567 S</w:t>
            </w:r>
            <w:r>
              <w:rPr>
                <w:rFonts w:ascii="Arial" w:cs="Arial" w:eastAsia="Arial" w:hAnsi="Arial"/>
                <w:sz w:val="14"/>
                <w:szCs w:val="14"/>
                <w:color w:val="auto"/>
              </w:rPr>
              <w:t>AN</w:t>
            </w:r>
            <w:r>
              <w:rPr>
                <w:rFonts w:ascii="Arial" w:cs="Arial" w:eastAsia="Arial" w:hAnsi="Arial"/>
                <w:sz w:val="18"/>
                <w:szCs w:val="18"/>
                <w:color w:val="auto"/>
              </w:rPr>
              <w:t xml:space="preserve"> N</w:t>
            </w:r>
            <w:r>
              <w:rPr>
                <w:rFonts w:ascii="Arial" w:cs="Arial" w:eastAsia="Arial" w:hAnsi="Arial"/>
                <w:sz w:val="14"/>
                <w:szCs w:val="14"/>
                <w:color w:val="auto"/>
              </w:rPr>
              <w:t>ICOLAS</w:t>
            </w:r>
            <w:r>
              <w:rPr>
                <w:rFonts w:ascii="Arial" w:cs="Arial" w:eastAsia="Arial" w:hAnsi="Arial"/>
                <w:sz w:val="18"/>
                <w:szCs w:val="18"/>
                <w:color w:val="auto"/>
              </w:rPr>
              <w:t xml:space="preserve"> D</w:t>
            </w:r>
            <w:r>
              <w:rPr>
                <w:rFonts w:ascii="Arial" w:cs="Arial" w:eastAsia="Arial" w:hAnsi="Arial"/>
                <w:sz w:val="14"/>
                <w:szCs w:val="14"/>
                <w:color w:val="auto"/>
              </w:rPr>
              <w:t>RIVE</w:t>
            </w:r>
            <w:r>
              <w:rPr>
                <w:rFonts w:ascii="Arial" w:cs="Arial" w:eastAsia="Arial" w:hAnsi="Arial"/>
                <w:sz w:val="18"/>
                <w:szCs w:val="18"/>
                <w:color w:val="auto"/>
              </w:rPr>
              <w:t>,</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9"/>
              </w:rPr>
              <w:t>Preferred Equity</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360</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EWPORT</w:t>
            </w:r>
            <w:r>
              <w:rPr>
                <w:rFonts w:ascii="Arial" w:cs="Arial" w:eastAsia="Arial" w:hAnsi="Arial"/>
                <w:sz w:val="18"/>
                <w:szCs w:val="18"/>
                <w:color w:val="auto"/>
              </w:rPr>
              <w:t xml:space="preserve"> B</w:t>
            </w:r>
            <w:r>
              <w:rPr>
                <w:rFonts w:ascii="Arial" w:cs="Arial" w:eastAsia="Arial" w:hAnsi="Arial"/>
                <w:sz w:val="14"/>
                <w:szCs w:val="14"/>
                <w:color w:val="auto"/>
              </w:rPr>
              <w:t>EACH</w:t>
            </w:r>
            <w:r>
              <w:rPr>
                <w:rFonts w:ascii="Arial" w:cs="Arial" w:eastAsia="Arial" w:hAnsi="Arial"/>
                <w:sz w:val="18"/>
                <w:szCs w:val="18"/>
                <w:color w:val="auto"/>
              </w:rPr>
              <w:t>, CA 92660</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8"/>
        </w:trPr>
        <w:tc>
          <w:tcPr>
            <w:tcW w:w="376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P</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S</w:t>
            </w:r>
            <w:r>
              <w:rPr>
                <w:rFonts w:ascii="Arial" w:cs="Arial" w:eastAsia="Arial" w:hAnsi="Arial"/>
                <w:sz w:val="14"/>
                <w:szCs w:val="14"/>
                <w:color w:val="auto"/>
              </w:rPr>
              <w:t>UB</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000" w:type="dxa"/>
            <w:vAlign w:val="bottom"/>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IL</w:t>
            </w:r>
            <w:r>
              <w:rPr>
                <w:rFonts w:ascii="Arial" w:cs="Arial" w:eastAsia="Arial" w:hAnsi="Arial"/>
                <w:sz w:val="18"/>
                <w:szCs w:val="18"/>
                <w:color w:val="auto"/>
                <w:w w:val="99"/>
              </w:rPr>
              <w:t xml:space="preserve"> &amp; G</w:t>
            </w:r>
            <w:r>
              <w:rPr>
                <w:rFonts w:ascii="Arial" w:cs="Arial" w:eastAsia="Arial" w:hAnsi="Arial"/>
                <w:sz w:val="14"/>
                <w:szCs w:val="14"/>
                <w:color w:val="auto"/>
                <w:w w:val="99"/>
              </w:rPr>
              <w:t>AS</w:t>
            </w:r>
          </w:p>
        </w:tc>
        <w:tc>
          <w:tcPr>
            <w:tcW w:w="42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1515 A</w:t>
            </w:r>
            <w:r>
              <w:rPr>
                <w:rFonts w:ascii="Arial" w:cs="Arial" w:eastAsia="Arial" w:hAnsi="Arial"/>
                <w:sz w:val="14"/>
                <w:szCs w:val="14"/>
                <w:color w:val="auto"/>
              </w:rPr>
              <w:t>RAPAHOE</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89"/>
              </w:rPr>
              <w:t>Preferred Equity</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OWER</w:t>
            </w:r>
            <w:r>
              <w:rPr>
                <w:rFonts w:ascii="Arial" w:cs="Arial" w:eastAsia="Arial" w:hAnsi="Arial"/>
                <w:sz w:val="18"/>
                <w:szCs w:val="18"/>
                <w:color w:val="auto"/>
              </w:rPr>
              <w:t xml:space="preserve"> O</w:t>
            </w:r>
            <w:r>
              <w:rPr>
                <w:rFonts w:ascii="Arial" w:cs="Arial" w:eastAsia="Arial" w:hAnsi="Arial"/>
                <w:sz w:val="14"/>
                <w:szCs w:val="14"/>
                <w:color w:val="auto"/>
              </w:rPr>
              <w:t>NE</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1500</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ENVER</w:t>
            </w:r>
            <w:r>
              <w:rPr>
                <w:rFonts w:ascii="Arial" w:cs="Arial" w:eastAsia="Arial" w:hAnsi="Arial"/>
                <w:sz w:val="18"/>
                <w:szCs w:val="18"/>
                <w:color w:val="auto"/>
              </w:rPr>
              <w:t>, C</w:t>
            </w:r>
            <w:r>
              <w:rPr>
                <w:rFonts w:ascii="Arial" w:cs="Arial" w:eastAsia="Arial" w:hAnsi="Arial"/>
                <w:sz w:val="14"/>
                <w:szCs w:val="14"/>
                <w:color w:val="auto"/>
              </w:rPr>
              <w:t>O</w:t>
            </w:r>
            <w:r>
              <w:rPr>
                <w:rFonts w:ascii="Arial" w:cs="Arial" w:eastAsia="Arial" w:hAnsi="Arial"/>
                <w:sz w:val="18"/>
                <w:szCs w:val="18"/>
                <w:color w:val="auto"/>
              </w:rPr>
              <w:t>. 80202</w:t>
            </w:r>
          </w:p>
        </w:tc>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5620" w:right="4080" w:hanging="5612"/>
        <w:spacing w:after="0" w:line="440" w:lineRule="auto"/>
        <w:tabs>
          <w:tab w:leader="none" w:pos="4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Percentage of class held refers only to common equity, preferred equity and warrants held, if any. 70</w:t>
      </w:r>
    </w:p>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at June 30, 2009.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 Acquisition Sub Inc.</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UP Acquisition is a leading independent pipeline engineering services firm in the United States, providing engineering, project management and survey services.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Trizetto Group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Trizetto Group is a leading healthcare information technology, software and consulting services provider.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i2 Holdings Ltd.</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company is a leading worldwide provider of visual investigative analysis software for law enforcement, intelligence, military and Fortune 500 organizations.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CT Technologies Intermediate Holdings,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CT Technologies is a leading outsource provider of “release of information” services to healthcare facilities.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Brand Energy &amp; Infrastructure Services, Inc.</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This company is a diversified provider of specialty services, including scaffolding, industrial coatings, insulation, refractory, and forming and shoring solutions, to North America’s energy markets.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Specialized Technology Resources,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STR is a leader in the consumer testing and inspection market, as well as the leading global provider of solar encapsulants.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IDQ Holdings,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company is the leading provider of value-added products for the Do-It-Yourself light vehicle air conditioning repair aftermarket.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20"/>
          </w:cols>
          <w:pgMar w:left="24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industry composition of the portfolio at fair value on September 30, 2008 and June 30, 2009 was as follows, excluding unearned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58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w w:val="85"/>
              </w:rPr>
              <w:t>June 30,</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61"/>
        </w:trPr>
        <w:tc>
          <w:tcPr>
            <w:tcW w:w="552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380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2009</w:t>
            </w:r>
          </w:p>
        </w:tc>
        <w:tc>
          <w:tcPr>
            <w:tcW w:w="1080" w:type="dxa"/>
            <w:vAlign w:val="bottom"/>
          </w:tcPr>
          <w:p>
            <w:pPr>
              <w:spacing w:after="0"/>
              <w:rPr>
                <w:sz w:val="14"/>
                <w:szCs w:val="14"/>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 and Rubber</w:t>
            </w:r>
          </w:p>
        </w:tc>
        <w:tc>
          <w:tcPr>
            <w:tcW w:w="488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4880" w:type="dxa"/>
            <w:vAlign w:val="bottom"/>
            <w:gridSpan w:val="3"/>
          </w:tcPr>
          <w:p>
            <w:pPr>
              <w:jc w:val="right"/>
              <w:ind w:right="1080"/>
              <w:spacing w:after="0"/>
              <w:rPr>
                <w:sz w:val="20"/>
                <w:szCs w:val="20"/>
                <w:color w:val="auto"/>
              </w:rPr>
            </w:pPr>
            <w:r>
              <w:rPr>
                <w:rFonts w:ascii="Arial" w:cs="Arial" w:eastAsia="Arial" w:hAnsi="Arial"/>
                <w:sz w:val="18"/>
                <w:szCs w:val="18"/>
                <w:color w:val="auto"/>
              </w:rPr>
              <w:t>10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48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4880" w:type="dxa"/>
            <w:vAlign w:val="bottom"/>
            <w:gridSpan w:val="3"/>
          </w:tcPr>
          <w:p>
            <w:pPr>
              <w:jc w:val="right"/>
              <w:ind w:right="1080"/>
              <w:spacing w:after="0"/>
              <w:rPr>
                <w:sz w:val="20"/>
                <w:szCs w:val="20"/>
                <w:color w:val="auto"/>
              </w:rPr>
            </w:pPr>
            <w:r>
              <w:rPr>
                <w:rFonts w:ascii="Arial" w:cs="Arial" w:eastAsia="Arial" w:hAnsi="Arial"/>
                <w:sz w:val="18"/>
                <w:szCs w:val="18"/>
                <w:color w:val="auto"/>
              </w:rPr>
              <w:t>7</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48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Energy/Utilities</w:t>
            </w:r>
          </w:p>
        </w:tc>
        <w:tc>
          <w:tcPr>
            <w:tcW w:w="4880" w:type="dxa"/>
            <w:vAlign w:val="bottom"/>
            <w:gridSpan w:val="3"/>
          </w:tcPr>
          <w:p>
            <w:pPr>
              <w:jc w:val="right"/>
              <w:ind w:right="1080"/>
              <w:spacing w:after="0"/>
              <w:rPr>
                <w:sz w:val="20"/>
                <w:szCs w:val="20"/>
                <w:color w:val="auto"/>
              </w:rPr>
            </w:pPr>
            <w:r>
              <w:rPr>
                <w:rFonts w:ascii="Arial" w:cs="Arial" w:eastAsia="Arial" w:hAnsi="Arial"/>
                <w:sz w:val="18"/>
                <w:szCs w:val="18"/>
                <w:color w:val="auto"/>
              </w:rPr>
              <w:t>6</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48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4880" w:type="dxa"/>
            <w:vAlign w:val="bottom"/>
            <w:gridSpan w:val="3"/>
          </w:tcPr>
          <w:p>
            <w:pPr>
              <w:jc w:val="right"/>
              <w:ind w:right="1080"/>
              <w:spacing w:after="0"/>
              <w:rPr>
                <w:sz w:val="20"/>
                <w:szCs w:val="20"/>
                <w:color w:val="auto"/>
              </w:rPr>
            </w:pPr>
            <w:r>
              <w:rPr>
                <w:rFonts w:ascii="Arial" w:cs="Arial" w:eastAsia="Arial" w:hAnsi="Arial"/>
                <w:sz w:val="18"/>
                <w:szCs w:val="18"/>
                <w:color w:val="auto"/>
              </w:rPr>
              <w:t>6</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48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4880" w:type="dxa"/>
            <w:vAlign w:val="bottom"/>
            <w:gridSpan w:val="3"/>
          </w:tcPr>
          <w:p>
            <w:pPr>
              <w:jc w:val="right"/>
              <w:ind w:right="108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Amusement, Motion Picture, Entertainment</w:t>
            </w:r>
          </w:p>
        </w:tc>
        <w:tc>
          <w:tcPr>
            <w:tcW w:w="48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4880" w:type="dxa"/>
            <w:vAlign w:val="bottom"/>
            <w:gridSpan w:val="3"/>
          </w:tcPr>
          <w:p>
            <w:pPr>
              <w:jc w:val="right"/>
              <w:ind w:right="108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48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4880" w:type="dxa"/>
            <w:vAlign w:val="bottom"/>
            <w:gridSpan w:val="3"/>
          </w:tcPr>
          <w:p>
            <w:pPr>
              <w:jc w:val="right"/>
              <w:ind w:right="108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48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w w:val="89"/>
              </w:rPr>
              <w:t>Home and Office Furnishings, Housewares, and Durable Consumer Products</w:t>
            </w:r>
          </w:p>
        </w:tc>
        <w:tc>
          <w:tcPr>
            <w:tcW w:w="4880" w:type="dxa"/>
            <w:vAlign w:val="bottom"/>
            <w:gridSpan w:val="3"/>
          </w:tcPr>
          <w:p>
            <w:pPr>
              <w:jc w:val="right"/>
              <w:ind w:right="108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48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4880" w:type="dxa"/>
            <w:vAlign w:val="bottom"/>
            <w:gridSpan w:val="3"/>
          </w:tcPr>
          <w:p>
            <w:pPr>
              <w:jc w:val="right"/>
              <w:ind w:right="108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Store</w:t>
            </w:r>
          </w:p>
        </w:tc>
        <w:tc>
          <w:tcPr>
            <w:tcW w:w="48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Other</w:t>
            </w:r>
          </w:p>
        </w:tc>
        <w:tc>
          <w:tcPr>
            <w:tcW w:w="3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88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300" w:type="dxa"/>
            <w:vAlign w:val="bottom"/>
            <w:vMerge w:val="restart"/>
          </w:tcPr>
          <w:p>
            <w:pPr>
              <w:jc w:val="right"/>
              <w:ind w:right="2933"/>
              <w:spacing w:after="0"/>
              <w:rPr>
                <w:sz w:val="20"/>
                <w:szCs w:val="20"/>
                <w:color w:val="auto"/>
              </w:rPr>
            </w:pPr>
            <w:r>
              <w:rPr>
                <w:rFonts w:ascii="Arial" w:cs="Arial" w:eastAsia="Arial" w:hAnsi="Arial"/>
                <w:sz w:val="18"/>
                <w:szCs w:val="18"/>
                <w:color w:val="auto"/>
              </w:rPr>
              <w:t>72</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Director</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0"/>
              </w:rPr>
              <w:t>Expiration</w:t>
            </w:r>
          </w:p>
        </w:tc>
      </w:tr>
      <w:tr>
        <w:trPr>
          <w:trHeight w:val="16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45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4820" w:type="dxa"/>
            <w:vAlign w:val="bottom"/>
            <w:gridSpan w:val="3"/>
          </w:tcPr>
          <w:p>
            <w:pPr>
              <w:ind w:left="340"/>
              <w:spacing w:after="0"/>
              <w:rPr>
                <w:sz w:val="20"/>
                <w:szCs w:val="20"/>
                <w:color w:val="auto"/>
              </w:rPr>
            </w:pPr>
            <w:r>
              <w:rPr>
                <w:rFonts w:ascii="Arial" w:cs="Arial" w:eastAsia="Arial" w:hAnsi="Arial"/>
                <w:sz w:val="14"/>
                <w:szCs w:val="14"/>
                <w:b w:val="1"/>
                <w:bCs w:val="1"/>
                <w:color w:val="auto"/>
              </w:rPr>
              <w:t>Position</w:t>
            </w: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Since</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of Term</w:t>
            </w:r>
          </w:p>
        </w:tc>
      </w:tr>
      <w:tr>
        <w:trPr>
          <w:trHeight w:val="20"/>
        </w:trPr>
        <w:tc>
          <w:tcPr>
            <w:tcW w:w="38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01"/>
        </w:trPr>
        <w:tc>
          <w:tcPr>
            <w:tcW w:w="49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Independent directors</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46</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42</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46</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44</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318"/>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46</w:t>
            </w:r>
          </w:p>
        </w:tc>
        <w:tc>
          <w:tcPr>
            <w:tcW w:w="4820" w:type="dxa"/>
            <w:vAlign w:val="bottom"/>
            <w:gridSpan w:val="3"/>
          </w:tcPr>
          <w:p>
            <w:pPr>
              <w:ind w:left="340"/>
              <w:spacing w:after="0"/>
              <w:rPr>
                <w:sz w:val="20"/>
                <w:szCs w:val="20"/>
                <w:color w:val="auto"/>
              </w:rPr>
            </w:pPr>
            <w:r>
              <w:rPr>
                <w:rFonts w:ascii="Arial" w:cs="Arial" w:eastAsia="Arial" w:hAnsi="Arial"/>
                <w:sz w:val="18"/>
                <w:szCs w:val="18"/>
                <w:color w:val="auto"/>
              </w:rPr>
              <w:t>Chairman of Board and Chief Executive Officer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2010</w:t>
            </w:r>
          </w:p>
        </w:tc>
      </w:tr>
    </w:tbl>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address for each director is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our executive officers who are not directors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2160" w:type="dxa"/>
            <w:vAlign w:val="bottom"/>
            <w:gridSpan w:val="3"/>
          </w:tcPr>
          <w:p>
            <w:pPr>
              <w:ind w:left="340"/>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Aviv</w:t>
            </w:r>
          </w:p>
        </w:tc>
        <w:tc>
          <w:tcPr>
            <w:tcW w:w="4540" w:type="dxa"/>
            <w:vAlign w:val="bottom"/>
          </w:tcPr>
          <w:p>
            <w:pPr>
              <w:ind w:left="20"/>
              <w:spacing w:after="0" w:line="201" w:lineRule="exact"/>
              <w:rPr>
                <w:sz w:val="20"/>
                <w:szCs w:val="20"/>
                <w:color w:val="auto"/>
              </w:rPr>
            </w:pPr>
            <w:r>
              <w:rPr>
                <w:rFonts w:ascii="Arial" w:cs="Arial" w:eastAsia="Arial" w:hAnsi="Arial"/>
                <w:sz w:val="18"/>
                <w:szCs w:val="18"/>
                <w:color w:val="auto"/>
              </w:rPr>
              <w:t>Efrat</w:t>
            </w:r>
          </w:p>
        </w:tc>
        <w:tc>
          <w:tcPr>
            <w:tcW w:w="2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45</w:t>
            </w:r>
          </w:p>
        </w:tc>
        <w:tc>
          <w:tcPr>
            <w:tcW w:w="340" w:type="dxa"/>
            <w:vAlign w:val="bottom"/>
          </w:tcPr>
          <w:p>
            <w:pPr>
              <w:spacing w:after="0"/>
              <w:rPr>
                <w:sz w:val="17"/>
                <w:szCs w:val="17"/>
                <w:color w:val="auto"/>
              </w:rPr>
            </w:pPr>
          </w:p>
        </w:tc>
        <w:tc>
          <w:tcPr>
            <w:tcW w:w="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w:t>
            </w:r>
          </w:p>
        </w:tc>
        <w:tc>
          <w:tcPr>
            <w:tcW w:w="1340" w:type="dxa"/>
            <w:vAlign w:val="bottom"/>
          </w:tcPr>
          <w:p>
            <w:pPr>
              <w:spacing w:after="0" w:line="201" w:lineRule="exact"/>
              <w:rPr>
                <w:sz w:val="20"/>
                <w:szCs w:val="20"/>
                <w:color w:val="auto"/>
              </w:rPr>
            </w:pPr>
            <w:r>
              <w:rPr>
                <w:rFonts w:ascii="Arial" w:cs="Arial" w:eastAsia="Arial" w:hAnsi="Arial"/>
                <w:sz w:val="18"/>
                <w:szCs w:val="18"/>
                <w:color w:val="auto"/>
              </w:rPr>
              <w:t>Financial Officer</w:t>
            </w:r>
          </w:p>
        </w:tc>
      </w:tr>
      <w:tr>
        <w:trPr>
          <w:trHeight w:val="236"/>
        </w:trPr>
        <w:tc>
          <w:tcPr>
            <w:tcW w:w="4920" w:type="dxa"/>
            <w:vAlign w:val="bottom"/>
            <w:gridSpan w:val="2"/>
          </w:tcPr>
          <w:p>
            <w:pPr>
              <w:spacing w:after="0"/>
              <w:rPr>
                <w:sz w:val="20"/>
                <w:szCs w:val="20"/>
                <w:color w:val="auto"/>
              </w:rPr>
            </w:pPr>
            <w:r>
              <w:rPr>
                <w:rFonts w:ascii="Arial" w:cs="Arial" w:eastAsia="Arial" w:hAnsi="Arial"/>
                <w:sz w:val="18"/>
                <w:szCs w:val="18"/>
                <w:color w:val="auto"/>
              </w:rPr>
              <w:t>Guy Talarico</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52</w:t>
            </w:r>
          </w:p>
        </w:tc>
        <w:tc>
          <w:tcPr>
            <w:tcW w:w="2160" w:type="dxa"/>
            <w:vAlign w:val="bottom"/>
            <w:gridSpan w:val="3"/>
          </w:tcPr>
          <w:p>
            <w:pPr>
              <w:ind w:left="340"/>
              <w:spacing w:after="0"/>
              <w:rPr>
                <w:sz w:val="20"/>
                <w:szCs w:val="20"/>
                <w:color w:val="auto"/>
              </w:rPr>
            </w:pPr>
            <w:r>
              <w:rPr>
                <w:rFonts w:ascii="Arial" w:cs="Arial" w:eastAsia="Arial" w:hAnsi="Arial"/>
                <w:sz w:val="18"/>
                <w:szCs w:val="18"/>
                <w:color w:val="auto"/>
                <w:w w:val="89"/>
              </w:rPr>
              <w:t>Chief Compliance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address for each executive officer is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or by telephone at (212) 905-1000.</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directors have been divided into two groups—interested directors and independent directors. Interested directors are “interested persons” as defined in the 1940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Adam K. Bernstein (46), Director. Mr. Bernstein became a director of PennantPark Investment in February 2007. Mr. Bernstein is currently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Marshall Brozost (42), Director. Mr. Brozost became a director of PennantPark Investment in February 2007. Since 2007, Mr. Brozost has been Partner at the international law firm of Dewey &amp; LeBoeuf 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Jeffrey Flug (46), Director. Mr. Flug became a director of PennantPark Investment in February 2007. Since 2009, Mr. Flug has been the Chief Operating and Financial Officer of Union Square Hospitality Group,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Samuel L. Katz (43), Director. Mr. Katz became a director of PennantPark Investment in February 2007. Since 2007, Mr. Katz is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Arthur H. Penn (46) Founder, Chief Executive Officer and Chairman of the Board of Directors. Mr. Penn became the chief executive officer and a director of PennantPark Investment at its inception in January 2007.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w:t>
      </w:r>
    </w:p>
    <w:p>
      <w:pPr>
        <w:spacing w:after="0" w:line="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who are not Directors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Aviv Efrat (45), Chief Financial Officer and Treasurer. Mr. Efrat joined PennantPark Investment in February 2007 as its Chief Financial Officer and Treasurer.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 Mr. Efrat earned his B.S. in Economics from Bringham Young University in 1991 and an M.B.A. from New York University in 1999.</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Guy Talarico (52) Chief Compliance Officer. Mr. Talarico became PennantPark Investment’s Chief Compliance Officer in 2008.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For the fiscal year ended September 30, 2008, we held six board meetings, four Audit Committee meetings and one Nominating and Corporate Governance Committee meeting. All directors attended at least 75% of the aggregate number of meetings of the board of directors and of the respective committees on which they served. We require each director to make a diligent effort to attend all board and committee meetings and encourage directors to attend the annual meeting of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The members of the Audit Committee are Messrs. Bernstein, Brozost, Flug and Katz, each of whom is independent for purposes of the 1940 Act and NASDAQ corporate governance regulations. Mr. Flug serves as 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and recommending to the board of directors whether the audited financial statements should be included in our annual report on Form 10-K; reviewing and discussing with management and the auditors our quarterly financial statements prior to the filing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debt and equity securities that are not publicly traded or for which current market values are not readily available. The board of directors and Audit Committee may use the services of nationally recognized independent valuation firms to help them determine the fair value of these securities. Our board of directors has determined that Mr. Flug is our “Audit Committee financial expert” as that term is defined under Item 401 of Regulation S-K under the Securities Exchange Act of 1934, as amended, or the Exchange Act. The Audit Committee Charter is available on our website: </w:t>
      </w:r>
      <w:r>
        <w:rPr>
          <w:rFonts w:ascii="Arial" w:cs="Arial" w:eastAsia="Arial" w:hAnsi="Arial"/>
          <w:sz w:val="16"/>
          <w:szCs w:val="16"/>
          <w:i w:val="1"/>
          <w:iCs w:val="1"/>
          <w:color w:val="auto"/>
        </w:rPr>
        <w:t>http://www.pennantpark.com.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right="220" w:firstLine="456"/>
        <w:spacing w:after="0" w:line="253" w:lineRule="auto"/>
        <w:rPr>
          <w:sz w:val="20"/>
          <w:szCs w:val="20"/>
          <w:color w:val="auto"/>
        </w:rPr>
      </w:pPr>
      <w:r>
        <w:rPr>
          <w:rFonts w:ascii="Arial" w:cs="Arial" w:eastAsia="Arial" w:hAnsi="Arial"/>
          <w:sz w:val="18"/>
          <w:szCs w:val="18"/>
          <w:color w:val="auto"/>
        </w:rPr>
        <w:t xml:space="preserve">The members of the Nominating and Corporate Governance Committee are Messrs. Bernstein, Brozost, Flug and Katz, each of whom is independent for purposes of the 1940 Act and the corporate governance regulations of the NASDAQ. Messrs. Bernstein, Brozost and Katz serve as co-chairmen of the Nominating and Corporate Governance Committee. The Nominating and Corporate Governance Committee is responsible for selecting, researching and nominating directors for election by our stockholders, selecting nominees to fill vacancies on the board or a committee of the board, developing and recommending to the board a set of corporate governance principles and overseeing the evaluation of the board and our management. The Nominating and Corporate Governance Committee has adopted a written Nominating and Corporate Governance Committee Charter that is available on our website: </w:t>
      </w:r>
      <w:r>
        <w:rPr>
          <w:rFonts w:ascii="Arial" w:cs="Arial" w:eastAsia="Arial" w:hAnsi="Arial"/>
          <w:sz w:val="18"/>
          <w:szCs w:val="18"/>
          <w:i w:val="1"/>
          <w:iCs w:val="1"/>
          <w:color w:val="auto"/>
        </w:rPr>
        <w:t>http://www.pennantpark.com.</w:t>
      </w:r>
    </w:p>
    <w:p>
      <w:pPr>
        <w:spacing w:after="0" w:line="147"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current directorships on publicly held companies and investment companies; number of shares of our common stock owned, if any; and, a written consent of the individual to stand for election if nominated by our board of directors and to serve if elected by the stockholders.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members of the board of directors include compliance with the independence and other applicable requirements of the NASDAQ Listing Standards and the 1940 Act, and all other applicable laws, rules, regulations and listing standards, the criteria, policies and principles set forth in the Nominating and Corporate Governance Committee Charter, and the ability to contribute to our effective management, taking into account our needs and such factors as the individual’s experience, perspective, skills and knowledge of the industry in which we operate. The Nominating and Corporate Governance Committee also may consider such other factors as it may deem are in our best interests and our stockholders. Our board of directors also believes it is appropriate for a key member of our management to participate as a member of our board of directors.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 compensation committee because our executive officers do not receive compensation from 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2008. No compensation is paid by us to any interested director or executive officer.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2"/>
              </w:rPr>
              <w:t>Pension or</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retirement</w:t>
            </w: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4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benefits</w:t>
            </w:r>
          </w:p>
        </w:tc>
        <w:tc>
          <w:tcPr>
            <w:tcW w:w="4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paid</w:t>
            </w:r>
          </w:p>
        </w:tc>
      </w:tr>
      <w:tr>
        <w:trPr>
          <w:trHeight w:val="149"/>
        </w:trPr>
        <w:tc>
          <w:tcPr>
            <w:tcW w:w="38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compensation</w:t>
            </w:r>
          </w:p>
        </w:tc>
        <w:tc>
          <w:tcPr>
            <w:tcW w:w="4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accrued as</w:t>
            </w:r>
          </w:p>
        </w:tc>
        <w:tc>
          <w:tcPr>
            <w:tcW w:w="4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w:t>
            </w:r>
          </w:p>
        </w:tc>
      </w:tr>
      <w:tr>
        <w:trPr>
          <w:trHeight w:val="134"/>
        </w:trPr>
        <w:tc>
          <w:tcPr>
            <w:tcW w:w="38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from the</w:t>
            </w:r>
          </w:p>
        </w:tc>
        <w:tc>
          <w:tcPr>
            <w:tcW w:w="4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8"/>
              </w:rPr>
              <w:t>part of our</w:t>
            </w:r>
          </w:p>
        </w:tc>
        <w:tc>
          <w:tcPr>
            <w:tcW w:w="44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director /</w:t>
            </w:r>
          </w:p>
        </w:tc>
      </w:tr>
      <w:tr>
        <w:trPr>
          <w:trHeight w:val="176"/>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804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44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4"/>
              </w:rPr>
              <w:t>expense</w:t>
            </w:r>
            <w:r>
              <w:rPr>
                <w:rFonts w:ascii="Arial" w:cs="Arial" w:eastAsia="Arial" w:hAnsi="Arial"/>
                <w:sz w:val="20"/>
                <w:szCs w:val="20"/>
                <w:b w:val="1"/>
                <w:bCs w:val="1"/>
                <w:color w:val="auto"/>
                <w:w w:val="84"/>
                <w:vertAlign w:val="superscript"/>
              </w:rPr>
              <w:t>(1)</w:t>
            </w:r>
          </w:p>
        </w:tc>
        <w:tc>
          <w:tcPr>
            <w:tcW w:w="44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officer</w:t>
            </w:r>
          </w:p>
        </w:tc>
      </w:tr>
      <w:tr>
        <w:trPr>
          <w:trHeight w:val="201"/>
        </w:trPr>
        <w:tc>
          <w:tcPr>
            <w:tcW w:w="84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Independent directors</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380" w:type="dxa"/>
            <w:vAlign w:val="bottom"/>
          </w:tcPr>
          <w:p>
            <w:pPr>
              <w:spacing w:after="0"/>
              <w:rPr>
                <w:sz w:val="18"/>
                <w:szCs w:val="18"/>
                <w:color w:val="auto"/>
              </w:rPr>
            </w:pPr>
          </w:p>
        </w:tc>
        <w:tc>
          <w:tcPr>
            <w:tcW w:w="8040" w:type="dxa"/>
            <w:vAlign w:val="bottom"/>
          </w:tcPr>
          <w:p>
            <w:pPr>
              <w:ind w:left="60"/>
              <w:spacing w:after="0"/>
              <w:rPr>
                <w:sz w:val="20"/>
                <w:szCs w:val="20"/>
                <w:color w:val="auto"/>
              </w:rPr>
            </w:pPr>
            <w:r>
              <w:rPr>
                <w:rFonts w:ascii="Arial" w:cs="Arial" w:eastAsia="Arial" w:hAnsi="Arial"/>
                <w:sz w:val="18"/>
                <w:szCs w:val="18"/>
                <w:color w:val="auto"/>
              </w:rPr>
              <w:t>Adam K. Bernstein</w:t>
            </w:r>
          </w:p>
        </w:tc>
        <w:tc>
          <w:tcPr>
            <w:tcW w:w="800" w:type="dxa"/>
            <w:vAlign w:val="bottom"/>
          </w:tcPr>
          <w:p>
            <w:pPr>
              <w:jc w:val="right"/>
              <w:spacing w:after="0"/>
              <w:rPr>
                <w:sz w:val="20"/>
                <w:szCs w:val="20"/>
                <w:color w:val="auto"/>
              </w:rPr>
            </w:pPr>
            <w:r>
              <w:rPr>
                <w:rFonts w:ascii="Arial" w:cs="Arial" w:eastAsia="Arial" w:hAnsi="Arial"/>
                <w:sz w:val="18"/>
                <w:szCs w:val="18"/>
                <w:color w:val="auto"/>
                <w:w w:val="91"/>
              </w:rPr>
              <w:t>$  131,250</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$131,250</w:t>
            </w:r>
          </w:p>
        </w:tc>
      </w:tr>
      <w:tr>
        <w:trPr>
          <w:trHeight w:val="216"/>
        </w:trPr>
        <w:tc>
          <w:tcPr>
            <w:tcW w:w="380" w:type="dxa"/>
            <w:vAlign w:val="bottom"/>
          </w:tcPr>
          <w:p>
            <w:pPr>
              <w:spacing w:after="0"/>
              <w:rPr>
                <w:sz w:val="18"/>
                <w:szCs w:val="18"/>
                <w:color w:val="auto"/>
              </w:rPr>
            </w:pPr>
          </w:p>
        </w:tc>
        <w:tc>
          <w:tcPr>
            <w:tcW w:w="8040" w:type="dxa"/>
            <w:vAlign w:val="bottom"/>
          </w:tcPr>
          <w:p>
            <w:pPr>
              <w:ind w:left="60"/>
              <w:spacing w:after="0"/>
              <w:rPr>
                <w:sz w:val="20"/>
                <w:szCs w:val="20"/>
                <w:color w:val="auto"/>
              </w:rPr>
            </w:pPr>
            <w:r>
              <w:rPr>
                <w:rFonts w:ascii="Arial" w:cs="Arial" w:eastAsia="Arial" w:hAnsi="Arial"/>
                <w:sz w:val="18"/>
                <w:szCs w:val="18"/>
                <w:color w:val="auto"/>
              </w:rPr>
              <w:t>Marshall Brozost</w:t>
            </w:r>
          </w:p>
        </w:tc>
        <w:tc>
          <w:tcPr>
            <w:tcW w:w="800" w:type="dxa"/>
            <w:vAlign w:val="bottom"/>
          </w:tcPr>
          <w:p>
            <w:pPr>
              <w:jc w:val="right"/>
              <w:spacing w:after="0"/>
              <w:rPr>
                <w:sz w:val="20"/>
                <w:szCs w:val="20"/>
                <w:color w:val="auto"/>
              </w:rPr>
            </w:pPr>
            <w:r>
              <w:rPr>
                <w:rFonts w:ascii="Arial" w:cs="Arial" w:eastAsia="Arial" w:hAnsi="Arial"/>
                <w:sz w:val="18"/>
                <w:szCs w:val="18"/>
                <w:color w:val="auto"/>
              </w:rPr>
              <w:t>131,250</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131,250</w:t>
            </w:r>
          </w:p>
        </w:tc>
      </w:tr>
      <w:tr>
        <w:trPr>
          <w:trHeight w:val="216"/>
        </w:trPr>
        <w:tc>
          <w:tcPr>
            <w:tcW w:w="380" w:type="dxa"/>
            <w:vAlign w:val="bottom"/>
          </w:tcPr>
          <w:p>
            <w:pPr>
              <w:spacing w:after="0"/>
              <w:rPr>
                <w:sz w:val="18"/>
                <w:szCs w:val="18"/>
                <w:color w:val="auto"/>
              </w:rPr>
            </w:pPr>
          </w:p>
        </w:tc>
        <w:tc>
          <w:tcPr>
            <w:tcW w:w="8040" w:type="dxa"/>
            <w:vAlign w:val="bottom"/>
          </w:tcPr>
          <w:p>
            <w:pPr>
              <w:ind w:left="60"/>
              <w:spacing w:after="0"/>
              <w:rPr>
                <w:sz w:val="20"/>
                <w:szCs w:val="20"/>
                <w:color w:val="auto"/>
              </w:rPr>
            </w:pPr>
            <w:r>
              <w:rPr>
                <w:rFonts w:ascii="Arial" w:cs="Arial" w:eastAsia="Arial" w:hAnsi="Arial"/>
                <w:sz w:val="18"/>
                <w:szCs w:val="18"/>
                <w:color w:val="auto"/>
              </w:rPr>
              <w:t>Jeffrey Flug</w:t>
            </w:r>
          </w:p>
        </w:tc>
        <w:tc>
          <w:tcPr>
            <w:tcW w:w="800" w:type="dxa"/>
            <w:vAlign w:val="bottom"/>
          </w:tcPr>
          <w:p>
            <w:pPr>
              <w:jc w:val="right"/>
              <w:spacing w:after="0"/>
              <w:rPr>
                <w:sz w:val="20"/>
                <w:szCs w:val="20"/>
                <w:color w:val="auto"/>
              </w:rPr>
            </w:pPr>
            <w:r>
              <w:rPr>
                <w:rFonts w:ascii="Arial" w:cs="Arial" w:eastAsia="Arial" w:hAnsi="Arial"/>
                <w:sz w:val="18"/>
                <w:szCs w:val="18"/>
                <w:color w:val="auto"/>
              </w:rPr>
              <w:t>138,750</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138,750</w:t>
            </w:r>
          </w:p>
        </w:tc>
      </w:tr>
      <w:tr>
        <w:trPr>
          <w:trHeight w:val="210"/>
        </w:trPr>
        <w:tc>
          <w:tcPr>
            <w:tcW w:w="380" w:type="dxa"/>
            <w:vAlign w:val="bottom"/>
          </w:tcPr>
          <w:p>
            <w:pPr>
              <w:spacing w:after="0"/>
              <w:rPr>
                <w:sz w:val="18"/>
                <w:szCs w:val="18"/>
                <w:color w:val="auto"/>
              </w:rPr>
            </w:pPr>
          </w:p>
        </w:tc>
        <w:tc>
          <w:tcPr>
            <w:tcW w:w="8040" w:type="dxa"/>
            <w:vAlign w:val="bottom"/>
          </w:tcPr>
          <w:p>
            <w:pPr>
              <w:ind w:left="60"/>
              <w:spacing w:after="0"/>
              <w:rPr>
                <w:sz w:val="20"/>
                <w:szCs w:val="20"/>
                <w:color w:val="auto"/>
              </w:rPr>
            </w:pPr>
            <w:r>
              <w:rPr>
                <w:rFonts w:ascii="Arial" w:cs="Arial" w:eastAsia="Arial" w:hAnsi="Arial"/>
                <w:sz w:val="18"/>
                <w:szCs w:val="18"/>
                <w:color w:val="auto"/>
              </w:rPr>
              <w:t>Samuel L. Katz</w:t>
            </w:r>
          </w:p>
        </w:tc>
        <w:tc>
          <w:tcPr>
            <w:tcW w:w="800" w:type="dxa"/>
            <w:vAlign w:val="bottom"/>
          </w:tcPr>
          <w:p>
            <w:pPr>
              <w:jc w:val="right"/>
              <w:spacing w:after="0"/>
              <w:rPr>
                <w:sz w:val="20"/>
                <w:szCs w:val="20"/>
                <w:color w:val="auto"/>
              </w:rPr>
            </w:pPr>
            <w:r>
              <w:rPr>
                <w:rFonts w:ascii="Arial" w:cs="Arial" w:eastAsia="Arial" w:hAnsi="Arial"/>
                <w:sz w:val="18"/>
                <w:szCs w:val="18"/>
                <w:color w:val="auto"/>
              </w:rPr>
              <w:t>127,500</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127,500</w:t>
            </w:r>
          </w:p>
        </w:tc>
      </w:tr>
      <w:tr>
        <w:trPr>
          <w:trHeight w:val="222"/>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0"/>
        </w:trPr>
        <w:tc>
          <w:tcPr>
            <w:tcW w:w="380" w:type="dxa"/>
            <w:vAlign w:val="bottom"/>
          </w:tcPr>
          <w:p>
            <w:pPr>
              <w:spacing w:after="0"/>
              <w:rPr>
                <w:sz w:val="18"/>
                <w:szCs w:val="18"/>
                <w:color w:val="auto"/>
              </w:rPr>
            </w:pPr>
          </w:p>
        </w:tc>
        <w:tc>
          <w:tcPr>
            <w:tcW w:w="8040" w:type="dxa"/>
            <w:vAlign w:val="bottom"/>
          </w:tcPr>
          <w:p>
            <w:pPr>
              <w:ind w:left="60"/>
              <w:spacing w:after="0"/>
              <w:rPr>
                <w:sz w:val="20"/>
                <w:szCs w:val="20"/>
                <w:color w:val="auto"/>
              </w:rPr>
            </w:pPr>
            <w:r>
              <w:rPr>
                <w:rFonts w:ascii="Arial" w:cs="Arial" w:eastAsia="Arial" w:hAnsi="Arial"/>
                <w:sz w:val="18"/>
                <w:szCs w:val="18"/>
                <w:color w:val="auto"/>
              </w:rPr>
              <w:t>Arthur H. Penn</w:t>
            </w:r>
          </w:p>
        </w:tc>
        <w:tc>
          <w:tcPr>
            <w:tcW w:w="80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222"/>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6"/>
        </w:trPr>
        <w:tc>
          <w:tcPr>
            <w:tcW w:w="380" w:type="dxa"/>
            <w:vAlign w:val="bottom"/>
          </w:tcPr>
          <w:p>
            <w:pPr>
              <w:spacing w:after="0"/>
              <w:rPr>
                <w:sz w:val="18"/>
                <w:szCs w:val="18"/>
                <w:color w:val="auto"/>
              </w:rPr>
            </w:pPr>
          </w:p>
        </w:tc>
        <w:tc>
          <w:tcPr>
            <w:tcW w:w="8040" w:type="dxa"/>
            <w:vAlign w:val="bottom"/>
          </w:tcPr>
          <w:p>
            <w:pPr>
              <w:ind w:left="60"/>
              <w:spacing w:after="0"/>
              <w:rPr>
                <w:sz w:val="20"/>
                <w:szCs w:val="20"/>
                <w:color w:val="auto"/>
              </w:rPr>
            </w:pPr>
            <w:r>
              <w:rPr>
                <w:rFonts w:ascii="Arial" w:cs="Arial" w:eastAsia="Arial" w:hAnsi="Arial"/>
                <w:sz w:val="18"/>
                <w:szCs w:val="18"/>
                <w:color w:val="auto"/>
              </w:rPr>
              <w:t>Aviv Eftrat</w:t>
            </w:r>
            <w:r>
              <w:rPr>
                <w:rFonts w:ascii="Arial" w:cs="Arial" w:eastAsia="Arial" w:hAnsi="Arial"/>
                <w:sz w:val="11"/>
                <w:szCs w:val="11"/>
                <w:color w:val="auto"/>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236"/>
        </w:trPr>
        <w:tc>
          <w:tcPr>
            <w:tcW w:w="380" w:type="dxa"/>
            <w:vAlign w:val="bottom"/>
          </w:tcPr>
          <w:p>
            <w:pPr>
              <w:spacing w:after="0"/>
              <w:rPr>
                <w:sz w:val="20"/>
                <w:szCs w:val="20"/>
                <w:color w:val="auto"/>
              </w:rPr>
            </w:pPr>
          </w:p>
        </w:tc>
        <w:tc>
          <w:tcPr>
            <w:tcW w:w="8040" w:type="dxa"/>
            <w:vAlign w:val="bottom"/>
          </w:tcPr>
          <w:p>
            <w:pPr>
              <w:ind w:left="60"/>
              <w:spacing w:after="0"/>
              <w:rPr>
                <w:sz w:val="20"/>
                <w:szCs w:val="20"/>
                <w:color w:val="auto"/>
              </w:rPr>
            </w:pPr>
            <w:r>
              <w:rPr>
                <w:rFonts w:ascii="Arial" w:cs="Arial" w:eastAsia="Arial" w:hAnsi="Arial"/>
                <w:sz w:val="18"/>
                <w:szCs w:val="18"/>
                <w:color w:val="auto"/>
              </w:rPr>
              <w:t>Guy Talarico</w:t>
            </w:r>
          </w:p>
        </w:tc>
        <w:tc>
          <w:tcPr>
            <w:tcW w:w="80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Efrat is an employee of PennantPark Investment Administration, LLC.</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Independent directors each receive an annual fee of $75,000.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the Chairman of the Audit Committee receives an annual fee of $7,500 and each chairman/co-chairman of any other committee receives an annual fee of $2,500 for their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paid to directors who are “interested persons.”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August 31, 2009, to our knowledge, no person would be deemed to control us, as such term is defined in the 1940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directors consist of one interested director and four independent directors. An interested director is an “interested person” of us, as defined in the 1940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65"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following table sets forth, as of August 31, 2009, certain ownership information with respect to our common stock for those persons who directly or indirectly own, control, or hold with the power to vote, 5 percent or more of our common stock and all officers and directors, as a group.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of Common</w:t>
            </w:r>
          </w:p>
        </w:tc>
        <w:tc>
          <w:tcPr>
            <w:tcW w:w="0" w:type="dxa"/>
            <w:vAlign w:val="bottom"/>
          </w:tcPr>
          <w:p>
            <w:pPr>
              <w:spacing w:after="0"/>
              <w:rPr>
                <w:sz w:val="1"/>
                <w:szCs w:val="1"/>
                <w:color w:val="auto"/>
              </w:rPr>
            </w:pPr>
          </w:p>
        </w:tc>
      </w:tr>
      <w:tr>
        <w:trPr>
          <w:trHeight w:val="149"/>
        </w:trPr>
        <w:tc>
          <w:tcPr>
            <w:tcW w:w="7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17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4"/>
              </w:rPr>
              <w:t>Type of ownership</w:t>
            </w:r>
            <w:r>
              <w:rPr>
                <w:rFonts w:ascii="Arial" w:cs="Arial" w:eastAsia="Arial" w:hAnsi="Arial"/>
                <w:sz w:val="22"/>
                <w:szCs w:val="22"/>
                <w:b w:val="1"/>
                <w:bCs w:val="1"/>
                <w:color w:val="auto"/>
                <w:w w:val="84"/>
                <w:vertAlign w:val="superscript"/>
              </w:rPr>
              <w:t>(4)</w:t>
            </w:r>
          </w:p>
        </w:tc>
        <w:tc>
          <w:tcPr>
            <w:tcW w:w="70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7640" w:type="dxa"/>
            <w:vAlign w:val="bottom"/>
            <w:gridSpan w:val="3"/>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700" w:type="dxa"/>
            <w:vAlign w:val="bottom"/>
          </w:tcPr>
          <w:p>
            <w:pPr>
              <w:jc w:val="right"/>
              <w:ind w:right="76"/>
              <w:spacing w:after="0"/>
              <w:rPr>
                <w:sz w:val="20"/>
                <w:szCs w:val="20"/>
                <w:color w:val="auto"/>
              </w:rPr>
            </w:pPr>
            <w:r>
              <w:rPr>
                <w:rFonts w:ascii="Arial" w:cs="Arial" w:eastAsia="Arial" w:hAnsi="Arial"/>
                <w:sz w:val="14"/>
                <w:szCs w:val="14"/>
                <w:b w:val="1"/>
                <w:bCs w:val="1"/>
                <w:color w:val="auto"/>
              </w:rPr>
              <w:t>owned</w:t>
            </w:r>
          </w:p>
        </w:tc>
        <w:tc>
          <w:tcPr>
            <w:tcW w:w="46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Ownership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Alpine Total Dynamic Dividend Fund</w:t>
            </w:r>
          </w:p>
        </w:tc>
        <w:tc>
          <w:tcPr>
            <w:tcW w:w="17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2"/>
              </w:rPr>
              <w:t>Beneficial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1,296,000</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2500 Westchester Suite, Suite 215</w:t>
            </w: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NY 10577</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640" w:type="dxa"/>
            <w:vAlign w:val="bottom"/>
            <w:gridSpan w:val="3"/>
          </w:tcPr>
          <w:p>
            <w:pPr>
              <w:spacing w:after="0"/>
              <w:rPr>
                <w:sz w:val="20"/>
                <w:szCs w:val="20"/>
                <w:color w:val="auto"/>
              </w:rPr>
            </w:pPr>
            <w:r>
              <w:rPr>
                <w:rFonts w:ascii="Arial" w:cs="Arial" w:eastAsia="Arial" w:hAnsi="Arial"/>
                <w:sz w:val="18"/>
                <w:szCs w:val="18"/>
                <w:color w:val="auto"/>
              </w:rPr>
              <w:t>Clough Capital Partners L.P.</w:t>
            </w: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Beneficial</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1,457,185</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Post Office Square, 40th Floor</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Boston, MA 02109</w:t>
            </w: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Wellington Management Company LLP</w:t>
            </w:r>
          </w:p>
        </w:tc>
        <w:tc>
          <w:tcPr>
            <w:tcW w:w="17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2"/>
              </w:rPr>
              <w:t>Beneficial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2,613,491</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75 State Street</w:t>
            </w: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 02109</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64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7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Record/Beneficial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85,031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Marshall Brozost</w:t>
            </w: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Record/Beneficial</w:t>
            </w:r>
          </w:p>
        </w:tc>
        <w:tc>
          <w:tcPr>
            <w:tcW w:w="700" w:type="dxa"/>
            <w:vAlign w:val="bottom"/>
          </w:tcPr>
          <w:p>
            <w:pPr>
              <w:jc w:val="right"/>
              <w:spacing w:after="0"/>
              <w:rPr>
                <w:sz w:val="20"/>
                <w:szCs w:val="20"/>
                <w:color w:val="auto"/>
              </w:rPr>
            </w:pPr>
            <w:r>
              <w:rPr>
                <w:rFonts w:ascii="Arial" w:cs="Arial" w:eastAsia="Arial" w:hAnsi="Arial"/>
                <w:sz w:val="18"/>
                <w:szCs w:val="18"/>
                <w:color w:val="auto"/>
              </w:rPr>
              <w:t>8,797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Jeffrey Flug</w:t>
            </w:r>
          </w:p>
        </w:tc>
        <w:tc>
          <w:tcPr>
            <w:tcW w:w="17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Record/Beneficial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87,964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Samuel L. Katz</w:t>
            </w: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Record/Beneficial</w:t>
            </w:r>
          </w:p>
        </w:tc>
        <w:tc>
          <w:tcPr>
            <w:tcW w:w="700" w:type="dxa"/>
            <w:vAlign w:val="bottom"/>
          </w:tcPr>
          <w:p>
            <w:pPr>
              <w:jc w:val="right"/>
              <w:spacing w:after="0"/>
              <w:rPr>
                <w:sz w:val="20"/>
                <w:szCs w:val="20"/>
                <w:color w:val="auto"/>
              </w:rPr>
            </w:pPr>
            <w:r>
              <w:rPr>
                <w:rFonts w:ascii="Arial" w:cs="Arial" w:eastAsia="Arial" w:hAnsi="Arial"/>
                <w:sz w:val="18"/>
                <w:szCs w:val="18"/>
                <w:color w:val="auto"/>
              </w:rPr>
              <w:t>71,323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Record/Beneficial</w:t>
            </w:r>
          </w:p>
        </w:tc>
        <w:tc>
          <w:tcPr>
            <w:tcW w:w="700" w:type="dxa"/>
            <w:vAlign w:val="bottom"/>
          </w:tcPr>
          <w:p>
            <w:pPr>
              <w:jc w:val="right"/>
              <w:spacing w:after="0"/>
              <w:rPr>
                <w:sz w:val="20"/>
                <w:szCs w:val="20"/>
                <w:color w:val="auto"/>
              </w:rPr>
            </w:pPr>
            <w:r>
              <w:rPr>
                <w:rFonts w:ascii="Arial" w:cs="Arial" w:eastAsia="Arial" w:hAnsi="Arial"/>
                <w:sz w:val="18"/>
                <w:szCs w:val="18"/>
                <w:color w:val="auto"/>
              </w:rPr>
              <w:t>413,474</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Aviv Efrat</w:t>
            </w: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Record/Beneficial</w:t>
            </w:r>
          </w:p>
        </w:tc>
        <w:tc>
          <w:tcPr>
            <w:tcW w:w="700" w:type="dxa"/>
            <w:vAlign w:val="bottom"/>
          </w:tcPr>
          <w:p>
            <w:pPr>
              <w:jc w:val="right"/>
              <w:spacing w:after="0"/>
              <w:rPr>
                <w:sz w:val="20"/>
                <w:szCs w:val="20"/>
                <w:color w:val="auto"/>
              </w:rPr>
            </w:pPr>
            <w:r>
              <w:rPr>
                <w:rFonts w:ascii="Arial" w:cs="Arial" w:eastAsia="Arial" w:hAnsi="Arial"/>
                <w:sz w:val="18"/>
                <w:szCs w:val="18"/>
                <w:color w:val="auto"/>
              </w:rPr>
              <w:t>28,646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(6 persons)</w:t>
            </w:r>
          </w:p>
        </w:tc>
        <w:tc>
          <w:tcPr>
            <w:tcW w:w="17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Record/Beneficial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695,235</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Investment Corporation,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99" w:lineRule="exact"/>
        <w:rPr>
          <w:rFonts w:ascii="Arial" w:cs="Arial" w:eastAsia="Arial" w:hAnsi="Arial"/>
          <w:sz w:val="16"/>
          <w:szCs w:val="16"/>
          <w:color w:val="auto"/>
        </w:rPr>
      </w:pPr>
    </w:p>
    <w:p>
      <w:pPr>
        <w:ind w:left="460" w:right="30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68,236 shares held by JAM Investments, LLC.</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268,073 shares held by PennantPark Investment Advisers, LLC.</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77" w:lineRule="exact"/>
        <w:rPr>
          <w:sz w:val="20"/>
          <w:szCs w:val="20"/>
          <w:color w:val="auto"/>
        </w:rPr>
      </w:pPr>
    </w:p>
    <w:p>
      <w:pPr>
        <w:ind w:left="460" w:hanging="408"/>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Range of Securities Beneficially Owned by Director, Officers and Portfolio Managers</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of our directors as of August 31, 2009. Information as to the beneficial ownerships based on information furnished to the company by such persons. We are not part of a “family of investment companies,” as that term is defined in the 1940 Act.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Directors of PennantPark</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7"/>
              </w:rPr>
              <w:t>Dollar Range of Equity Securities in PennantPark</w:t>
            </w:r>
            <w:r>
              <w:rPr>
                <w:rFonts w:ascii="Arial" w:cs="Arial" w:eastAsia="Arial" w:hAnsi="Arial"/>
                <w:sz w:val="22"/>
                <w:szCs w:val="22"/>
                <w:b w:val="1"/>
                <w:bCs w:val="1"/>
                <w:color w:val="auto"/>
                <w:w w:val="87"/>
                <w:vertAlign w:val="superscript"/>
              </w:rPr>
              <w:t>(1)</w:t>
            </w:r>
          </w:p>
        </w:tc>
      </w:tr>
      <w:tr>
        <w:trPr>
          <w:trHeight w:val="201"/>
        </w:trPr>
        <w:tc>
          <w:tcPr>
            <w:tcW w:w="15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w w:val="82"/>
              </w:rPr>
              <w:t>Independent directors</w:t>
            </w:r>
          </w:p>
        </w:tc>
        <w:tc>
          <w:tcPr>
            <w:tcW w:w="4480" w:type="dxa"/>
            <w:vAlign w:val="bottom"/>
          </w:tcPr>
          <w:p>
            <w:pPr>
              <w:spacing w:after="0"/>
              <w:rPr>
                <w:sz w:val="17"/>
                <w:szCs w:val="17"/>
                <w:color w:val="auto"/>
              </w:rPr>
            </w:pPr>
          </w:p>
        </w:tc>
        <w:tc>
          <w:tcPr>
            <w:tcW w:w="5360" w:type="dxa"/>
            <w:vAlign w:val="bottom"/>
            <w:tcBorders>
              <w:top w:val="single" w:sz="8" w:color="auto"/>
            </w:tcBorders>
          </w:tcPr>
          <w:p>
            <w:pPr>
              <w:spacing w:after="0"/>
              <w:rPr>
                <w:sz w:val="17"/>
                <w:szCs w:val="17"/>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$500,001 - $1,000,000</w:t>
            </w:r>
            <w:r>
              <w:rPr>
                <w:rFonts w:ascii="Arial" w:cs="Arial" w:eastAsia="Arial" w:hAnsi="Arial"/>
                <w:sz w:val="11"/>
                <w:szCs w:val="11"/>
                <w:color w:val="auto"/>
                <w:w w:val="88"/>
              </w:rPr>
              <w:t>(2)</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5360" w:type="dxa"/>
            <w:vAlign w:val="bottom"/>
          </w:tcPr>
          <w:p>
            <w:pPr>
              <w:jc w:val="center"/>
              <w:spacing w:after="0"/>
              <w:rPr>
                <w:sz w:val="20"/>
                <w:szCs w:val="20"/>
                <w:color w:val="auto"/>
              </w:rPr>
            </w:pPr>
            <w:r>
              <w:rPr>
                <w:rFonts w:ascii="Arial" w:cs="Arial" w:eastAsia="Arial" w:hAnsi="Arial"/>
                <w:sz w:val="18"/>
                <w:szCs w:val="18"/>
                <w:color w:val="auto"/>
                <w:w w:val="87"/>
              </w:rPr>
              <w:t>$50,001 - $100,000</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r>
      <w:tr>
        <w:trPr>
          <w:trHeight w:val="331"/>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directors</w:t>
            </w:r>
          </w:p>
        </w:tc>
        <w:tc>
          <w:tcPr>
            <w:tcW w:w="5360" w:type="dxa"/>
            <w:vAlign w:val="bottom"/>
          </w:tcPr>
          <w:p>
            <w:pPr>
              <w:spacing w:after="0"/>
              <w:rPr>
                <w:sz w:val="24"/>
                <w:szCs w:val="24"/>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Over $1,000,000</w:t>
            </w:r>
            <w:r>
              <w:rPr>
                <w:rFonts w:ascii="Arial" w:cs="Arial" w:eastAsia="Arial" w:hAnsi="Arial"/>
                <w:sz w:val="11"/>
                <w:szCs w:val="11"/>
                <w:color w:val="auto"/>
                <w:w w:val="89"/>
              </w:rPr>
              <w:t>(3)</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 who are not directors</w:t>
            </w:r>
          </w:p>
        </w:tc>
        <w:tc>
          <w:tcPr>
            <w:tcW w:w="5360" w:type="dxa"/>
            <w:vAlign w:val="bottom"/>
          </w:tcPr>
          <w:p>
            <w:pPr>
              <w:spacing w:after="0"/>
              <w:rPr>
                <w:sz w:val="24"/>
                <w:szCs w:val="24"/>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Aviv Efrat</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Portfolio managers</w:t>
            </w:r>
          </w:p>
        </w:tc>
        <w:tc>
          <w:tcPr>
            <w:tcW w:w="5360" w:type="dxa"/>
            <w:vAlign w:val="bottom"/>
          </w:tcPr>
          <w:p>
            <w:pPr>
              <w:spacing w:after="0"/>
              <w:rPr>
                <w:sz w:val="24"/>
                <w:szCs w:val="24"/>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Geoffrey S. Chang</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P. Whitridge Williams, Jr.</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PennantPark Investment. Under the terms of our Investment Management Agreement, PennantPark Investment Advisers:</w:t>
      </w:r>
    </w:p>
    <w:p>
      <w:pPr>
        <w:spacing w:after="0" w:line="26"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closes and monitors the investments we make.</w:t>
      </w:r>
    </w:p>
    <w:p>
      <w:pPr>
        <w:spacing w:after="0" w:line="17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to other entities so long as its services to us are not impaired. The Investment Adviser has not yet undertaken any such services, but may do so at any time and without the prior approval of our stockholders or our board of directors. Our board of directors would monitor any potential conflicts that may arise upon such a development. For providing these services, the Investment Adviser receives a fee from PennantPark Investment, consisting of two components—a base management fee and an incentive fee (collectively, “Management Fees”).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The base management fee is calculated at an annual rate of 2.00% of our gross assets (net of U.S. Treasury Bills (“average adjusted gross total assets”)). Although the base management fee is 2.00% of our average adjusted gross total assets, the Investment Adviser waived a portion of the base management fee such that the base management fee equaled 1.50% from the consummation of the initial public offering through September 30, 2007. The base management fee was 1.75% from October 1, 2007 through March 31, 2008. Our base management fee has been 2.00% after March 31, 2008. For services rendered under our Investment Management Agreement the base management fee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Base investment advisory fees for any partial month or quarter are appropriately pro rated. For the nine months ended June 30, 2009 and June 30, 2008, the Investment Adviser earned base management fees, after fee waiver, of $5.5 million and $4.8 million, respectively.</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our Administration Agreement, and any interest expense and distributions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that we have not yet received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calendar quarter, will be compared to a Hurdle of 1.75% per quarter (7.00% annualized). Our net investment income used to calculate this part of the incentive fee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is also included in the amount of our average adjusted gross total assets used to calculate the 2.00% base management fee. We have agreed to pay PennantPark Investment Advisers an incentive fee with respect to our Pre-Incentive Fee Net Investment Income in each calendar quarter as follows:</w:t>
      </w:r>
    </w:p>
    <w:p>
      <w:pPr>
        <w:spacing w:after="0" w:line="4"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our Pre-Incentive Fee Net Investment Income does not exceed the Hurdle of 1.75%;</w:t>
      </w:r>
    </w:p>
    <w:p>
      <w:pPr>
        <w:spacing w:after="0" w:line="113" w:lineRule="exact"/>
        <w:rPr>
          <w:rFonts w:ascii="Arial" w:cs="Arial" w:eastAsia="Arial" w:hAnsi="Arial"/>
          <w:sz w:val="16"/>
          <w:szCs w:val="16"/>
          <w:color w:val="auto"/>
        </w:rPr>
      </w:pPr>
    </w:p>
    <w:p>
      <w:pPr>
        <w:ind w:left="900" w:right="300" w:hanging="325"/>
        <w:spacing w:after="0" w:line="255"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The “catch-up” is meant to provide our Investment Adviser with 20% of our Pre-Incentive Fee Net Investment Income as if a Hurdle did not apply if this net investment income exceeds 2.1875% in any calendar quarter; and</w:t>
      </w:r>
    </w:p>
    <w:p>
      <w:pPr>
        <w:spacing w:after="0" w:line="61"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20% of the amount of our Pre-Incentive Fee Net Investment Income, if any, that exceeds 2.1875% in any calendar quarter (8.75% annualized) is payable to our Investment Adviser (once the Hurdle is reached and the catch-up is achieved, 20% of all Pre-Incentive Fee Investment Income thereafter is allocated to our Investment Adviser). These calculations are appropriately pro rated for any period of less than three months and adjusted for any share issuances or repurchases during the current quarter.</w:t>
      </w:r>
    </w:p>
    <w:p>
      <w:pPr>
        <w:spacing w:after="0" w:line="14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Graphical Representation of Calculation of Quarterly Incentive Fee Based on Net Investment Income</w:t>
      </w:r>
    </w:p>
    <w:p>
      <w:pPr>
        <w:spacing w:after="0" w:line="8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Pre-incentive fee net investment income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109855</wp:posOffset>
            </wp:positionV>
            <wp:extent cx="3833495" cy="6261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3349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allocated to income-related portion of incentive fee</w:t>
      </w:r>
    </w:p>
    <w:p>
      <w:pPr>
        <w:spacing w:after="0" w:line="16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advisory and management agreement, as of the termination date), commencing on December 31, 2007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nine months ended June 30, 2009 and June 30, 2008, the Investment Adviser earned $4.2 million and $2.4 million, respectively, in incentive fees.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0.55%</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net investment income does not exceed Hurdle; therefore there is no incentive fee.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205" w:lineRule="exact"/>
        <w:rPr>
          <w:sz w:val="20"/>
          <w:szCs w:val="20"/>
          <w:color w:val="auto"/>
        </w:rPr>
      </w:pPr>
    </w:p>
    <w:p>
      <w:pPr>
        <w:ind w:left="460"/>
        <w:spacing w:after="0"/>
        <w:tabs>
          <w:tab w:leader="none" w:pos="21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15" w:lineRule="exact"/>
        <w:rPr>
          <w:sz w:val="20"/>
          <w:szCs w:val="20"/>
          <w:color w:val="auto"/>
        </w:rPr>
      </w:pPr>
    </w:p>
    <w:p>
      <w:pPr>
        <w:ind w:left="2300" w:hanging="145"/>
        <w:spacing w:after="0"/>
        <w:tabs>
          <w:tab w:leader="none" w:pos="2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2.00% - 1.75%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0.25%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100% x 0.25%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0.25%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2.30%</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Incentive fee = 20% x Pre-Incentive Fee Net Investment Income, subject to “catch-up”</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Incentive fee = 100% x “catch-up” + (20% x (Pre-Incentive Fee Net Investment Income – 2.1875%))</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Catch-up = 2.1875% - 1.75%</w:t>
      </w:r>
    </w:p>
    <w:p>
      <w:pPr>
        <w:spacing w:after="0" w:line="90" w:lineRule="exact"/>
        <w:rPr>
          <w:sz w:val="20"/>
          <w:szCs w:val="20"/>
          <w:color w:val="auto"/>
        </w:rPr>
      </w:pPr>
    </w:p>
    <w:p>
      <w:pPr>
        <w:ind w:left="1040" w:hanging="137"/>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0.4375%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(100% x 0.4375%) + (20% x (2.3% - 2.1875%))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0.4375% + (20% x 0.1125%)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0.4375% + 0.0225%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0.46%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 no net realized capital gains or losses</w:t>
      </w:r>
    </w:p>
    <w:p>
      <w:pPr>
        <w:spacing w:after="0" w:line="9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pacing w:after="0" w:line="11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20"/>
          </w:cols>
          <w:pgMar w:left="240" w:top="459" w:right="7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80" w:type="dxa"/>
            <w:vAlign w:val="bottom"/>
          </w:tcPr>
          <w:p>
            <w:pPr>
              <w:spacing w:after="0"/>
              <w:rPr>
                <w:sz w:val="20"/>
                <w:szCs w:val="20"/>
                <w:color w:val="auto"/>
              </w:rPr>
            </w:pPr>
            <w:r>
              <w:rPr>
                <w:rFonts w:ascii="Arial" w:cs="Arial" w:eastAsia="Arial" w:hAnsi="Arial"/>
                <w:sz w:val="18"/>
                <w:szCs w:val="18"/>
                <w:b w:val="1"/>
                <w:bCs w:val="1"/>
                <w:color w:val="auto"/>
              </w:rPr>
              <w:t>Management</w:t>
            </w:r>
          </w:p>
        </w:tc>
        <w:tc>
          <w:tcPr>
            <w:tcW w:w="1980" w:type="dxa"/>
            <w:vAlign w:val="bottom"/>
          </w:tcPr>
          <w:p>
            <w:pPr>
              <w:spacing w:after="0"/>
              <w:rPr>
                <w:sz w:val="19"/>
                <w:szCs w:val="19"/>
                <w:color w:val="auto"/>
              </w:rPr>
            </w:pPr>
          </w:p>
        </w:tc>
      </w:tr>
      <w:tr>
        <w:trPr>
          <w:trHeight w:val="291"/>
        </w:trPr>
        <w:tc>
          <w:tcPr>
            <w:tcW w:w="2580" w:type="dxa"/>
            <w:vAlign w:val="bottom"/>
          </w:tcPr>
          <w:p>
            <w:pPr>
              <w:ind w:left="460"/>
              <w:spacing w:after="0"/>
              <w:rPr>
                <w:sz w:val="20"/>
                <w:szCs w:val="20"/>
                <w:color w:val="auto"/>
              </w:rPr>
            </w:pPr>
            <w:r>
              <w:rPr>
                <w:rFonts w:ascii="Arial" w:cs="Arial" w:eastAsia="Arial" w:hAnsi="Arial"/>
                <w:sz w:val="18"/>
                <w:szCs w:val="18"/>
                <w:color w:val="auto"/>
              </w:rPr>
              <w:t>Year 1 incentive fee</w:t>
            </w:r>
          </w:p>
        </w:tc>
        <w:tc>
          <w:tcPr>
            <w:tcW w:w="1980" w:type="dxa"/>
            <w:vAlign w:val="bottom"/>
          </w:tcPr>
          <w:p>
            <w:pPr>
              <w:ind w:left="720"/>
              <w:spacing w:after="0"/>
              <w:rPr>
                <w:sz w:val="20"/>
                <w:szCs w:val="20"/>
                <w:color w:val="auto"/>
              </w:rPr>
            </w:pPr>
            <w:r>
              <w:rPr>
                <w:rFonts w:ascii="Arial" w:cs="Arial" w:eastAsia="Arial" w:hAnsi="Arial"/>
                <w:sz w:val="18"/>
                <w:szCs w:val="18"/>
                <w:color w:val="auto"/>
              </w:rPr>
              <w:t>= 20% x (0)</w:t>
            </w:r>
          </w:p>
        </w:tc>
      </w:tr>
      <w:tr>
        <w:trPr>
          <w:trHeight w:val="216"/>
        </w:trPr>
        <w:tc>
          <w:tcPr>
            <w:tcW w:w="2580" w:type="dxa"/>
            <w:vAlign w:val="bottom"/>
          </w:tcPr>
          <w:p>
            <w:pPr>
              <w:spacing w:after="0"/>
              <w:rPr>
                <w:sz w:val="18"/>
                <w:szCs w:val="18"/>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rPr>
              <w:t>= 0</w:t>
            </w:r>
          </w:p>
        </w:tc>
      </w:tr>
      <w:tr>
        <w:trPr>
          <w:trHeight w:val="222"/>
        </w:trPr>
        <w:tc>
          <w:tcPr>
            <w:tcW w:w="2580" w:type="dxa"/>
            <w:vAlign w:val="bottom"/>
          </w:tcPr>
          <w:p>
            <w:pPr>
              <w:spacing w:after="0"/>
              <w:rPr>
                <w:sz w:val="19"/>
                <w:szCs w:val="19"/>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w w:val="87"/>
              </w:rPr>
              <w:t>= no incentive fee</w:t>
            </w:r>
          </w:p>
        </w:tc>
      </w:tr>
    </w:tbl>
    <w:p>
      <w:pPr>
        <w:spacing w:after="0" w:line="102" w:lineRule="exact"/>
        <w:rPr>
          <w:sz w:val="20"/>
          <w:szCs w:val="20"/>
          <w:color w:val="auto"/>
        </w:rPr>
      </w:pPr>
    </w:p>
    <w:p>
      <w:pPr>
        <w:ind w:left="460"/>
        <w:spacing w:after="0"/>
        <w:tabs>
          <w:tab w:leader="none" w:pos="3280" w:val="left"/>
        </w:tabs>
        <w:rPr>
          <w:sz w:val="20"/>
          <w:szCs w:val="20"/>
          <w:color w:val="auto"/>
        </w:rPr>
      </w:pPr>
      <w:r>
        <w:rPr>
          <w:rFonts w:ascii="Arial" w:cs="Arial" w:eastAsia="Arial" w:hAnsi="Arial"/>
          <w:sz w:val="18"/>
          <w:szCs w:val="18"/>
          <w:color w:val="auto"/>
        </w:rPr>
        <w:t>Year 2 incentive fee</w:t>
      </w:r>
      <w:r>
        <w:rPr>
          <w:sz w:val="20"/>
          <w:szCs w:val="20"/>
          <w:color w:val="auto"/>
        </w:rPr>
        <w:tab/>
      </w:r>
      <w:r>
        <w:rPr>
          <w:rFonts w:ascii="Arial" w:cs="Arial" w:eastAsia="Arial" w:hAnsi="Arial"/>
          <w:sz w:val="16"/>
          <w:szCs w:val="16"/>
          <w:color w:val="auto"/>
        </w:rPr>
        <w:t>= 20% x (6% - 1%)</w:t>
      </w:r>
    </w:p>
    <w:p>
      <w:pPr>
        <w:spacing w:after="0" w:line="15" w:lineRule="exact"/>
        <w:rPr>
          <w:sz w:val="20"/>
          <w:szCs w:val="20"/>
          <w:color w:val="auto"/>
        </w:rPr>
      </w:pPr>
    </w:p>
    <w:p>
      <w:pPr>
        <w:ind w:left="3440" w:hanging="137"/>
        <w:spacing w:after="0"/>
        <w:tabs>
          <w:tab w:leader="none" w:pos="34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20% x 5%</w:t>
      </w:r>
    </w:p>
    <w:p>
      <w:pPr>
        <w:spacing w:after="0" w:line="9" w:lineRule="exact"/>
        <w:rPr>
          <w:rFonts w:ascii="Arial" w:cs="Arial" w:eastAsia="Arial" w:hAnsi="Arial"/>
          <w:sz w:val="18"/>
          <w:szCs w:val="18"/>
          <w:color w:val="auto"/>
        </w:rPr>
      </w:pPr>
    </w:p>
    <w:p>
      <w:pPr>
        <w:ind w:left="3440" w:hanging="137"/>
        <w:spacing w:after="0"/>
        <w:tabs>
          <w:tab w:leader="none" w:pos="34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1%</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7"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76" w:lineRule="exact"/>
        <w:rPr>
          <w:rFonts w:ascii="Arial" w:cs="Arial" w:eastAsia="Arial" w:hAnsi="Arial"/>
          <w:sz w:val="18"/>
          <w:szCs w:val="18"/>
          <w:color w:val="auto"/>
        </w:rPr>
      </w:pPr>
    </w:p>
    <w:p>
      <w:pPr>
        <w:ind w:left="460" w:right="360" w:hanging="452"/>
        <w:spacing w:after="0" w:line="306"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Represents 2.0% annualized base management fee. Although the management fee is 2.00% of our average adjusted gross total assets, the Investment Adviser agreed to waive a portion of the base management fee such that the base management fee equaled 1.50% from the consummation of the initial public offering through September 30, 2007, 1.75% from October 1, 2007 through March 31, 2008, and 2.00% thereafter.</w:t>
      </w:r>
    </w:p>
    <w:p>
      <w:pPr>
        <w:spacing w:after="0" w:line="12"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PennantPark Investment, in February 2009. Unless terminated earlier as described below, our Investment Management Agreement will continue in effect for a period of one year through February 2010.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 —We are dependent upon PennantPark Investment Advisers’ key personnel for our future success, and if we are unable to hire and retain qualified personnel or if we lose any member of our management team, our ability to achieve our investment objectives could be significantly harmed.”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 Management Agreement provides that, absent willful misfeasance, bad faith or gross negligence in the performance of its duties or by reason of the reckless disregard of its duties and obligations, PennantPark Investment Advisers and its officers, managers, partners, agents, employees, controlling persons, members and any other person or entity affiliated with it are entitled to indemnification from PennantPark Investment for any damages, liabilities, costs and expenses (including reasonable attorneys’ fees and amounts reasonably paid in settlement) arising from the rendering of PennantPark Investment Advisers’ services under each respective agreement or otherwise as an Investment Adviser of PennantPark Investment.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PennantPark Investment Advisers is a registered Investment Adviser under the Advisers Act of 1940. The principal executive offices of PennantPark Investment Advisers are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Administration Agreement, the Administrator furnishes us with office facilities, equipment and clerical, bookkeeping and record keeping services at such facilities. Under our Administration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provides on our behalf managerial assistance to those portfolio companies to which we are required to provide such assistance. The Administration Agreement may be terminated by either party without penalty upon 60 days’ written notice to the other party. To the extent that our Administrator outsources any of its functions, we pay the fees associated with such functions on a direct basis without profit to the Administrator. For the nine months ended June 30, 2009 and June 30, 2008, the Investment Adviser was reimbursed $1.4 million and $1.6 million, respectively, by PennantPark Investment, including expenses it incurred on behalf of the Administrator for the services described above.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Administration Agreement provides that, absent willful misfeasance, bad faith or negligence in the performance of its duties or by reason of the reckless disregard of its duties and obligations, PennantPark Investment Administration and its officers, manager, partners, agents, employees, controlling persons, members and any other person or entity affiliated with it are entitled to indemnification from PennantPark for any damages, liabilities, costs and expenses (including reasonable attorneys’ fees and amounts reasonably paid in settlement) arising from the rendering of PennantPark Investment Administration’s services under our Administration Agreement or otherwise as Administrator for PennantPark Investment.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asset value per share of our outstanding shares of common stock is determined quarterly by dividing the value of total assets minus liabilities by the total number of shares outstanding.</w:t>
      </w:r>
    </w:p>
    <w:p>
      <w:pPr>
        <w:spacing w:after="0" w:line="132"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purchased within 60 days of maturity will be valued at cost plus accreted discount, or minus amortized premium, which approximates value. With respect to unquoted securities, our board of directors, together with our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When an external event such as a purchase transaction, public offering or subsequent equity sale occurs in connection with one of our portfolio companies, our board uses the pricing indicated by the external event to corroborate and/or assist us in our valuation of our investment in such portfolio company. Because there are not always readily available markets for many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believed not to reflect the fair value of an investment, our board of directors undertakes a multi-step valuation process each quarter, as described below:</w:t>
      </w:r>
    </w:p>
    <w:p>
      <w:pPr>
        <w:spacing w:after="0" w:line="51" w:lineRule="exact"/>
        <w:rPr>
          <w:sz w:val="20"/>
          <w:szCs w:val="20"/>
          <w:color w:val="auto"/>
        </w:rPr>
      </w:pPr>
    </w:p>
    <w:p>
      <w:pPr>
        <w:ind w:left="900" w:right="46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board of directors also engages one or more independent valuation firms to conduct independent appraisals of our investments for which market quotations are not readily available or are readily available but believed not to reflect the fair value of an investment. The independent valuation firm reviews management’s preliminary valuations and its own independent assessment;</w:t>
      </w:r>
    </w:p>
    <w:p>
      <w:pPr>
        <w:spacing w:after="0" w:line="59" w:lineRule="exact"/>
        <w:rPr>
          <w:rFonts w:ascii="Arial" w:cs="Arial" w:eastAsia="Arial" w:hAnsi="Arial"/>
          <w:sz w:val="18"/>
          <w:szCs w:val="18"/>
          <w:color w:val="auto"/>
        </w:rPr>
      </w:pPr>
    </w:p>
    <w:p>
      <w:pPr>
        <w:ind w:left="900" w:right="280" w:hanging="325"/>
        <w:spacing w:after="0" w:line="33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types of factors that we may take into account in fair value pricing our investments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Determination of fair values involves subjective judgments and estimates not susceptible to substantiation by auditing procedures. Accordingly, under current auditing standards, the notes to our financial statements will refer to the uncertainty with respect to the possible effect of such valuations, and any change in such valuations, on our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jc w:val="both"/>
        <w:ind w:left="900" w:right="180" w:hanging="325"/>
        <w:spacing w:after="0" w:line="306"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jc w:val="both"/>
        <w:ind w:right="200" w:firstLine="456"/>
        <w:spacing w:after="0" w:line="291" w:lineRule="auto"/>
        <w:rPr>
          <w:sz w:val="20"/>
          <w:szCs w:val="20"/>
          <w:color w:val="auto"/>
        </w:rPr>
      </w:pPr>
      <w:r>
        <w:rPr>
          <w:rFonts w:ascii="Arial" w:cs="Arial" w:eastAsia="Arial" w:hAnsi="Arial"/>
          <w:sz w:val="16"/>
          <w:szCs w:val="16"/>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(stockholders have provided such consent on August 25, 2009 for a 12-month period), and our board of directors may decide that such an offering is in the best interest of our common stockholders and we may undertake such an offering. For more information, see “Sales of common stock below NAV.”</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may, however, subject to the requirements of the 1940 Act, issue rights to acquire our common stock at a price below the current net asset value of the common stock if our board of directors determines that such sale is in our best interests and the best interests of our common stockholders. In any such case, the price at which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4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and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intend to use primarily newly issued shares to implement the plan, whether our shares are trading at a premium or at a discount to net asset value.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NASDAQ Global Select Market on the valuation date for such distribution. Market price per share on that date will be the closing price for such shares on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In addition, there may be de minimis transaction charges incurred in connection with plan participation.</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Participants may terminate their accounts under the plan by notifying the plan administrator via its website at www.amstock.com, by filling out the transaction request form located at bottom of their statement and sending it to the plan administrator.</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and Trust Company, P.O. Box 922, Wall Street Station, New York, New York 10269, or by the plan administrator’s Interactive Voice Response System at 1-888-777-0324.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On June 30, 2009 our authorized capital stock consisted of 100,000,000 shares of stock, par value $0.001 per share, all of which is classified as common stock. Our common stock is quoted on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last reported closing market price of our common stock on August 31, 2009 was $8.35 per share. As of August 31, 2009, we had 16 stockholders of record.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August 31,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Amount Held by</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Amount</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56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61"/>
        </w:trPr>
        <w:tc>
          <w:tcPr>
            <w:tcW w:w="7660" w:type="dxa"/>
            <w:vAlign w:val="bottom"/>
            <w:gridSpan w:val="3"/>
          </w:tcPr>
          <w:p>
            <w:pPr>
              <w:spacing w:after="0"/>
              <w:rPr>
                <w:sz w:val="20"/>
                <w:szCs w:val="20"/>
                <w:color w:val="auto"/>
              </w:rPr>
            </w:pPr>
            <w:r>
              <w:rPr>
                <w:rFonts w:ascii="Arial" w:cs="Arial" w:eastAsia="Arial" w:hAnsi="Arial"/>
                <w:sz w:val="14"/>
                <w:szCs w:val="14"/>
                <w:b w:val="1"/>
                <w:bCs w:val="1"/>
                <w:color w:val="auto"/>
              </w:rPr>
              <w:t>Title of Class</w:t>
            </w: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Authorized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Account</w:t>
            </w:r>
          </w:p>
        </w:tc>
        <w:tc>
          <w:tcPr>
            <w:tcW w:w="56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par value $0.001 per share</w:t>
            </w:r>
          </w:p>
        </w:tc>
        <w:tc>
          <w:tcPr>
            <w:tcW w:w="14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7"/>
              </w:rPr>
              <w:t>100,000,000</w:t>
            </w:r>
          </w:p>
        </w:tc>
        <w:tc>
          <w:tcPr>
            <w:tcW w:w="9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77"/>
              </w:rPr>
              <w:t>—</w:t>
            </w:r>
          </w:p>
        </w:tc>
        <w:tc>
          <w:tcPr>
            <w:tcW w:w="13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6"/>
              </w:rPr>
              <w:t>21,068,772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benefits of these provisions outweigh the potential disadvantages of discouraging any such acquisition proposals because, among other things, the negotiation of such proposals may improve their terms.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The terms of the first, second and third classes will expire in 2011, 2012, and 2010, respectively, and in each case, those directors will serve until their successors are duly elected and qualify. Beginning in 2008, upon expiration of their current terms, directors of each class have been or are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5"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bylaws contain a provision exempting from the Control Share Acquisition Act any and all acquisitions by any person of our shares of stock. There can be no assurance that such provision will not be amended or eliminated at any time in the future. However, we will amend our bylaws to be subject to the Control Share Acquisition Act only if the board of directors determines that it would be in our best interests based on our determination that our being subject to the Control Share Acquisition Act does not conflict with the 1940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357" w:lineRule="auto"/>
        <w:rPr>
          <w:sz w:val="20"/>
          <w:szCs w:val="20"/>
          <w:color w:val="auto"/>
        </w:rPr>
      </w:pPr>
      <w:r>
        <w:rPr>
          <w:rFonts w:ascii="Arial" w:cs="Arial" w:eastAsia="Arial" w:hAnsi="Arial"/>
          <w:sz w:val="15"/>
          <w:szCs w:val="15"/>
          <w:color w:val="auto"/>
        </w:rPr>
        <w:t>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40" w:hanging="325"/>
        <w:spacing w:after="0" w:line="33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business development company.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or ARPS, will be weekly or monthly and subject to extension. With respect to ARPS, we expect the dividend rate to be variable and determined for each dividend period.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59"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20"/>
          </w:cols>
          <w:pgMar w:left="240" w:top="459" w:right="3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of directors approves such issuance on the basis that the issuance is in our best interests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60"/>
          </w:cols>
          <w:pgMar w:left="240" w:top="459" w:right="2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13" w:lineRule="exact"/>
        <w:rPr>
          <w:rFonts w:ascii="Arial" w:cs="Arial" w:eastAsia="Arial" w:hAnsi="Arial"/>
          <w:sz w:val="16"/>
          <w:szCs w:val="16"/>
          <w:color w:val="auto"/>
        </w:rPr>
      </w:pPr>
    </w:p>
    <w:p>
      <w:pPr>
        <w:ind w:left="900" w:right="44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shall expire (subject to any extension);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“Description of our Debt Securities—Events of Default.” Second, the trustee performs certain administrative duties for us, such as sending interest and principal payments to holders.</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 See “Description of our Debt Securities—Additional Information” for information on how to obtain a copy of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13"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90" w:lineRule="exact"/>
        <w:rPr>
          <w:rFonts w:ascii="Arial" w:cs="Arial" w:eastAsia="Arial" w:hAnsi="Arial"/>
          <w:sz w:val="18"/>
          <w:szCs w:val="18"/>
          <w:color w:val="auto"/>
        </w:rPr>
      </w:pPr>
    </w:p>
    <w:p>
      <w:pPr>
        <w:jc w:val="both"/>
        <w:ind w:left="900" w:right="40" w:hanging="325"/>
        <w:spacing w:after="0" w:line="259"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13" w:lineRule="exact"/>
        <w:rPr>
          <w:rFonts w:ascii="Arial" w:cs="Arial" w:eastAsia="Arial" w:hAnsi="Arial"/>
          <w:sz w:val="16"/>
          <w:szCs w:val="16"/>
          <w:color w:val="auto"/>
        </w:rPr>
      </w:pPr>
    </w:p>
    <w:p>
      <w:pPr>
        <w:ind w:left="900" w:right="160" w:hanging="325"/>
        <w:spacing w:after="0" w:line="33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debt securities may be secured or unsecured obligations. Under the provisions of the 1940 Act, we are permitted, as a business development company, to issue debt only in amounts such that our asset coverage, as defined in the 1940 Act, equals at least 200% after each issuance of debt. Unless the prospectus supplement states otherwise, principal (and premium, if any) and interest, if any, will be paid by us in immediately available funds.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9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60"/>
          </w:cols>
          <w:pgMar w:left="240" w:top="459" w:right="2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4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58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5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59"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25"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50" w:lineRule="exact"/>
        <w:rPr>
          <w:rFonts w:ascii="Arial" w:cs="Arial" w:eastAsia="Arial" w:hAnsi="Arial"/>
          <w:sz w:val="18"/>
          <w:szCs w:val="18"/>
          <w:color w:val="auto"/>
        </w:rPr>
      </w:pPr>
    </w:p>
    <w:p>
      <w:pPr>
        <w:ind w:left="900" w:right="340" w:hanging="325"/>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60"/>
          </w:cols>
          <w:pgMar w:left="240" w:top="459"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33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w:t>
      </w:r>
    </w:p>
    <w:p>
      <w:pPr>
        <w:spacing w:after="0" w:line="4" w:lineRule="exact"/>
        <w:rPr>
          <w:rFonts w:ascii="Arial" w:cs="Arial" w:eastAsia="Arial" w:hAnsi="Arial"/>
          <w:sz w:val="16"/>
          <w:szCs w:val="16"/>
          <w:color w:val="auto"/>
        </w:rPr>
      </w:pPr>
    </w:p>
    <w:p>
      <w:pPr>
        <w:ind w:left="900" w:right="120" w:hanging="325"/>
        <w:spacing w:after="0" w:line="306"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Securities—Holders of Registered Debt Securities”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900" w:right="18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within five days of its due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do not deposit any sinking fund payment in respect of debt securities of the series on its due date and we do not cure this default within five days.</w:t>
      </w:r>
    </w:p>
    <w:p>
      <w:pPr>
        <w:spacing w:after="0" w:line="113" w:lineRule="exact"/>
        <w:rPr>
          <w:rFonts w:ascii="Arial" w:cs="Arial" w:eastAsia="Arial" w:hAnsi="Arial"/>
          <w:sz w:val="16"/>
          <w:szCs w:val="16"/>
          <w:color w:val="auto"/>
        </w:rPr>
      </w:pPr>
    </w:p>
    <w:p>
      <w:pPr>
        <w:ind w:left="900" w:right="180" w:hanging="325"/>
        <w:spacing w:after="0" w:line="332"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66.66%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1"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9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1" w:lineRule="exact"/>
        <w:rPr>
          <w:sz w:val="20"/>
          <w:szCs w:val="20"/>
          <w:color w:val="auto"/>
        </w:rPr>
      </w:pPr>
    </w:p>
    <w:p>
      <w:pPr>
        <w:ind w:left="900" w:right="160" w:hanging="325"/>
        <w:spacing w:after="0" w:line="294"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any country comprising the European Union, the United Kingdom or Japan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34" w:lineRule="exact"/>
        <w:rPr>
          <w:rFonts w:ascii="Arial" w:cs="Arial" w:eastAsia="Arial" w:hAnsi="Arial"/>
          <w:sz w:val="16"/>
          <w:szCs w:val="16"/>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13"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any time after a change of control has occurred, reduce the premium payable upon a change of control;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90"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w:t>
      </w:r>
    </w:p>
    <w:p>
      <w:pPr>
        <w:spacing w:after="0" w:line="113" w:lineRule="exact"/>
        <w:rPr>
          <w:rFonts w:ascii="Arial" w:cs="Arial" w:eastAsia="Arial" w:hAnsi="Arial"/>
          <w:sz w:val="16"/>
          <w:szCs w:val="16"/>
          <w:color w:val="auto"/>
        </w:rPr>
      </w:pPr>
    </w:p>
    <w:p>
      <w:pPr>
        <w:ind w:left="900" w:right="300" w:hanging="325"/>
        <w:spacing w:after="0" w:line="33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Securities—Changes Requiring Your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hanging="325"/>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37"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00"/>
          </w:cols>
          <w:pgMar w:left="240" w:top="459" w:right="3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ind w:left="900" w:right="100" w:hanging="325"/>
        <w:spacing w:after="0" w:line="259"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covenant defeasance have been complied with.</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ind w:left="900" w:right="100" w:hanging="325"/>
        <w:spacing w:after="0" w:line="259"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right="40" w:hanging="325"/>
        <w:spacing w:after="0" w:line="318" w:lineRule="auto"/>
        <w:tabs>
          <w:tab w:leader="none" w:pos="9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80" w:hanging="325"/>
        <w:spacing w:after="0" w:line="259"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defeasance have been complied with.</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90"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60"/>
          </w:cols>
          <w:pgMar w:left="240" w:top="459" w:right="2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360" w:hanging="325"/>
        <w:spacing w:after="0" w:line="256"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Bank of New York Mellon to serve as the trustee under the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are a business development company under the 1940 Act and intend to elect to be treated as a RIC under Subchapter M of the Code. The 1940 Act contains prohibitions and restrictions relating to transactions between business development companies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business development company unless approved by a majority of our outstanding voting securities.</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Our intention is to not write (sell) or buy put or call options to manage risks associated with the publicly traded securities of our portfolio companies, except that we may enter into hedging transactions to manage the risks associated with interest rate fluctuations. However,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 of the voting stock of any registered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None of these policies is fundamental and may be changed without stockholder approval.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proposed business are the following:</w:t>
      </w:r>
    </w:p>
    <w:p>
      <w:pPr>
        <w:spacing w:after="0" w:line="59" w:lineRule="exact"/>
        <w:rPr>
          <w:sz w:val="20"/>
          <w:szCs w:val="20"/>
          <w:color w:val="auto"/>
        </w:rPr>
      </w:pPr>
    </w:p>
    <w:p>
      <w:pPr>
        <w:ind w:left="460" w:right="220" w:firstLine="443"/>
        <w:spacing w:after="0" w:line="284" w:lineRule="auto"/>
        <w:tabs>
          <w:tab w:leader="none" w:pos="1147" w:val="left"/>
        </w:tabs>
        <w:numPr>
          <w:ilvl w:val="0"/>
          <w:numId w:val="72"/>
        </w:numPr>
        <w:rPr>
          <w:rFonts w:ascii="Arial" w:cs="Arial" w:eastAsia="Arial" w:hAnsi="Arial"/>
          <w:sz w:val="16"/>
          <w:szCs w:val="16"/>
          <w:color w:val="auto"/>
        </w:rPr>
      </w:pPr>
      <w:r>
        <w:rPr>
          <w:rFonts w:ascii="Arial" w:cs="Arial" w:eastAsia="Arial" w:hAnsi="Arial"/>
          <w:sz w:val="16"/>
          <w:szCs w:val="16"/>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1940 Act to include any issuer which:</w:t>
      </w:r>
    </w:p>
    <w:p>
      <w:pPr>
        <w:spacing w:after="0" w:line="83" w:lineRule="exact"/>
        <w:rPr>
          <w:rFonts w:ascii="Arial" w:cs="Arial" w:eastAsia="Arial" w:hAnsi="Arial"/>
          <w:sz w:val="16"/>
          <w:szCs w:val="16"/>
          <w:color w:val="auto"/>
        </w:rPr>
      </w:pPr>
    </w:p>
    <w:p>
      <w:pPr>
        <w:ind w:left="1580" w:hanging="239"/>
        <w:spacing w:after="0"/>
        <w:tabs>
          <w:tab w:leader="none" w:pos="15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920" w:right="60" w:firstLine="421"/>
        <w:spacing w:after="0" w:line="357" w:lineRule="auto"/>
        <w:tabs>
          <w:tab w:leader="none" w:pos="1588" w:val="left"/>
        </w:tabs>
        <w:numPr>
          <w:ilvl w:val="1"/>
          <w:numId w:val="72"/>
        </w:numPr>
        <w:rPr>
          <w:rFonts w:ascii="Arial" w:cs="Arial" w:eastAsia="Arial" w:hAnsi="Arial"/>
          <w:sz w:val="15"/>
          <w:szCs w:val="15"/>
          <w:color w:val="auto"/>
        </w:rPr>
      </w:pPr>
      <w:r>
        <w:rPr>
          <w:rFonts w:ascii="Arial" w:cs="Arial" w:eastAsia="Arial" w:hAnsi="Arial"/>
          <w:sz w:val="15"/>
          <w:szCs w:val="15"/>
          <w:color w:val="auto"/>
        </w:rPr>
        <w:t>is not an investment company (other than a small business investment company wholly owned by the business development company) or a company that would be an investment company but is excluded from the definition of an investment company by Section 3(c) of the 1940 Act; and</w:t>
      </w:r>
    </w:p>
    <w:p>
      <w:pPr>
        <w:jc w:val="both"/>
        <w:ind w:left="920" w:right="440" w:firstLine="421"/>
        <w:spacing w:after="0" w:line="259" w:lineRule="auto"/>
        <w:tabs>
          <w:tab w:leader="none" w:pos="1579" w:val="left"/>
        </w:tabs>
        <w:numPr>
          <w:ilvl w:val="1"/>
          <w:numId w:val="72"/>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has any class of Securities listed on a national securities exchange subject to a market capitalization maximum; or is controlled by the Company which has an affiliated person who is a director of such portfolio company.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jc w:val="both"/>
        <w:ind w:left="460" w:right="140" w:firstLine="443"/>
        <w:spacing w:after="0" w:line="306" w:lineRule="auto"/>
        <w:tabs>
          <w:tab w:leader="none" w:pos="1147" w:val="left"/>
        </w:tabs>
        <w:numPr>
          <w:ilvl w:val="0"/>
          <w:numId w:val="72"/>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firstLine="443"/>
        <w:spacing w:after="0" w:line="268" w:lineRule="auto"/>
        <w:tabs>
          <w:tab w:leader="none" w:pos="1147"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a business development company must have been organized and have its principal place of business in the United States and must be operated for the purpose of making investments in the types of securities described in (1), (2) or (3) above.</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2008, the definition of eligible portfolio company was expanded to include any domestic operating company that has a class of securities listed on a national securities exchange, so long as it has a market capitalization of less than $250 million. For this purpose, market capitalization is calculated using the price at which the portfolio company’s common equity is last sold, or the average of the bid and ask prices of the portfolio company’s common equity, in the principal market for such common equity on any day in the 60-day period immediately before the acquisition of its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order to count portfolio securities as qualifying assets for the purpose of the 70% test, the business development company must either control the issuer of the securities or must offer to make available to the issuer of the securities (other than small and solvent companies described above) significant managerial assistance; except that, where the business development company purchases such securities in conjunction with one or more other persons acting together, one of the other persons in the group may make available such managerial assistance. Making available managerial assistance means, among other things, any arrangement whereby the business development company, through its directors, officers or employees, offers to provide, and, if accepted, does so provide, significant guidance and counsel concerning the management, operations or business objectives and policies of a portfolio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business development company will affect our ability to, and the way in which we, raise additional capital.”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and PennantPark Investment Advisers have each adopted a code of ethics pursuant to Rule 17j-1 under the 1940 Act that establishes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You may read and copy the code of ethics at the SEC’s Public Reference Room in Washington, D.C. You may obtain information on the operation of the Public Reference Room by calling the SEC at (202) 551-8090. In addition, the code of ethics is attached as an exhibit to the registration statement of which this prospectus is a part, and is available on the EDGAR Database on the SEC’s Internet site at http://www.sec.gov. You may also obtain copies of the code of ethics, after paying a duplicating fee, by electronic request at the following Email address: publicinfo@sec.gov, or by writing the SEC’s Public Reference Section, 100 F Street, N.E., Washington, D.C. 20549.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Aviv Efrat, Chief Financial Officer and Treasurer,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will maintain physical, electronic and procedural safeguards designed to protect the non-public personal information of our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directors who are not interested persons and, in some cases, prior approval by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We are required to provide and maintain a bond issued by a reputable fidelity insurance company to protect us against larceny and embezzlement. Furthermore, as a business development company, we are prohibited from protecting any director or officer against any liability to PennantPark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We and PennantPark Investment Advisers are each be required to adopt and implement written policies and procedures reasonably designed to prevent violation of the federal securities laws, review these policies and procedures annually for their adequacy and the effectiveness of their implementation, and to designate a chief compliance officer to be responsible for administering the policies and procedures.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Sarbanes-Oxley Act of 2002 imposes a wide variety of new regulatory requirements on publicly held companies and their insiders. Many of these requirements affect us. For example:</w:t>
      </w:r>
    </w:p>
    <w:p>
      <w:pPr>
        <w:spacing w:after="0" w:line="51" w:lineRule="exact"/>
        <w:rPr>
          <w:sz w:val="20"/>
          <w:szCs w:val="20"/>
          <w:color w:val="auto"/>
        </w:rPr>
      </w:pPr>
    </w:p>
    <w:p>
      <w:pPr>
        <w:ind w:left="900" w:right="340" w:hanging="325"/>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60"/>
          </w:cols>
          <w:pgMar w:left="240" w:top="459" w:right="2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325"/>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 over financial reporting, which must be audited by our independent registered public accounting firm; and</w:t>
      </w:r>
    </w:p>
    <w:p>
      <w:pPr>
        <w:spacing w:after="0" w:line="5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 under. We will continue to monitor our compliance with all regulations that are adopted under the Sarbanes-Oxley Act and will take actions necessary to ensure that we are in compliance with that act.</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80"/>
          </w:cols>
          <w:pgMar w:left="240" w:top="459" w:right="3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shares. This summary does not purport to be a complete description of the income tax considerations applicable to such an investment.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“Non-U.S. stockholder” is a beneficial owner of shares of our common stock that is not a U.S. stockholder.</w:t>
      </w:r>
    </w:p>
    <w:p>
      <w:pPr>
        <w:spacing w:after="0" w:line="171"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elected to be treated, and intend to qualify annually, as a RIC under Subchapter M of the Code. For a short period ending April 30, 2007, we were not a RIC and were subject to corporate-level income tax. To maintain RIC tax benefits, we must, among other requirements, meet certain source-of-income and asset diversification requirements (as described below). We also must distribute at least 90% of our ordinary income and realized net short-term capital gains in excess of realized net long-term capital losses, if any, out of the assets legally available for distribution. In order to avoid certain excise taxes imposed on RICs, we currently intend to distribute during each calendar year an amount at least equal to the sum of (1) 98% of our ordinary income for the calendar year, (2) 98%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(i.e., net long-term capital gains in excess of short-term capital losses), if any, at least annually, out of the assets legally available for such distributions, we may in the future decide to retain such capital gains for investment.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qualify to be treated as a business development company under the 1940 Act at all times during each taxable year;</w:t>
      </w:r>
    </w:p>
    <w:p>
      <w:pPr>
        <w:spacing w:after="0" w:line="9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9" w:lineRule="exact"/>
        <w:rPr>
          <w:rFonts w:ascii="Arial" w:cs="Arial" w:eastAsia="Arial" w:hAnsi="Arial"/>
          <w:sz w:val="18"/>
          <w:szCs w:val="18"/>
          <w:color w:val="auto"/>
        </w:rPr>
      </w:pPr>
    </w:p>
    <w:p>
      <w:pPr>
        <w:ind w:left="900" w:right="300" w:hanging="325"/>
        <w:spacing w:after="0" w:line="306"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82" w:lineRule="exact"/>
        <w:rPr>
          <w:sz w:val="20"/>
          <w:szCs w:val="20"/>
          <w:color w:val="auto"/>
        </w:rPr>
      </w:pPr>
    </w:p>
    <w:p>
      <w:pPr>
        <w:jc w:val="center"/>
        <w:ind w:right="10060"/>
        <w:spacing w:after="0"/>
        <w:rPr>
          <w:sz w:val="20"/>
          <w:szCs w:val="20"/>
          <w:color w:val="auto"/>
        </w:rPr>
      </w:pPr>
      <w:r>
        <w:rPr>
          <w:rFonts w:ascii="Arial" w:cs="Arial" w:eastAsia="Arial" w:hAnsi="Arial"/>
          <w:sz w:val="16"/>
          <w:szCs w:val="16"/>
          <w:b w:val="1"/>
          <w:bCs w:val="1"/>
          <w:color w:val="auto"/>
        </w:rPr>
        <w:t>Taxation as a RIC</w:t>
      </w:r>
    </w:p>
    <w:p>
      <w:pPr>
        <w:spacing w:after="0" w:line="119" w:lineRule="exact"/>
        <w:rPr>
          <w:sz w:val="20"/>
          <w:szCs w:val="20"/>
          <w:color w:val="auto"/>
        </w:rPr>
      </w:pPr>
    </w:p>
    <w:p>
      <w:pPr>
        <w:jc w:val="center"/>
        <w:ind w:right="10080"/>
        <w:spacing w:after="0"/>
        <w:rPr>
          <w:sz w:val="20"/>
          <w:szCs w:val="20"/>
          <w:color w:val="auto"/>
        </w:rPr>
      </w:pPr>
      <w:r>
        <w:rPr>
          <w:rFonts w:ascii="Arial" w:cs="Arial" w:eastAsia="Arial" w:hAnsi="Arial"/>
          <w:sz w:val="18"/>
          <w:szCs w:val="18"/>
          <w:color w:val="auto"/>
        </w:rPr>
        <w:t>If we:</w:t>
      </w:r>
    </w:p>
    <w:p>
      <w:pPr>
        <w:spacing w:after="0" w:line="90"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qualify as a RIC;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satisfy the Annual Distribution Requirement;</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will be subject to a 4% nondeductible federal excise tax on certain undistributed income of RICs unless we distribute in a timely manner an amount at least equal to the sum of (1) 98% of our ordinary income for each calendar year, (2) 98% of our capital gain net income for the one-year period ending October 31 in that calendar year and (3) any income realized, but not distributed or taxed, in preceding years (the “Excise Tax Avoidance Requirement”). We currently intend to make sufficient distributions each taxable year to satisfy the Excise Tax Avoidance Requirement.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2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See “Regulation—Senior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corporate distributees would be eligible for the distributions received deduction. Distributions in excess of our current and accumulated earnings and profits would be treated first as a return of capital to the extent of the stockholder’s tax basis, and any remaining distributions would be treated as a capital gain.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Distributions by us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maximum tax rate of 15%, if certain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holding period requirements are satisfied. In this regard, it is anticipated that distributions paid by us will generally not be attributable to dividends and, therefore, generally will not qualify for the 15%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maximum rate of 15%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general, individual U.S. stockholders currently are subject to a maximum federal income tax rate of 15%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may be required to withhold federal income tax (“backup withholding”) currently at a rate of 28% from all taxable distributions to any non-corporate U.S. stockholder (1) who fails to furnish us with a correct taxpayer identification number or a certificate that such stockholder is exempt from backup withholding, or (2) with respect to whom the IRS notifies us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which generally would be free of withholding if paid to Non-U.S. stockholders directly) are expected, except as provided below, to be subject to withholding of federal tax at a 30% rate (or lower rate provided by an applicable treaty) to the extent of our current and accumulated earnings and profits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In that case, we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Actual or deemed distributions of our net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60"/>
          </w:cols>
          <w:pgMar w:left="240" w:top="459" w:right="2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offering price of the securities and the proceeds to us and any discounts, commissions or concessions allowed or reallowed or paid to dealers; and</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of 1933,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40"/>
          </w:cols>
          <w:pgMar w:left="240" w:top="459" w:right="3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CUSTODIAN, TRANSFER AGENT AND TRUSTEE</w:t>
      </w:r>
    </w:p>
    <w:p>
      <w:pPr>
        <w:spacing w:after="0" w:line="1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PNC Global Investment Servicing, a subsidiary of The PNC Financial Services Group, Inc., provides administrative and accounting services to us under a sub-administration and accounting services agreement. PFPC Trust Company, a subsidiary of The PNC Financial Services Group, Inc., provides custodian services to us pursuant to a custodian services agreement. American Stock Transfer &amp; Trust Company acts as our transfer agent, distribution paying agent and registrar. The principal business address of American Stock Transfer &amp; Trust Company is P.O. Box 922, Wall Street Station, New York, New York 10269, telephone number: (800) 937-5449. Bank of New York Mellon may also serve as trustee for offerings of our debt securities.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Certain legal matters regarding the securities offered by this prospectus will be passed upon for PennantPark by Dechert LLP, Washington, D.C. and by Venable LLP, as special Maryland counsel.</w:t>
      </w:r>
    </w:p>
    <w:p>
      <w:pPr>
        <w:spacing w:after="0" w:line="28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KPMG LLP, our independent registered public accounting firm, is located at 345 Park Avenue, New York, New York 10154.</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With respect to the unaudited interim financial information as of June 30, 2009, and for the nine-month period then ended, included herein, KPMG LLP has reported that they applied limited procedures in accordance with professional standards for a review of such information. However, their separate report included herein states that they did not audit and they do not express an opinion on that interim financial information. Accordingly, the degree of reliance on their report on such information should be restricted in light of the limited nature of the review procedures applied. The accountants are not subject to the liability provisions of Section 11 of the Securities Act of 1933 for their report on the unaudited interim financial information because that report is not a “report” or a “part” of the registration statement prepared or certified by the accountants within the meaning of Sections 7 and 11 of the Securities Act of 1933.</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PRIVACY PRINCIPLES</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are committed to maintaining the privacy of securityholders and to safeguarding our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securityholders, although certain nonpublic personal information of our stockholders may become available to us. We do not disclose any nonpublic personal information about our securityholders or former securityholders to anyone, except as permitted by law or as is necessary in order to service securityholders accounts (for example, to a transfer agent or third party administrator).</w:t>
      </w:r>
    </w:p>
    <w:p>
      <w:pPr>
        <w:spacing w:after="0" w:line="10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restrict access to nonpublic personal information about our securityholders to our Investment Adviser’s employees with a legitimate business need for the information. We maintain physical, electronic and procedural safeguards designed to protect the nonpublic personal information of our securityholders.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020" w:type="dxa"/>
            <w:vAlign w:val="bottom"/>
            <w:gridSpan w:val="9"/>
          </w:tcPr>
          <w:p>
            <w:pPr>
              <w:jc w:val="center"/>
              <w:ind w:right="820"/>
              <w:spacing w:after="0"/>
              <w:rPr>
                <w:sz w:val="20"/>
                <w:szCs w:val="20"/>
                <w:color w:val="auto"/>
              </w:rPr>
            </w:pPr>
            <w:r>
              <w:rPr>
                <w:rFonts w:ascii="Arial" w:cs="Arial" w:eastAsia="Arial" w:hAnsi="Arial"/>
                <w:sz w:val="18"/>
                <w:szCs w:val="18"/>
                <w:b w:val="1"/>
                <w:bCs w:val="1"/>
                <w:color w:val="auto"/>
                <w:w w:val="99"/>
              </w:rPr>
              <w:t>INDEX TO FINANCIAL STATEMENTS</w:t>
            </w: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8140" w:type="dxa"/>
            <w:vAlign w:val="bottom"/>
            <w:gridSpan w:val="15"/>
          </w:tcPr>
          <w:p>
            <w:pPr>
              <w:spacing w:after="0"/>
              <w:rPr>
                <w:sz w:val="20"/>
                <w:szCs w:val="20"/>
                <w:color w:val="auto"/>
              </w:rPr>
            </w:pPr>
            <w:r>
              <w:rPr>
                <w:rFonts w:ascii="Arial" w:cs="Arial" w:eastAsia="Arial" w:hAnsi="Arial"/>
                <w:sz w:val="18"/>
                <w:szCs w:val="18"/>
                <w:b w:val="1"/>
                <w:bCs w:val="1"/>
                <w:color w:val="auto"/>
              </w:rPr>
              <w:t>PennantPark Investment Corporation</w:t>
            </w: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40" w:type="dxa"/>
            <w:vAlign w:val="bottom"/>
            <w:gridSpan w:val="15"/>
          </w:tcPr>
          <w:p>
            <w:pPr>
              <w:spacing w:after="0"/>
              <w:rPr>
                <w:sz w:val="20"/>
                <w:szCs w:val="20"/>
                <w:color w:val="auto"/>
              </w:rPr>
            </w:pPr>
            <w:r>
              <w:rPr>
                <w:rFonts w:ascii="Arial" w:cs="Arial" w:eastAsia="Arial" w:hAnsi="Arial"/>
                <w:sz w:val="18"/>
                <w:szCs w:val="18"/>
                <w:b w:val="1"/>
                <w:bCs w:val="1"/>
                <w:color w:val="auto"/>
              </w:rPr>
              <w:t>Annual Financial Statements</w:t>
            </w: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7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31">
              <w:r>
                <w:rPr>
                  <w:rFonts w:ascii="Arial" w:cs="Arial" w:eastAsia="Arial" w:hAnsi="Arial"/>
                  <w:sz w:val="18"/>
                  <w:szCs w:val="18"/>
                  <w:color w:val="0000EE"/>
                  <w:w w:val="89"/>
                </w:rPr>
                <w:t>Management’s Report on Internal Control over Financial Reporting</w:t>
              </w:r>
            </w:hyperlink>
          </w:p>
        </w:tc>
        <w:tc>
          <w:tcPr>
            <w:tcW w:w="3380" w:type="dxa"/>
            <w:vAlign w:val="bottom"/>
            <w:gridSpan w:val="7"/>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304"/>
        </w:trPr>
        <w:tc>
          <w:tcPr>
            <w:tcW w:w="42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32">
              <w:r>
                <w:rPr>
                  <w:rFonts w:ascii="Arial" w:cs="Arial" w:eastAsia="Arial" w:hAnsi="Arial"/>
                  <w:sz w:val="18"/>
                  <w:szCs w:val="18"/>
                  <w:color w:val="0000EE"/>
                  <w:w w:val="89"/>
                </w:rPr>
                <w:t>Reports of Independent Registered Public Accounting Firm</w:t>
              </w:r>
            </w:hyperlink>
          </w:p>
        </w:tc>
        <w:tc>
          <w:tcPr>
            <w:tcW w:w="3940" w:type="dxa"/>
            <w:vAlign w:val="bottom"/>
            <w:gridSpan w:val="8"/>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304"/>
        </w:trPr>
        <w:tc>
          <w:tcPr>
            <w:tcW w:w="582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134">
              <w:r>
                <w:rPr>
                  <w:rFonts w:ascii="Arial" w:cs="Arial" w:eastAsia="Arial" w:hAnsi="Arial"/>
                  <w:sz w:val="18"/>
                  <w:szCs w:val="18"/>
                  <w:color w:val="0000EE"/>
                  <w:w w:val="87"/>
                </w:rPr>
                <w:t>Consolidated Statements of Assets and Liabilities at September 30, 2008 and 2007</w:t>
              </w:r>
            </w:hyperlink>
          </w:p>
        </w:tc>
        <w:tc>
          <w:tcPr>
            <w:tcW w:w="2320" w:type="dxa"/>
            <w:vAlign w:val="bottom"/>
            <w:gridSpan w:val="5"/>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04"/>
        </w:trPr>
        <w:tc>
          <w:tcPr>
            <w:tcW w:w="11420" w:type="dxa"/>
            <w:vAlign w:val="bottom"/>
            <w:gridSpan w:val="19"/>
          </w:tcPr>
          <w:p>
            <w:pPr>
              <w:spacing w:after="0"/>
              <w:rPr>
                <w:rFonts w:ascii="Arial" w:cs="Arial" w:eastAsia="Arial" w:hAnsi="Arial"/>
                <w:sz w:val="18"/>
                <w:szCs w:val="18"/>
                <w:color w:val="0000EE"/>
                <w:w w:val="93"/>
              </w:rPr>
            </w:pPr>
            <w:hyperlink w:anchor="page135">
              <w:r>
                <w:rPr>
                  <w:rFonts w:ascii="Arial" w:cs="Arial" w:eastAsia="Arial" w:hAnsi="Arial"/>
                  <w:sz w:val="18"/>
                  <w:szCs w:val="18"/>
                  <w:color w:val="0000EE"/>
                  <w:w w:val="93"/>
                </w:rPr>
                <w:t>Consolidated Statements of Operations for the year ended September 30, 2008 and the period from January 11, 2007 (inception) through September 30,</w:t>
              </w:r>
            </w:hyperlink>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gridSpan w:val="2"/>
          </w:tcPr>
          <w:p>
            <w:pPr>
              <w:ind w:left="220"/>
              <w:spacing w:after="0" w:line="196" w:lineRule="exact"/>
              <w:rPr>
                <w:rFonts w:ascii="Arial" w:cs="Arial" w:eastAsia="Arial" w:hAnsi="Arial"/>
                <w:sz w:val="18"/>
                <w:szCs w:val="18"/>
                <w:color w:val="0000EE"/>
                <w:w w:val="84"/>
              </w:rPr>
            </w:pPr>
            <w:hyperlink w:anchor="page135">
              <w:r>
                <w:rPr>
                  <w:rFonts w:ascii="Arial" w:cs="Arial" w:eastAsia="Arial" w:hAnsi="Arial"/>
                  <w:sz w:val="18"/>
                  <w:szCs w:val="18"/>
                  <w:color w:val="0000EE"/>
                  <w:w w:val="84"/>
                </w:rPr>
                <w:t>2007</w:t>
              </w:r>
            </w:hyperlink>
          </w:p>
        </w:tc>
        <w:tc>
          <w:tcPr>
            <w:tcW w:w="10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67"/>
        </w:trPr>
        <w:tc>
          <w:tcPr>
            <w:tcW w:w="220" w:type="dxa"/>
            <w:vAlign w:val="bottom"/>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8140" w:type="dxa"/>
            <w:vAlign w:val="bottom"/>
            <w:gridSpan w:val="15"/>
          </w:tcPr>
          <w:p>
            <w:pPr>
              <w:spacing w:after="0"/>
              <w:rPr>
                <w:rFonts w:ascii="Arial" w:cs="Arial" w:eastAsia="Arial" w:hAnsi="Arial"/>
                <w:sz w:val="18"/>
                <w:szCs w:val="18"/>
                <w:color w:val="0000EE"/>
                <w:w w:val="87"/>
              </w:rPr>
            </w:pPr>
            <w:hyperlink w:anchor="page136">
              <w:r>
                <w:rPr>
                  <w:rFonts w:ascii="Arial" w:cs="Arial" w:eastAsia="Arial" w:hAnsi="Arial"/>
                  <w:sz w:val="18"/>
                  <w:szCs w:val="18"/>
                  <w:color w:val="0000EE"/>
                  <w:w w:val="87"/>
                </w:rPr>
                <w:t>Consolidated Statements of Changes in Net Assets for year ended September 30, 2008 and the period from January</w:t>
              </w:r>
            </w:hyperlink>
          </w:p>
        </w:tc>
        <w:tc>
          <w:tcPr>
            <w:tcW w:w="3280" w:type="dxa"/>
            <w:vAlign w:val="bottom"/>
            <w:gridSpan w:val="4"/>
          </w:tcPr>
          <w:p>
            <w:pPr>
              <w:jc w:val="right"/>
              <w:ind w:right="1132"/>
              <w:spacing w:after="0"/>
              <w:rPr>
                <w:rFonts w:ascii="Arial" w:cs="Arial" w:eastAsia="Arial" w:hAnsi="Arial"/>
                <w:sz w:val="18"/>
                <w:szCs w:val="18"/>
                <w:color w:val="0000EE"/>
                <w:w w:val="90"/>
              </w:rPr>
            </w:pPr>
            <w:hyperlink w:anchor="page136">
              <w:r>
                <w:rPr>
                  <w:rFonts w:ascii="Arial" w:cs="Arial" w:eastAsia="Arial" w:hAnsi="Arial"/>
                  <w:sz w:val="18"/>
                  <w:szCs w:val="18"/>
                  <w:color w:val="0000EE"/>
                  <w:w w:val="90"/>
                </w:rPr>
                <w:t>11, 2007 (inception) through</w:t>
              </w:r>
            </w:hyperlink>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79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September 30, 2007</w:t>
              </w:r>
            </w:hyperlink>
          </w:p>
        </w:tc>
        <w:tc>
          <w:tcPr>
            <w:tcW w:w="20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67"/>
        </w:trPr>
        <w:tc>
          <w:tcPr>
            <w:tcW w:w="220" w:type="dxa"/>
            <w:vAlign w:val="bottom"/>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1060" w:type="dxa"/>
            <w:vAlign w:val="bottom"/>
            <w:tcBorders>
              <w:top w:val="single" w:sz="8" w:color="0000EE"/>
            </w:tcBorders>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11420" w:type="dxa"/>
            <w:vAlign w:val="bottom"/>
            <w:gridSpan w:val="19"/>
          </w:tcPr>
          <w:p>
            <w:pPr>
              <w:spacing w:after="0"/>
              <w:rPr>
                <w:rFonts w:ascii="Arial" w:cs="Arial" w:eastAsia="Arial" w:hAnsi="Arial"/>
                <w:sz w:val="18"/>
                <w:szCs w:val="18"/>
                <w:color w:val="0000EE"/>
                <w:w w:val="95"/>
              </w:rPr>
            </w:pPr>
            <w:hyperlink w:anchor="page137">
              <w:r>
                <w:rPr>
                  <w:rFonts w:ascii="Arial" w:cs="Arial" w:eastAsia="Arial" w:hAnsi="Arial"/>
                  <w:sz w:val="18"/>
                  <w:szCs w:val="18"/>
                  <w:color w:val="0000EE"/>
                  <w:w w:val="95"/>
                </w:rPr>
                <w:t>Consolidated Statements of Cash Flows for year ended September 30, 2008 and the period from January 11, 2007 (inception) through September 30,</w:t>
              </w:r>
            </w:hyperlink>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gridSpan w:val="2"/>
          </w:tcPr>
          <w:p>
            <w:pPr>
              <w:ind w:left="220"/>
              <w:spacing w:after="0" w:line="196" w:lineRule="exact"/>
              <w:rPr>
                <w:rFonts w:ascii="Arial" w:cs="Arial" w:eastAsia="Arial" w:hAnsi="Arial"/>
                <w:sz w:val="18"/>
                <w:szCs w:val="18"/>
                <w:color w:val="0000EE"/>
                <w:w w:val="84"/>
              </w:rPr>
            </w:pPr>
            <w:hyperlink w:anchor="page137">
              <w:r>
                <w:rPr>
                  <w:rFonts w:ascii="Arial" w:cs="Arial" w:eastAsia="Arial" w:hAnsi="Arial"/>
                  <w:sz w:val="18"/>
                  <w:szCs w:val="18"/>
                  <w:color w:val="0000EE"/>
                  <w:w w:val="84"/>
                </w:rPr>
                <w:t>2007</w:t>
              </w:r>
            </w:hyperlink>
          </w:p>
        </w:tc>
        <w:tc>
          <w:tcPr>
            <w:tcW w:w="10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67"/>
        </w:trPr>
        <w:tc>
          <w:tcPr>
            <w:tcW w:w="220" w:type="dxa"/>
            <w:vAlign w:val="bottom"/>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412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138">
              <w:r>
                <w:rPr>
                  <w:rFonts w:ascii="Arial" w:cs="Arial" w:eastAsia="Arial" w:hAnsi="Arial"/>
                  <w:sz w:val="18"/>
                  <w:szCs w:val="18"/>
                  <w:color w:val="0000EE"/>
                  <w:w w:val="86"/>
                </w:rPr>
                <w:t>Schedules of Investments at September 30, 2008 and 2007</w:t>
              </w:r>
            </w:hyperlink>
          </w:p>
        </w:tc>
        <w:tc>
          <w:tcPr>
            <w:tcW w:w="4020" w:type="dxa"/>
            <w:vAlign w:val="bottom"/>
            <w:gridSpan w:val="9"/>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304"/>
        </w:trPr>
        <w:tc>
          <w:tcPr>
            <w:tcW w:w="212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144">
              <w:r>
                <w:rPr>
                  <w:rFonts w:ascii="Arial" w:cs="Arial" w:eastAsia="Arial" w:hAnsi="Arial"/>
                  <w:sz w:val="18"/>
                  <w:szCs w:val="18"/>
                  <w:color w:val="0000EE"/>
                  <w:w w:val="87"/>
                </w:rPr>
                <w:t>Notes to Financial Statements</w:t>
              </w:r>
            </w:hyperlink>
          </w:p>
        </w:tc>
        <w:tc>
          <w:tcPr>
            <w:tcW w:w="6020" w:type="dxa"/>
            <w:vAlign w:val="bottom"/>
            <w:gridSpan w:val="10"/>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F-15</w:t>
            </w:r>
          </w:p>
        </w:tc>
        <w:tc>
          <w:tcPr>
            <w:tcW w:w="0" w:type="dxa"/>
            <w:vAlign w:val="bottom"/>
          </w:tcPr>
          <w:p>
            <w:pPr>
              <w:spacing w:after="0"/>
              <w:rPr>
                <w:sz w:val="1"/>
                <w:szCs w:val="1"/>
                <w:color w:val="auto"/>
              </w:rPr>
            </w:pPr>
          </w:p>
        </w:tc>
      </w:tr>
      <w:tr>
        <w:trPr>
          <w:trHeight w:val="343"/>
        </w:trPr>
        <w:tc>
          <w:tcPr>
            <w:tcW w:w="8140" w:type="dxa"/>
            <w:vAlign w:val="bottom"/>
            <w:gridSpan w:val="15"/>
          </w:tcPr>
          <w:p>
            <w:pPr>
              <w:spacing w:after="0"/>
              <w:rPr>
                <w:sz w:val="20"/>
                <w:szCs w:val="20"/>
                <w:color w:val="auto"/>
              </w:rPr>
            </w:pPr>
            <w:r>
              <w:rPr>
                <w:rFonts w:ascii="Arial" w:cs="Arial" w:eastAsia="Arial" w:hAnsi="Arial"/>
                <w:sz w:val="18"/>
                <w:szCs w:val="18"/>
                <w:b w:val="1"/>
                <w:bCs w:val="1"/>
                <w:color w:val="auto"/>
              </w:rPr>
              <w:t>Interim Financial Statements</w:t>
            </w: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140" w:type="dxa"/>
            <w:vAlign w:val="bottom"/>
            <w:gridSpan w:val="15"/>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Report of Independent Registered Public Accounting Firm</w:t>
              </w:r>
            </w:hyperlink>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F-25</w:t>
            </w:r>
          </w:p>
        </w:tc>
        <w:tc>
          <w:tcPr>
            <w:tcW w:w="0" w:type="dxa"/>
            <w:vAlign w:val="bottom"/>
          </w:tcPr>
          <w:p>
            <w:pPr>
              <w:spacing w:after="0"/>
              <w:rPr>
                <w:sz w:val="1"/>
                <w:szCs w:val="1"/>
                <w:color w:val="auto"/>
              </w:rPr>
            </w:pPr>
          </w:p>
        </w:tc>
      </w:tr>
      <w:tr>
        <w:trPr>
          <w:trHeight w:val="20"/>
        </w:trPr>
        <w:tc>
          <w:tcPr>
            <w:tcW w:w="2100" w:type="dxa"/>
            <w:vAlign w:val="bottom"/>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140" w:type="dxa"/>
            <w:vAlign w:val="bottom"/>
            <w:gridSpan w:val="15"/>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Statements of Assets and Liabilities at June 30, 2009 (unaudited) and September 30, 2008</w:t>
              </w:r>
            </w:hyperlink>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F-26</w:t>
            </w:r>
          </w:p>
        </w:tc>
        <w:tc>
          <w:tcPr>
            <w:tcW w:w="0" w:type="dxa"/>
            <w:vAlign w:val="bottom"/>
          </w:tcPr>
          <w:p>
            <w:pPr>
              <w:spacing w:after="0"/>
              <w:rPr>
                <w:sz w:val="1"/>
                <w:szCs w:val="1"/>
                <w:color w:val="auto"/>
              </w:rPr>
            </w:pPr>
          </w:p>
        </w:tc>
      </w:tr>
      <w:tr>
        <w:trPr>
          <w:trHeight w:val="20"/>
        </w:trPr>
        <w:tc>
          <w:tcPr>
            <w:tcW w:w="2100" w:type="dxa"/>
            <w:vAlign w:val="bottom"/>
            <w:gridSpan w:val="4"/>
            <w:shd w:val="clear" w:color="auto" w:fill="0000EE"/>
          </w:tcPr>
          <w:p>
            <w:pPr>
              <w:spacing w:after="0" w:line="20" w:lineRule="exact"/>
              <w:rPr>
                <w:sz w:val="1"/>
                <w:szCs w:val="1"/>
                <w:color w:val="auto"/>
              </w:rPr>
            </w:pPr>
          </w:p>
        </w:tc>
        <w:tc>
          <w:tcPr>
            <w:tcW w:w="3500" w:type="dxa"/>
            <w:vAlign w:val="bottom"/>
            <w:gridSpan w:val="5"/>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78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156">
              <w:r>
                <w:rPr>
                  <w:rFonts w:ascii="Arial" w:cs="Arial" w:eastAsia="Arial" w:hAnsi="Arial"/>
                  <w:sz w:val="18"/>
                  <w:szCs w:val="18"/>
                  <w:color w:val="0000EE"/>
                  <w:w w:val="87"/>
                </w:rPr>
                <w:t>Statements of Operations for the three and nine months ended June 30, 2009 (unaudited) and 2008 (unaudited)</w:t>
              </w:r>
            </w:hyperlink>
          </w:p>
        </w:tc>
        <w:tc>
          <w:tcPr>
            <w:tcW w:w="360" w:type="dxa"/>
            <w:vAlign w:val="bottom"/>
            <w:gridSpan w:val="2"/>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304"/>
        </w:trPr>
        <w:tc>
          <w:tcPr>
            <w:tcW w:w="790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157">
              <w:r>
                <w:rPr>
                  <w:rFonts w:ascii="Arial" w:cs="Arial" w:eastAsia="Arial" w:hAnsi="Arial"/>
                  <w:sz w:val="18"/>
                  <w:szCs w:val="18"/>
                  <w:color w:val="0000EE"/>
                  <w:w w:val="87"/>
                </w:rPr>
                <w:t>Statements of Changes in Net Assets for the nine months ended June 30, 2009 (unaudited) and 2008 (unaudited)</w:t>
              </w:r>
            </w:hyperlink>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304"/>
        </w:trPr>
        <w:tc>
          <w:tcPr>
            <w:tcW w:w="714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158">
              <w:r>
                <w:rPr>
                  <w:rFonts w:ascii="Arial" w:cs="Arial" w:eastAsia="Arial" w:hAnsi="Arial"/>
                  <w:sz w:val="18"/>
                  <w:szCs w:val="18"/>
                  <w:color w:val="0000EE"/>
                  <w:w w:val="87"/>
                </w:rPr>
                <w:t>Statements of Cash Flows for the nine months ended June 30, 2009 (unaudited) and 2008 (unaudited)</w:t>
              </w:r>
            </w:hyperlink>
          </w:p>
        </w:tc>
        <w:tc>
          <w:tcPr>
            <w:tcW w:w="1000" w:type="dxa"/>
            <w:vAlign w:val="bottom"/>
            <w:gridSpan w:val="3"/>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F-29</w:t>
            </w:r>
          </w:p>
        </w:tc>
        <w:tc>
          <w:tcPr>
            <w:tcW w:w="0" w:type="dxa"/>
            <w:vAlign w:val="bottom"/>
          </w:tcPr>
          <w:p>
            <w:pPr>
              <w:spacing w:after="0"/>
              <w:rPr>
                <w:sz w:val="1"/>
                <w:szCs w:val="1"/>
                <w:color w:val="auto"/>
              </w:rPr>
            </w:pPr>
          </w:p>
        </w:tc>
      </w:tr>
      <w:tr>
        <w:trPr>
          <w:trHeight w:val="304"/>
        </w:trPr>
        <w:tc>
          <w:tcPr>
            <w:tcW w:w="8140" w:type="dxa"/>
            <w:vAlign w:val="bottom"/>
            <w:gridSpan w:val="15"/>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Schedules of Investments at June 30, 2009 (unaudited) and September 30, 2008</w:t>
              </w:r>
            </w:hyperlink>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F-30</w:t>
            </w:r>
          </w:p>
        </w:tc>
        <w:tc>
          <w:tcPr>
            <w:tcW w:w="0" w:type="dxa"/>
            <w:vAlign w:val="bottom"/>
          </w:tcPr>
          <w:p>
            <w:pPr>
              <w:spacing w:after="0"/>
              <w:rPr>
                <w:sz w:val="1"/>
                <w:szCs w:val="1"/>
                <w:color w:val="auto"/>
              </w:rPr>
            </w:pPr>
          </w:p>
        </w:tc>
      </w:tr>
      <w:tr>
        <w:trPr>
          <w:trHeight w:val="304"/>
        </w:trPr>
        <w:tc>
          <w:tcPr>
            <w:tcW w:w="5600" w:type="dxa"/>
            <w:vAlign w:val="bottom"/>
            <w:tcBorders>
              <w:top w:val="single" w:sz="8" w:color="0000EE"/>
            </w:tcBorders>
            <w:gridSpan w:val="9"/>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Notes to Financial Statements</w:t>
              </w:r>
            </w:hyperlink>
          </w:p>
        </w:tc>
        <w:tc>
          <w:tcPr>
            <w:tcW w:w="2540" w:type="dxa"/>
            <w:vAlign w:val="bottom"/>
            <w:gridSpan w:val="6"/>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F-37</w:t>
            </w:r>
          </w:p>
        </w:tc>
        <w:tc>
          <w:tcPr>
            <w:tcW w:w="0" w:type="dxa"/>
            <w:vAlign w:val="bottom"/>
          </w:tcPr>
          <w:p>
            <w:pPr>
              <w:spacing w:after="0"/>
              <w:rPr>
                <w:sz w:val="1"/>
                <w:szCs w:val="1"/>
                <w:color w:val="auto"/>
              </w:rPr>
            </w:pPr>
          </w:p>
        </w:tc>
      </w:tr>
      <w:tr>
        <w:trPr>
          <w:trHeight w:val="383"/>
        </w:trPr>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80" w:type="dxa"/>
            <w:vAlign w:val="bottom"/>
            <w:gridSpan w:val="7"/>
          </w:tcPr>
          <w:p>
            <w:pPr>
              <w:jc w:val="center"/>
              <w:ind w:right="1460"/>
              <w:spacing w:after="0"/>
              <w:rPr>
                <w:sz w:val="20"/>
                <w:szCs w:val="20"/>
                <w:color w:val="auto"/>
              </w:rPr>
            </w:pPr>
            <w:r>
              <w:rPr>
                <w:rFonts w:ascii="Arial" w:cs="Arial" w:eastAsia="Arial" w:hAnsi="Arial"/>
                <w:sz w:val="18"/>
                <w:szCs w:val="18"/>
                <w:color w:val="auto"/>
                <w:w w:val="88"/>
              </w:rPr>
              <w:t>F-1</w:t>
            </w: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management of PennantPark Investment Corporation (the “Company”) is responsible for establishing and maintaining adequate internal control over financial reporting. The Company’s internal control system is a process designed to provide reasonable assurance to the Company’s management and board of directors regarding the preparation and fair presentation of published financial statements.</w:t>
      </w:r>
    </w:p>
    <w:p>
      <w:pPr>
        <w:spacing w:after="0" w:line="14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our financial statements.</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Management assessed the effectiveness of the Company’s internal control over financial reporting as of September 30, 2008. In making this assessment, we used the criteria set forth by the Committee of Sponsoring Organizations of the Treadway Commission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Based on the assessment management believes that, as of September 30, 2008, the Company’s internal control over financial reporting is effective based on those criteria.</w:t>
      </w:r>
    </w:p>
    <w:p>
      <w:pPr>
        <w:spacing w:after="0" w:line="10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Company’s independent registered public accounting firm that audited the financial statements has issued an audit report on the effectiveness of the Company’s internal control over financial reporting as of September 30, 2008. This report appears on page F-4 of this prospectus.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8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audited the accompanying statements of assets and liabilities of PennantPark Investment Corporation (the “Company”) as of September 30, 2008 and 2007, including the schedule of investments, and the related statements of operations, changes in net assets, and cash flows for the year ended September 30, 2008 and for the period from January 11, 2007 (inception) through September 30, 2007. These financial statements are the responsibility of the Company’s management. Our responsibility is to express an opinion on these financial statements based on our audits.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PennantPark Investment Corporation as of September 30, 2008 and 2007, and the results of their operations and their cash flows for the year ended September 30, 2008 and for the period from January 11, 2007 (inception) through September 30, 2007, in conformity with U.S. generally accepted accounting principles.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PennantPark Investment Corporation’s internal control over financial reporting as of September 30, 2008,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November 20, 2008 expressed an unqualified opinion on the effectiveness of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603375" cy="3600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6033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20, 2008</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8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We have audited PennantPark Investment Corporation’s (the Company) internal control over financial reporting as of September 30, 2008,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w:t>
      </w:r>
      <w:r>
        <w:rPr>
          <w:rFonts w:ascii="Arial" w:cs="Arial" w:eastAsia="Arial" w:hAnsi="Arial"/>
          <w:sz w:val="18"/>
          <w:szCs w:val="18"/>
          <w:i w:val="1"/>
          <w:iCs w:val="1"/>
          <w:color w:val="auto"/>
        </w:rPr>
        <w:t>.</w:t>
      </w:r>
      <w:r>
        <w:rPr>
          <w:rFonts w:ascii="Arial" w:cs="Arial" w:eastAsia="Arial" w:hAnsi="Arial"/>
          <w:sz w:val="18"/>
          <w:szCs w:val="18"/>
          <w:color w:val="auto"/>
        </w:rPr>
        <w:t xml:space="preserve"> Management of the Company is responsible for maintaining effective internal control over financial reporting and for its assessment of the effectiveness of internal control over financial reporting, included on page 78 of the Annual Report on Form 10-K, Item 9A., Controls and Procedures—Management’s Report on Internal Control Over Financial Reporting. Our responsibility is to express an opinion on the Company’s internal control over financial reporting based on our audit.</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 xml:space="preserve">In our opinion, PennantPark Investment Corporation maintained, in all material respects, effective internal control over financial reporting as of September 30, 2008,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w:t>
      </w:r>
    </w:p>
    <w:p>
      <w:pPr>
        <w:spacing w:after="0" w:line="14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statements of assets and liabilities of PennantPark Investment Corporation as of September 30, 2008 and 2007, including the schedule of investments, and the related statements of operations, changes in net assets, and cash flows for the year ended September 30, 2008 and for the period from January 11, 2007 (inception) through September 30, 2007, and our report dated November 20, 2008 expressed an unqualified opinion on those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603375" cy="3600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6033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20, 2008</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w w:val="94"/>
              </w:rPr>
              <w:t>Non-controlled, non-affiliated investments, at fair value (cost—$427,481,745 and $298,789,297, respectively)</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354,261,950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274,679,030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Non-controlled, affiliated investments, at fair value (cost—$16,692,261 and $16,092,573, respectively)</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17,885,870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16,337,578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372,147,820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291,016,608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Cash equivalents (cost—$40,249,201 and $258,016,351, respectively)</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40,249,201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257,959,635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6,046,199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1,367,479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1,513,583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assets</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419,810,699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555,007,676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5,056,505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Payable for cash equivalents purchased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252,759,931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16,583,921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Unfunded investments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3,989,948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202,000,000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Interest payable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725,317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170,989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1,300,617</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1,109,793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ind w:left="420"/>
              <w:spacing w:after="0"/>
              <w:rPr>
                <w:sz w:val="20"/>
                <w:szCs w:val="20"/>
                <w:color w:val="auto"/>
              </w:rPr>
            </w:pPr>
            <w:r>
              <w:rPr>
                <w:rFonts w:ascii="Arial" w:cs="Arial" w:eastAsia="Arial" w:hAnsi="Arial"/>
                <w:sz w:val="18"/>
                <w:szCs w:val="18"/>
                <w:b w:val="1"/>
                <w:bCs w:val="1"/>
                <w:color w:val="auto"/>
              </w:rPr>
              <w:t>Total liabilities</w:t>
            </w: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209,082,439</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284,614,582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w w:val="93"/>
              </w:rPr>
              <w:t>Common stock, par value $0.001 per share, 100,000,000 shares authorized and 21,068,772 shares issued and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21,069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294,586,604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294,586,604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Distributions in excess of net investment income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(602,660)</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(196,769)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(11,250,567)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(95,832)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unrealized depreciation on investments and cash equivalents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(72,026,186)</w:t>
            </w: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(23,921,978)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net assets</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210,728,260</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270,393,094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liabilities and net assets</w:t>
            </w: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260" w:type="dxa"/>
            <w:vAlign w:val="bottom"/>
            <w:vMerge w:val="continue"/>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419,810,699</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555,007,676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37,809,280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12,013,028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Dividends</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340,533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879,537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255,944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From non-controlled, affiliated investments: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1,405,205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39,810,962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13,107,341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Base management fee (see note 3)</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7,136,580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2,565,085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3,791,900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Interest and other credit facility expenses</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6,308,933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1,835,816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2,301,973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778,587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2,136,303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1,158,750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Expenses before base management fee waiver</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21,675,689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6,338,238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420"/>
              <w:spacing w:after="0"/>
              <w:rPr>
                <w:sz w:val="20"/>
                <w:szCs w:val="20"/>
                <w:color w:val="auto"/>
              </w:rPr>
            </w:pPr>
            <w:r>
              <w:rPr>
                <w:rFonts w:ascii="Arial" w:cs="Arial" w:eastAsia="Arial" w:hAnsi="Arial"/>
                <w:sz w:val="18"/>
                <w:szCs w:val="18"/>
                <w:color w:val="auto"/>
              </w:rPr>
              <w:t>Base management fee waiver</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(420,731)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(641,273)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expenses</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21,254,958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5,802,845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18,556,004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7,304,496</w:t>
            </w:r>
          </w:p>
        </w:tc>
        <w:tc>
          <w:tcPr>
            <w:tcW w:w="0" w:type="dxa"/>
            <w:vAlign w:val="bottom"/>
          </w:tcPr>
          <w:p>
            <w:pPr>
              <w:spacing w:after="0"/>
              <w:rPr>
                <w:sz w:val="1"/>
                <w:szCs w:val="1"/>
                <w:color w:val="auto"/>
              </w:rPr>
            </w:pPr>
          </w:p>
        </w:tc>
      </w:tr>
      <w:tr>
        <w:trPr>
          <w:trHeight w:val="221"/>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(loss) on investments and cash equivalents:</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investments and cash equivalents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(11,154,735)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and cash equivalents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(49,052,812)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(24,166,983)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948,604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245,005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depreciation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(48,104,208)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(23,921,978)</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Net realized and unrealized loss from investments and cash equivalents</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(59,258,943)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(24,003,747)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(40,702,939)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(16,699,251)</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Gain (loss) per common share (see note 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7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January 11,</w:t>
            </w:r>
          </w:p>
        </w:tc>
      </w:tr>
      <w:tr>
        <w:trPr>
          <w:trHeight w:val="149"/>
        </w:trPr>
        <w:tc>
          <w:tcPr>
            <w:tcW w:w="7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2"/>
                <w:szCs w:val="12"/>
                <w:color w:val="auto"/>
              </w:rPr>
            </w:pPr>
          </w:p>
        </w:tc>
      </w:tr>
      <w:tr>
        <w:trPr>
          <w:trHeight w:val="149"/>
        </w:trPr>
        <w:tc>
          <w:tcPr>
            <w:tcW w:w="7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(inception)</w:t>
            </w:r>
          </w:p>
        </w:tc>
      </w:tr>
      <w:tr>
        <w:trPr>
          <w:trHeight w:val="149"/>
        </w:trPr>
        <w:tc>
          <w:tcPr>
            <w:tcW w:w="7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through</w:t>
            </w:r>
          </w:p>
        </w:tc>
      </w:tr>
      <w:tr>
        <w:trPr>
          <w:trHeight w:val="149"/>
        </w:trPr>
        <w:tc>
          <w:tcPr>
            <w:tcW w:w="7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7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2008</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4"/>
                <w:szCs w:val="14"/>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Decrease in net assets from operations: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18,556,004</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7,304,496</w:t>
            </w:r>
          </w:p>
        </w:tc>
        <w:tc>
          <w:tcPr>
            <w:tcW w:w="120" w:type="dxa"/>
            <w:vAlign w:val="bottom"/>
          </w:tcPr>
          <w:p>
            <w:pPr>
              <w:spacing w:after="0"/>
              <w:rPr>
                <w:sz w:val="18"/>
                <w:szCs w:val="18"/>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loss on investments and cash equivalents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(11,154,735)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(81,769)</w:t>
            </w: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rPr>
              <w:t>Net change in unrealized depreciation on investments and cash equivalents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(48,104,208)</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(23,921,978)</w:t>
            </w:r>
          </w:p>
        </w:tc>
      </w:tr>
      <w:tr>
        <w:trPr>
          <w:trHeight w:val="27"/>
        </w:trPr>
        <w:tc>
          <w:tcPr>
            <w:tcW w:w="7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(40,702,939)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(16,699,251)</w:t>
            </w:r>
          </w:p>
        </w:tc>
      </w:tr>
      <w:tr>
        <w:trPr>
          <w:trHeight w:val="222"/>
        </w:trPr>
        <w:tc>
          <w:tcPr>
            <w:tcW w:w="7240" w:type="dxa"/>
            <w:vAlign w:val="bottom"/>
          </w:tcPr>
          <w:p>
            <w:pPr>
              <w:spacing w:after="0"/>
              <w:rPr>
                <w:sz w:val="20"/>
                <w:szCs w:val="20"/>
                <w:color w:val="auto"/>
              </w:rPr>
            </w:pPr>
            <w:r>
              <w:rPr>
                <w:rFonts w:ascii="Arial" w:cs="Arial" w:eastAsia="Arial" w:hAnsi="Arial"/>
                <w:sz w:val="18"/>
                <w:szCs w:val="18"/>
                <w:b w:val="1"/>
                <w:bCs w:val="1"/>
                <w:color w:val="auto"/>
              </w:rPr>
              <w:t>Dividends and distributions to Stockholders:</w:t>
            </w:r>
          </w:p>
        </w:tc>
        <w:tc>
          <w:tcPr>
            <w:tcW w:w="1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from net investment income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(18,961,895)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(7,545,458)</w:t>
            </w: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rPr>
              <w:t>Return of capital</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(28,356)</w:t>
            </w:r>
          </w:p>
        </w:tc>
      </w:tr>
      <w:tr>
        <w:trPr>
          <w:trHeight w:val="27"/>
        </w:trPr>
        <w:tc>
          <w:tcPr>
            <w:tcW w:w="7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dividends and distributions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(18,961,895)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(7,573,814)</w:t>
            </w:r>
          </w:p>
        </w:tc>
      </w:tr>
      <w:tr>
        <w:trPr>
          <w:trHeight w:val="222"/>
        </w:trPr>
        <w:tc>
          <w:tcPr>
            <w:tcW w:w="7240" w:type="dxa"/>
            <w:vAlign w:val="bottom"/>
          </w:tcPr>
          <w:p>
            <w:pPr>
              <w:spacing w:after="0"/>
              <w:rPr>
                <w:sz w:val="20"/>
                <w:szCs w:val="20"/>
                <w:color w:val="auto"/>
              </w:rPr>
            </w:pPr>
            <w:r>
              <w:rPr>
                <w:rFonts w:ascii="Arial" w:cs="Arial" w:eastAsia="Arial" w:hAnsi="Arial"/>
                <w:sz w:val="18"/>
                <w:szCs w:val="18"/>
                <w:b w:val="1"/>
                <w:bCs w:val="1"/>
                <w:color w:val="auto"/>
              </w:rPr>
              <w:t>Capital share transactions:</w:t>
            </w:r>
          </w:p>
        </w:tc>
        <w:tc>
          <w:tcPr>
            <w:tcW w:w="1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shares of common stock</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315,375,000</w:t>
            </w:r>
          </w:p>
        </w:tc>
        <w:tc>
          <w:tcPr>
            <w:tcW w:w="120" w:type="dxa"/>
            <w:vAlign w:val="bottom"/>
            <w:shd w:val="clear" w:color="auto" w:fill="CCEEFF"/>
          </w:tcPr>
          <w:p>
            <w:pPr>
              <w:spacing w:after="0"/>
              <w:rPr>
                <w:sz w:val="18"/>
                <w:szCs w:val="18"/>
                <w:color w:val="auto"/>
              </w:rPr>
            </w:pP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rPr>
              <w:t>Offering costs related to public share offerings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(21,309,375)</w:t>
            </w: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Reinvestment of dividends</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600,534</w:t>
            </w:r>
          </w:p>
        </w:tc>
        <w:tc>
          <w:tcPr>
            <w:tcW w:w="120" w:type="dxa"/>
            <w:vAlign w:val="bottom"/>
            <w:shd w:val="clear" w:color="auto" w:fill="CCEEFF"/>
          </w:tcPr>
          <w:p>
            <w:pPr>
              <w:spacing w:after="0"/>
              <w:rPr>
                <w:sz w:val="18"/>
                <w:szCs w:val="18"/>
                <w:color w:val="auto"/>
              </w:rPr>
            </w:pPr>
          </w:p>
        </w:tc>
      </w:tr>
      <w:tr>
        <w:trPr>
          <w:trHeight w:val="221"/>
        </w:trPr>
        <w:tc>
          <w:tcPr>
            <w:tcW w:w="7240" w:type="dxa"/>
            <w:vAlign w:val="bottom"/>
          </w:tcPr>
          <w:p>
            <w:pPr>
              <w:ind w:left="44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294,666,159</w:t>
            </w:r>
          </w:p>
        </w:tc>
        <w:tc>
          <w:tcPr>
            <w:tcW w:w="120" w:type="dxa"/>
            <w:vAlign w:val="bottom"/>
          </w:tcPr>
          <w:p>
            <w:pPr>
              <w:spacing w:after="0"/>
              <w:rPr>
                <w:sz w:val="19"/>
                <w:szCs w:val="19"/>
                <w:color w:val="auto"/>
              </w:rPr>
            </w:pPr>
          </w:p>
        </w:tc>
      </w:tr>
      <w:tr>
        <w:trPr>
          <w:trHeight w:val="218"/>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(decrease) increase in net assets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(59,664,834)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270,393,094</w:t>
            </w:r>
          </w:p>
        </w:tc>
        <w:tc>
          <w:tcPr>
            <w:tcW w:w="120" w:type="dxa"/>
            <w:vAlign w:val="bottom"/>
            <w:shd w:val="clear" w:color="auto" w:fill="CCEEFF"/>
          </w:tcPr>
          <w:p>
            <w:pPr>
              <w:spacing w:after="0"/>
              <w:rPr>
                <w:sz w:val="18"/>
                <w:szCs w:val="18"/>
                <w:color w:val="auto"/>
              </w:rPr>
            </w:pPr>
          </w:p>
        </w:tc>
      </w:tr>
      <w:tr>
        <w:trPr>
          <w:trHeight w:val="322"/>
        </w:trPr>
        <w:tc>
          <w:tcPr>
            <w:tcW w:w="724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8"/>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270,393,094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2"/>
        </w:trPr>
        <w:tc>
          <w:tcPr>
            <w:tcW w:w="7240" w:type="dxa"/>
            <w:vAlign w:val="bottom"/>
          </w:tcPr>
          <w:p>
            <w:pPr>
              <w:spacing w:after="0"/>
              <w:rPr>
                <w:sz w:val="20"/>
                <w:szCs w:val="20"/>
                <w:color w:val="auto"/>
              </w:rPr>
            </w:pPr>
            <w:r>
              <w:rPr>
                <w:rFonts w:ascii="Arial" w:cs="Arial" w:eastAsia="Arial" w:hAnsi="Arial"/>
                <w:sz w:val="18"/>
                <w:szCs w:val="18"/>
                <w:color w:val="auto"/>
              </w:rPr>
              <w:t>End of period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210,728,260</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270,393,094</w:t>
            </w:r>
          </w:p>
        </w:tc>
        <w:tc>
          <w:tcPr>
            <w:tcW w:w="120" w:type="dxa"/>
            <w:vAlign w:val="bottom"/>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rPr>
              <w:t>Shares issued from subscriptions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21,025,000</w:t>
            </w:r>
          </w:p>
        </w:tc>
        <w:tc>
          <w:tcPr>
            <w:tcW w:w="120" w:type="dxa"/>
            <w:vAlign w:val="bottom"/>
          </w:tcPr>
          <w:p>
            <w:pPr>
              <w:spacing w:after="0"/>
              <w:rPr>
                <w:sz w:val="18"/>
                <w:szCs w:val="18"/>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issued from reinvestment of dividend</w:t>
            </w:r>
          </w:p>
        </w:tc>
        <w:tc>
          <w:tcPr>
            <w:tcW w:w="1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43,772</w:t>
            </w:r>
          </w:p>
        </w:tc>
        <w:tc>
          <w:tcPr>
            <w:tcW w:w="120" w:type="dxa"/>
            <w:vAlign w:val="bottom"/>
            <w:shd w:val="clear" w:color="auto" w:fill="CCEEFF"/>
          </w:tcPr>
          <w:p>
            <w:pPr>
              <w:spacing w:after="0"/>
              <w:rPr>
                <w:sz w:val="18"/>
                <w:szCs w:val="18"/>
                <w:color w:val="auto"/>
              </w:rPr>
            </w:pPr>
          </w:p>
        </w:tc>
      </w:tr>
      <w:tr>
        <w:trPr>
          <w:trHeight w:val="222"/>
        </w:trPr>
        <w:tc>
          <w:tcPr>
            <w:tcW w:w="7240" w:type="dxa"/>
            <w:vAlign w:val="bottom"/>
          </w:tcPr>
          <w:p>
            <w:pPr>
              <w:spacing w:after="0"/>
              <w:rPr>
                <w:sz w:val="20"/>
                <w:szCs w:val="20"/>
                <w:color w:val="auto"/>
              </w:rPr>
            </w:pPr>
            <w:r>
              <w:rPr>
                <w:rFonts w:ascii="Arial" w:cs="Arial" w:eastAsia="Arial" w:hAnsi="Arial"/>
                <w:sz w:val="18"/>
                <w:szCs w:val="18"/>
                <w:b w:val="1"/>
                <w:bCs w:val="1"/>
                <w:color w:val="auto"/>
              </w:rPr>
              <w:t>Total increase in capital shares</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21,068,772</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2008</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Net decrease in net assets resulting from operations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(40,702,939)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(16,699,251)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Adjustments to reconcile net decrease in net assets resulting from operations to net cash used by operating</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Change in net unrealized depreciation on investments and cash equivalents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48,104,208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23,921,978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realized loss on investments and cash equivalents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11,154,735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(1,285,365)</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investments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(206,790,979)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(413,972,173)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Payment-in-kind interest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(2,434,562)</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(668,268)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disposition of investments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70,120,751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99,635,961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Increase in interest receivable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(1,528,349)</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(4,517,850)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prepaid expenses and other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146,104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Increase in distributions payable to stockholders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5,056,505</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payables for cash equivalents purchased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(252,759,931)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252,759,931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(Decrease) increase in payables for investments purchased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(16,583,921)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16,583,921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unfunded investments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(3,989,948)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3,989,948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Increase in interest payable on credit facility</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554,328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170,989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accrued expenses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190,824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1,109,793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1280"/>
              <w:spacing w:after="0"/>
              <w:rPr>
                <w:sz w:val="20"/>
                <w:szCs w:val="20"/>
                <w:color w:val="auto"/>
              </w:rPr>
            </w:pPr>
            <w:r>
              <w:rPr>
                <w:rFonts w:ascii="Arial" w:cs="Arial" w:eastAsia="Arial" w:hAnsi="Arial"/>
                <w:sz w:val="18"/>
                <w:szCs w:val="18"/>
                <w:color w:val="auto"/>
              </w:rPr>
              <w:t>Net cash used by operating activities</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2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(390,748,539)</w:t>
            </w: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(37,871,414)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Increase in issuance of common stock</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315,375,000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Offering costs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(21,309,375)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Capitalized borrowing costs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(1,261,296)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and distributions to stockholders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(18,961,895)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(6,973,280)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 12)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461,040,000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271,913,786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 12)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(269,040,000)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(261,913,786)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173,038,105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295,831,049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(217,710,434)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257,959,635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257,959,635</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40,249,201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257,959,635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8280" w:type="dxa"/>
            <w:vAlign w:val="bottom"/>
            <w:gridSpan w:val="2"/>
          </w:tcPr>
          <w:p>
            <w:pPr>
              <w:spacing w:after="0"/>
              <w:rPr>
                <w:sz w:val="20"/>
                <w:szCs w:val="20"/>
                <w:color w:val="auto"/>
              </w:rPr>
            </w:pPr>
            <w:r>
              <w:rPr>
                <w:rFonts w:ascii="Arial" w:cs="Arial" w:eastAsia="Arial" w:hAnsi="Arial"/>
                <w:sz w:val="18"/>
                <w:szCs w:val="18"/>
                <w:color w:val="auto"/>
              </w:rPr>
              <w:t>Supplemental disclosure of cash flow information:</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4,982,247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1,598,055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Non-cash financing activities consist of the reinvestment of dividends totaling</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600,534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Basis Point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Spread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90"/>
              </w:rPr>
              <w:t>Current</w:t>
            </w: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38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Maturity</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220" w:type="dxa"/>
            <w:vAlign w:val="bottom"/>
          </w:tcPr>
          <w:p>
            <w:pPr>
              <w:spacing w:after="0"/>
              <w:rPr>
                <w:sz w:val="15"/>
                <w:szCs w:val="15"/>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3"/>
              </w:rPr>
              <w:t>Coupon</w:t>
            </w:r>
          </w:p>
        </w:tc>
        <w:tc>
          <w:tcPr>
            <w:tcW w:w="760" w:type="dxa"/>
            <w:vAlign w:val="bottom"/>
            <w:gridSpan w:val="2"/>
          </w:tcPr>
          <w:p>
            <w:pPr>
              <w:jc w:val="center"/>
              <w:ind w:right="12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100" w:type="dxa"/>
            <w:vAlign w:val="bottom"/>
          </w:tcPr>
          <w:p>
            <w:pPr>
              <w:spacing w:after="0"/>
              <w:rPr>
                <w:sz w:val="15"/>
                <w:szCs w:val="15"/>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3800" w:type="dxa"/>
            <w:vAlign w:val="bottom"/>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Investments in Non-Controlled, Non-Affiliated Portfolio</w:t>
            </w: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Companies—187.2%</w:t>
            </w:r>
            <w:r>
              <w:rPr>
                <w:rFonts w:ascii="Arial" w:cs="Arial" w:eastAsia="Arial" w:hAnsi="Arial"/>
                <w:sz w:val="20"/>
                <w:szCs w:val="20"/>
                <w:b w:val="1"/>
                <w:bCs w:val="1"/>
                <w:color w:val="auto"/>
                <w:vertAlign w:val="superscript"/>
              </w:rPr>
              <w:t>(1)</w:t>
            </w: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Notes—76.8%</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Advanstar, Inc.</w:t>
            </w: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11/30/2015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2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10.76%</w:t>
            </w:r>
            <w:r>
              <w:rPr>
                <w:rFonts w:ascii="Arial" w:cs="Arial" w:eastAsia="Arial" w:hAnsi="Arial"/>
                <w:sz w:val="17"/>
                <w:szCs w:val="17"/>
                <w:color w:val="auto"/>
                <w:vertAlign w:val="superscript"/>
              </w:rPr>
              <w:t>(6)</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$ 16,268,634</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$ 16,268,634</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$ 12,567,520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03/01/2012</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Consumer Products</w:t>
            </w:r>
          </w:p>
        </w:tc>
        <w:tc>
          <w:tcPr>
            <w:tcW w:w="1200" w:type="dxa"/>
            <w:vAlign w:val="bottom"/>
            <w:gridSpan w:val="3"/>
          </w:tcPr>
          <w:p>
            <w:pPr>
              <w:jc w:val="right"/>
              <w:ind w:right="260"/>
              <w:spacing w:after="0" w:line="149" w:lineRule="exact"/>
              <w:rPr>
                <w:sz w:val="20"/>
                <w:szCs w:val="20"/>
                <w:color w:val="auto"/>
              </w:rPr>
            </w:pPr>
            <w:r>
              <w:rPr>
                <w:rFonts w:ascii="Arial" w:cs="Arial" w:eastAsia="Arial" w:hAnsi="Arial"/>
                <w:sz w:val="11"/>
                <w:szCs w:val="11"/>
                <w:color w:val="auto"/>
              </w:rPr>
              <w:t>9.37%</w:t>
            </w:r>
            <w:r>
              <w:rPr>
                <w:rFonts w:ascii="Arial" w:cs="Arial" w:eastAsia="Arial" w:hAnsi="Arial"/>
                <w:sz w:val="17"/>
                <w:szCs w:val="17"/>
                <w:color w:val="auto"/>
                <w:vertAlign w:val="superscript"/>
              </w:rPr>
              <w:t>(6)</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L+625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21,587,384</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18,562,500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Consolidated Foundries, Inc.</w:t>
            </w: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04/17/2015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2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7,831,761</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03/19/2014</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200" w:type="dxa"/>
            <w:vAlign w:val="bottom"/>
            <w:gridSpan w:val="3"/>
          </w:tcPr>
          <w:p>
            <w:pPr>
              <w:jc w:val="right"/>
              <w:ind w:right="2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19,502,246</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06/06/2014</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2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22,041,438</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21,649,325</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22,041,438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IDQ Holdings, Inc.</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05/20/2012</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Auto Sector</w:t>
            </w:r>
          </w:p>
        </w:tc>
        <w:tc>
          <w:tcPr>
            <w:tcW w:w="12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13.75%</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19,555,782</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12/28/2015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Education</w:t>
            </w:r>
          </w:p>
        </w:tc>
        <w:tc>
          <w:tcPr>
            <w:tcW w:w="12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10,067,361</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9,922,722</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10,067,361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04/15/2015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2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12.38%</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28,000,000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26,337,698</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9,520,000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Merger Sub, Inc.</w:t>
            </w: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10/01/2016</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12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20,000,000</w:t>
            </w:r>
          </w:p>
        </w:tc>
        <w:tc>
          <w:tcPr>
            <w:tcW w:w="11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19,811,785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Acquisitions Sub Inc.</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02/08/2015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12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13.50%</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21,000,000</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20,428,146</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21,000,000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187,877,433</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182,895,483</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161,758,819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Debt—45.5%</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02/07/2015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120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9.81%</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12,000,000</w:t>
            </w:r>
          </w:p>
        </w:tc>
        <w:tc>
          <w:tcPr>
            <w:tcW w:w="11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11,682,795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02/07/2015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12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8.81%</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13,068,290</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12,342,000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88"/>
              </w:rPr>
              <w:t>04/30/2015</w:t>
            </w:r>
          </w:p>
        </w:tc>
        <w:tc>
          <w:tcPr>
            <w:tcW w:w="20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Childcare</w:t>
            </w:r>
          </w:p>
        </w:tc>
        <w:tc>
          <w:tcPr>
            <w:tcW w:w="1200" w:type="dxa"/>
            <w:vAlign w:val="bottom"/>
            <w:gridSpan w:val="3"/>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11.26%</w:t>
            </w: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L+750</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12,000,000</w:t>
            </w:r>
          </w:p>
        </w:tc>
        <w:tc>
          <w:tcPr>
            <w:tcW w:w="118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11,947,073</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10,080,000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11/04/2014</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2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9.31%</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L+650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8,700,000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05/15/2015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120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10.55%</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L+775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9,951,058</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05/15/2017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12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12.50%</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16,565,952</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6,270,000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8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8"/>
              </w:rPr>
              <w:t>06/15/2015</w:t>
            </w:r>
          </w:p>
        </w:tc>
        <w:tc>
          <w:tcPr>
            <w:tcW w:w="20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1200" w:type="dxa"/>
            <w:vAlign w:val="bottom"/>
            <w:gridSpan w:val="3"/>
            <w:shd w:val="clear" w:color="auto" w:fill="CCEEFF"/>
          </w:tcPr>
          <w:p>
            <w:pPr>
              <w:jc w:val="right"/>
              <w:ind w:right="260"/>
              <w:spacing w:after="0" w:line="138" w:lineRule="exact"/>
              <w:rPr>
                <w:sz w:val="20"/>
                <w:szCs w:val="20"/>
                <w:color w:val="auto"/>
              </w:rPr>
            </w:pPr>
            <w:r>
              <w:rPr>
                <w:rFonts w:ascii="Arial" w:cs="Arial" w:eastAsia="Arial" w:hAnsi="Arial"/>
                <w:sz w:val="10"/>
                <w:szCs w:val="10"/>
                <w:color w:val="auto"/>
              </w:rPr>
              <w:t>8.54%</w:t>
            </w:r>
            <w:r>
              <w:rPr>
                <w:rFonts w:ascii="Arial" w:cs="Arial" w:eastAsia="Arial" w:hAnsi="Arial"/>
                <w:sz w:val="15"/>
                <w:szCs w:val="15"/>
                <w:color w:val="auto"/>
                <w:vertAlign w:val="superscript"/>
              </w:rPr>
              <w:t>(6)</w:t>
            </w:r>
          </w:p>
        </w:tc>
        <w:tc>
          <w:tcPr>
            <w:tcW w:w="76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L+575</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12,500,000</w:t>
            </w:r>
          </w:p>
        </w:tc>
        <w:tc>
          <w:tcPr>
            <w:tcW w:w="118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11,838,114</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10,500,000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Childcare</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12/15/2014</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Chemical, Plastics and Rubber</w:t>
            </w:r>
          </w:p>
        </w:tc>
        <w:tc>
          <w:tcPr>
            <w:tcW w:w="1200" w:type="dxa"/>
            <w:vAlign w:val="bottom"/>
            <w:gridSpan w:val="3"/>
          </w:tcPr>
          <w:p>
            <w:pPr>
              <w:jc w:val="right"/>
              <w:ind w:right="260"/>
              <w:spacing w:after="0" w:line="149" w:lineRule="exact"/>
              <w:rPr>
                <w:sz w:val="20"/>
                <w:szCs w:val="20"/>
                <w:color w:val="auto"/>
              </w:rPr>
            </w:pPr>
            <w:r>
              <w:rPr>
                <w:rFonts w:ascii="Arial" w:cs="Arial" w:eastAsia="Arial" w:hAnsi="Arial"/>
                <w:sz w:val="11"/>
                <w:szCs w:val="11"/>
                <w:color w:val="auto"/>
              </w:rPr>
              <w:t>10.70%</w:t>
            </w:r>
            <w:r>
              <w:rPr>
                <w:rFonts w:ascii="Arial" w:cs="Arial" w:eastAsia="Arial" w:hAnsi="Arial"/>
                <w:sz w:val="17"/>
                <w:szCs w:val="17"/>
                <w:color w:val="auto"/>
                <w:vertAlign w:val="superscript"/>
              </w:rPr>
              <w:t>(6)</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L+700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22,485,895</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06/15/2015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12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9.77%</w:t>
            </w:r>
            <w:r>
              <w:rPr>
                <w:rFonts w:ascii="Arial" w:cs="Arial" w:eastAsia="Arial" w:hAnsi="Arial"/>
                <w:sz w:val="17"/>
                <w:szCs w:val="17"/>
                <w:color w:val="auto"/>
                <w:vertAlign w:val="superscript"/>
              </w:rPr>
              <w:t>(6)</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L+600</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16,500,000</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15,866,044</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13,942,500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128,100,000</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123,405,221</w:t>
            </w:r>
          </w:p>
        </w:tc>
        <w:tc>
          <w:tcPr>
            <w:tcW w:w="220" w:type="dxa"/>
            <w:vAlign w:val="bottom"/>
          </w:tcPr>
          <w:p>
            <w:pPr>
              <w:spacing w:after="0"/>
              <w:rPr>
                <w:sz w:val="13"/>
                <w:szCs w:val="13"/>
                <w:color w:val="auto"/>
              </w:rPr>
            </w:pP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95,894,500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Preferred Equity—4.4%</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CFHC Holdings, Inc., Class A (Consolidated Foundries, Inc.)</w:t>
            </w:r>
          </w:p>
        </w:tc>
        <w:tc>
          <w:tcPr>
            <w:tcW w:w="8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200" w:type="dxa"/>
            <w:vAlign w:val="bottom"/>
            <w:gridSpan w:val="3"/>
          </w:tcPr>
          <w:p>
            <w:pPr>
              <w:jc w:val="right"/>
              <w:ind w:right="260"/>
              <w:spacing w:after="0" w:line="149" w:lineRule="exact"/>
              <w:rPr>
                <w:sz w:val="20"/>
                <w:szCs w:val="20"/>
                <w:color w:val="auto"/>
              </w:rPr>
            </w:pPr>
            <w:r>
              <w:rPr>
                <w:rFonts w:ascii="Arial" w:cs="Arial" w:eastAsia="Arial" w:hAnsi="Arial"/>
                <w:sz w:val="11"/>
                <w:szCs w:val="11"/>
                <w:color w:val="auto"/>
              </w:rPr>
              <w:t>12.00%</w:t>
            </w:r>
            <w:r>
              <w:rPr>
                <w:rFonts w:ascii="Arial" w:cs="Arial" w:eastAsia="Arial" w:hAnsi="Arial"/>
                <w:sz w:val="17"/>
                <w:szCs w:val="17"/>
                <w:color w:val="auto"/>
                <w:vertAlign w:val="superscript"/>
              </w:rPr>
              <w:t>(6)</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842</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841,927</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841,927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8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2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12.00%</w:t>
            </w:r>
            <w:r>
              <w:rPr>
                <w:rFonts w:ascii="Arial" w:cs="Arial" w:eastAsia="Arial" w:hAnsi="Arial"/>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3,960,000</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3,960,000</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restart"/>
          </w:tcPr>
          <w:p>
            <w:pPr>
              <w:jc w:val="right"/>
              <w:ind w:right="380"/>
              <w:spacing w:after="0" w:line="297"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 xml:space="preserve"> (7)</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(TZ Merger Sub, Inc.)</w:t>
            </w:r>
          </w:p>
        </w:tc>
        <w:tc>
          <w:tcPr>
            <w:tcW w:w="84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2040" w:type="dxa"/>
            <w:vAlign w:val="bottom"/>
          </w:tcPr>
          <w:p>
            <w:pPr>
              <w:jc w:val="center"/>
              <w:spacing w:after="0" w:line="159" w:lineRule="exact"/>
              <w:rPr>
                <w:sz w:val="20"/>
                <w:szCs w:val="20"/>
                <w:color w:val="auto"/>
              </w:rPr>
            </w:pPr>
            <w:r>
              <w:rPr>
                <w:rFonts w:ascii="Arial" w:cs="Arial" w:eastAsia="Arial" w:hAnsi="Arial"/>
                <w:sz w:val="14"/>
                <w:szCs w:val="14"/>
                <w:color w:val="auto"/>
                <w:w w:val="84"/>
              </w:rPr>
              <w:t>Insurance</w:t>
            </w:r>
          </w:p>
        </w:tc>
        <w:tc>
          <w:tcPr>
            <w:tcW w:w="2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76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686</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685,820</w:t>
            </w:r>
          </w:p>
        </w:tc>
        <w:tc>
          <w:tcPr>
            <w:tcW w:w="22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B</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6.50%</w:t>
            </w:r>
            <w:r>
              <w:rPr>
                <w:rFonts w:ascii="Arial" w:cs="Arial" w:eastAsia="Arial" w:hAnsi="Arial"/>
                <w:sz w:val="22"/>
                <w:szCs w:val="22"/>
                <w:color w:val="auto"/>
                <w:vertAlign w:val="superscript"/>
              </w:rPr>
              <w:t>(6)</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(TZ Merger Sub, Inc.)</w:t>
            </w:r>
          </w:p>
        </w:tc>
        <w:tc>
          <w:tcPr>
            <w:tcW w:w="84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20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4"/>
              </w:rPr>
              <w:t>Insurance</w:t>
            </w:r>
          </w:p>
        </w:tc>
        <w:tc>
          <w:tcPr>
            <w:tcW w:w="1200" w:type="dxa"/>
            <w:vAlign w:val="bottom"/>
            <w:gridSpan w:val="3"/>
            <w:vMerge w:val="continue"/>
            <w:shd w:val="clear" w:color="auto" w:fill="CCEEFF"/>
          </w:tcPr>
          <w:p>
            <w:pPr>
              <w:spacing w:after="0"/>
              <w:rPr>
                <w:sz w:val="13"/>
                <w:szCs w:val="13"/>
                <w:color w:val="auto"/>
              </w:rPr>
            </w:pPr>
          </w:p>
        </w:tc>
        <w:tc>
          <w:tcPr>
            <w:tcW w:w="76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1,312</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1,312,006</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1,312,006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0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 Class A-1</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8.00%</w:t>
            </w:r>
            <w:r>
              <w:rPr>
                <w:rFonts w:ascii="Arial" w:cs="Arial" w:eastAsia="Arial" w:hAnsi="Arial"/>
                <w:sz w:val="22"/>
                <w:szCs w:val="22"/>
                <w:color w:val="auto"/>
                <w:vertAlign w:val="superscript"/>
              </w:rPr>
              <w:t>(6)</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84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2040" w:type="dxa"/>
            <w:vAlign w:val="bottom"/>
          </w:tcPr>
          <w:p>
            <w:pPr>
              <w:jc w:val="center"/>
              <w:spacing w:after="0" w:line="159" w:lineRule="exact"/>
              <w:rPr>
                <w:sz w:val="20"/>
                <w:szCs w:val="20"/>
                <w:color w:val="auto"/>
              </w:rPr>
            </w:pPr>
            <w:r>
              <w:rPr>
                <w:rFonts w:ascii="Arial" w:cs="Arial" w:eastAsia="Arial" w:hAnsi="Arial"/>
                <w:sz w:val="14"/>
                <w:szCs w:val="14"/>
                <w:color w:val="auto"/>
                <w:w w:val="86"/>
              </w:rPr>
              <w:t>Oil and Gas</w:t>
            </w:r>
          </w:p>
        </w:tc>
        <w:tc>
          <w:tcPr>
            <w:tcW w:w="1200" w:type="dxa"/>
            <w:vAlign w:val="bottom"/>
            <w:gridSpan w:val="3"/>
            <w:vMerge w:val="continue"/>
          </w:tcPr>
          <w:p>
            <w:pPr>
              <w:spacing w:after="0"/>
              <w:rPr>
                <w:sz w:val="14"/>
                <w:szCs w:val="14"/>
                <w:color w:val="auto"/>
              </w:rPr>
            </w:pPr>
          </w:p>
        </w:tc>
        <w:tc>
          <w:tcPr>
            <w:tcW w:w="76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91,608</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2,499,066</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2,499,066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4,054,448</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9,298,819</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9,298,819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Basis Point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w w:val="86"/>
              </w:rPr>
              <w:t>Current</w:t>
            </w:r>
          </w:p>
        </w:tc>
        <w:tc>
          <w:tcPr>
            <w:tcW w:w="7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22"/>
                <w:szCs w:val="22"/>
                <w:b w:val="1"/>
                <w:bCs w:val="1"/>
                <w:color w:val="auto"/>
                <w:w w:val="93"/>
                <w:vertAlign w:val="superscript"/>
              </w:rPr>
              <w:t>(3)</w:t>
            </w:r>
          </w:p>
        </w:tc>
        <w:tc>
          <w:tcPr>
            <w:tcW w:w="0" w:type="dxa"/>
            <w:vAlign w:val="bottom"/>
          </w:tcPr>
          <w:p>
            <w:pPr>
              <w:spacing w:after="0"/>
              <w:rPr>
                <w:sz w:val="1"/>
                <w:szCs w:val="1"/>
                <w:color w:val="auto"/>
              </w:rPr>
            </w:pPr>
          </w:p>
        </w:tc>
      </w:tr>
      <w:tr>
        <w:trPr>
          <w:trHeight w:val="176"/>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Maturity</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3"/>
              </w:rPr>
              <w:t>Coupon</w:t>
            </w:r>
          </w:p>
        </w:tc>
        <w:tc>
          <w:tcPr>
            <w:tcW w:w="74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100" w:type="dxa"/>
            <w:vAlign w:val="bottom"/>
          </w:tcPr>
          <w:p>
            <w:pPr>
              <w:spacing w:after="0"/>
              <w:rPr>
                <w:sz w:val="15"/>
                <w:szCs w:val="15"/>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4060" w:type="dxa"/>
            <w:vAlign w:val="bottom"/>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Common Equity/Partnership</w:t>
            </w: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6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Interest</w:t>
            </w:r>
            <w:r>
              <w:rPr>
                <w:rFonts w:ascii="Arial" w:cs="Arial" w:eastAsia="Arial" w:hAnsi="Arial"/>
                <w:sz w:val="20"/>
                <w:szCs w:val="20"/>
                <w:b w:val="1"/>
                <w:bCs w:val="1"/>
                <w:color w:val="auto"/>
                <w:vertAlign w:val="superscript"/>
              </w:rPr>
              <w:t>(7)</w:t>
            </w:r>
            <w:r>
              <w:rPr>
                <w:rFonts w:ascii="Arial" w:cs="Arial" w:eastAsia="Arial" w:hAnsi="Arial"/>
                <w:sz w:val="13"/>
                <w:szCs w:val="13"/>
                <w:b w:val="1"/>
                <w:bCs w:val="1"/>
                <w:color w:val="auto"/>
              </w:rPr>
              <w:t>—4.0%</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(Advanstar Inc.)</w:t>
            </w:r>
          </w:p>
        </w:tc>
        <w:tc>
          <w:tcPr>
            <w:tcW w:w="8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200" w:type="dxa"/>
            <w:vAlign w:val="bottom"/>
          </w:tcPr>
          <w:p>
            <w:pPr>
              <w:spacing w:after="0"/>
              <w:rPr>
                <w:sz w:val="12"/>
                <w:szCs w:val="12"/>
                <w:color w:val="auto"/>
              </w:rPr>
            </w:pPr>
          </w:p>
        </w:tc>
        <w:tc>
          <w:tcPr>
            <w:tcW w:w="9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3,000,000</w:t>
            </w:r>
          </w:p>
        </w:tc>
        <w:tc>
          <w:tcPr>
            <w:tcW w:w="2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998,883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CFHC Holdings, Inc., (Consolidated Foundries, Inc.)</w:t>
            </w:r>
          </w:p>
        </w:tc>
        <w:tc>
          <w:tcPr>
            <w:tcW w:w="8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16,271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149,557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 (CT Technologies Intermediate</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Holdings, Inc.)</w:t>
            </w:r>
          </w:p>
        </w:tc>
        <w:tc>
          <w:tcPr>
            <w:tcW w:w="82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940" w:type="dxa"/>
            <w:vAlign w:val="bottom"/>
          </w:tcPr>
          <w:p>
            <w:pPr>
              <w:jc w:val="center"/>
              <w:spacing w:after="0" w:line="159" w:lineRule="exact"/>
              <w:rPr>
                <w:sz w:val="20"/>
                <w:szCs w:val="20"/>
                <w:color w:val="auto"/>
              </w:rPr>
            </w:pPr>
            <w:r>
              <w:rPr>
                <w:rFonts w:ascii="Arial" w:cs="Arial" w:eastAsia="Arial" w:hAnsi="Arial"/>
                <w:sz w:val="14"/>
                <w:szCs w:val="14"/>
                <w:color w:val="auto"/>
                <w:w w:val="85"/>
              </w:rPr>
              <w:t>Business Services</w:t>
            </w:r>
          </w:p>
        </w:tc>
        <w:tc>
          <w:tcPr>
            <w:tcW w:w="200" w:type="dxa"/>
            <w:vAlign w:val="bottom"/>
          </w:tcPr>
          <w:p>
            <w:pPr>
              <w:spacing w:after="0"/>
              <w:rPr>
                <w:sz w:val="13"/>
                <w:szCs w:val="13"/>
                <w:color w:val="auto"/>
              </w:rPr>
            </w:pPr>
          </w:p>
        </w:tc>
        <w:tc>
          <w:tcPr>
            <w:tcW w:w="94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5,556</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3,200,000</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3,200,000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8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440,000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1,545,062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(TZ Merger Sub, Inc.)</w:t>
            </w:r>
          </w:p>
        </w:tc>
        <w:tc>
          <w:tcPr>
            <w:tcW w:w="8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7"/>
              </w:rPr>
              <w:t>Insurance</w:t>
            </w:r>
          </w:p>
        </w:tc>
        <w:tc>
          <w:tcPr>
            <w:tcW w:w="200" w:type="dxa"/>
            <w:vAlign w:val="bottom"/>
          </w:tcPr>
          <w:p>
            <w:pPr>
              <w:spacing w:after="0"/>
              <w:rPr>
                <w:sz w:val="12"/>
                <w:szCs w:val="12"/>
                <w:color w:val="auto"/>
              </w:rPr>
            </w:pPr>
          </w:p>
        </w:tc>
        <w:tc>
          <w:tcPr>
            <w:tcW w:w="9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2,173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UP Holdings Inc. (UP Acquisitions Sub Inc.)</w:t>
            </w:r>
          </w:p>
        </w:tc>
        <w:tc>
          <w:tcPr>
            <w:tcW w:w="8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Oil and Gas</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91,608</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916</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2,569,208</w:t>
            </w:r>
          </w:p>
        </w:tc>
        <w:tc>
          <w:tcPr>
            <w:tcW w:w="0" w:type="dxa"/>
            <w:vAlign w:val="bottom"/>
          </w:tcPr>
          <w:p>
            <w:pPr>
              <w:spacing w:after="0"/>
              <w:rPr>
                <w:sz w:val="1"/>
                <w:szCs w:val="1"/>
                <w:color w:val="auto"/>
              </w:rPr>
            </w:pPr>
          </w:p>
        </w:tc>
      </w:tr>
      <w:tr>
        <w:trPr>
          <w:trHeight w:val="156"/>
        </w:trPr>
        <w:tc>
          <w:tcPr>
            <w:tcW w:w="4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Equity/Partnership Interest</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541,793</w:t>
            </w: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6,659,360</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8,464,883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Par</w:t>
            </w:r>
          </w:p>
        </w:tc>
        <w:tc>
          <w:tcPr>
            <w:tcW w:w="1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Debt—37.4%</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Burlington Coat Factory Warehouse Corp.</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05/28/2013</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90"/>
              </w:rPr>
              <w:t>Retail Store</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5.06%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7,896,473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7,889,120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5,401,187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Cohr Holdings, Inc.</w:t>
            </w:r>
          </w:p>
        </w:tc>
        <w:tc>
          <w:tcPr>
            <w:tcW w:w="82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4"/>
                <w:szCs w:val="14"/>
                <w:color w:val="auto"/>
                <w:w w:val="85"/>
              </w:rPr>
              <w:t>01/31/2013</w:t>
            </w:r>
          </w:p>
        </w:tc>
        <w:tc>
          <w:tcPr>
            <w:tcW w:w="19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114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5.35%</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L+250</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2,955,000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2,955,000</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1,484,888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9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Childcare</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08/07/2012</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12.04%</w:t>
            </w:r>
            <w:r>
              <w:rPr>
                <w:rFonts w:ascii="Arial" w:cs="Arial" w:eastAsia="Arial" w:hAnsi="Arial"/>
                <w:sz w:val="17"/>
                <w:szCs w:val="17"/>
                <w:color w:val="auto"/>
                <w:vertAlign w:val="superscript"/>
              </w:rPr>
              <w:t>(6)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L+825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14,014,177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12,965,204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12,192,334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w:t>
            </w:r>
          </w:p>
        </w:tc>
        <w:tc>
          <w:tcPr>
            <w:tcW w:w="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08/07/2012</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12.25%</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P+725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2,121</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Gatehouse Media Operating, Inc.</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08/28/2014</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9"/>
              </w:rPr>
              <w:t>Media</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4.81%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7,000,000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3,336,690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General Nutrition Centers, Inc.</w:t>
            </w:r>
          </w:p>
        </w:tc>
        <w:tc>
          <w:tcPr>
            <w:tcW w:w="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09/16/2013</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Retail Store</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5.57%</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3,410,095</w:t>
            </w:r>
          </w:p>
        </w:tc>
        <w:tc>
          <w:tcPr>
            <w:tcW w:w="11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3,411,892</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2,821,854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Inc.</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12/19/2013</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8"/>
              </w:rPr>
              <w:t>Cargo Transport</w:t>
            </w:r>
          </w:p>
        </w:tc>
        <w:tc>
          <w:tcPr>
            <w:tcW w:w="200" w:type="dxa"/>
            <w:vAlign w:val="bottom"/>
          </w:tcPr>
          <w:p>
            <w:pPr>
              <w:spacing w:after="0"/>
              <w:rPr>
                <w:sz w:val="12"/>
                <w:szCs w:val="12"/>
                <w:color w:val="auto"/>
              </w:rPr>
            </w:pPr>
          </w:p>
        </w:tc>
        <w:tc>
          <w:tcPr>
            <w:tcW w:w="940" w:type="dxa"/>
            <w:vAlign w:val="bottom"/>
            <w:gridSpan w:val="2"/>
          </w:tcPr>
          <w:p>
            <w:pPr>
              <w:ind w:left="2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(7)</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6,912,500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6,912,500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5,149,813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03/08/2014</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4.83%</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8,932,500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8,932,500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6,327,185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Hughes Network Systems, L.L.C.</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04/15/2014</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8"/>
              </w:rPr>
              <w:t>Telecommunications</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5.31%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L+250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4,275,000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Jacuzzi Brands Corp.</w:t>
            </w:r>
          </w:p>
        </w:tc>
        <w:tc>
          <w:tcPr>
            <w:tcW w:w="82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4"/>
                <w:szCs w:val="14"/>
                <w:color w:val="auto"/>
                <w:w w:val="85"/>
              </w:rPr>
              <w:t>02/07/2014</w:t>
            </w:r>
          </w:p>
        </w:tc>
        <w:tc>
          <w:tcPr>
            <w:tcW w:w="19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Home and Office</w:t>
            </w:r>
          </w:p>
        </w:tc>
        <w:tc>
          <w:tcPr>
            <w:tcW w:w="114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5.35%</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9,890,541</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9,890,541</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6,156,861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Furnishings, Housewares and</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9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Durable Consumer Products</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Levlad, L.L.C.</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03/08/2014</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5.46%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4,564,563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4,564,563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2,639,837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Longview Power, L.L.C.</w:t>
            </w:r>
          </w:p>
        </w:tc>
        <w:tc>
          <w:tcPr>
            <w:tcW w:w="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02/28/2014</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Utilities</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5.54%</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2,630,001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Mattress Holding Corp.</w:t>
            </w:r>
          </w:p>
        </w:tc>
        <w:tc>
          <w:tcPr>
            <w:tcW w:w="820" w:type="dxa"/>
            <w:vAlign w:val="bottom"/>
            <w:gridSpan w:val="2"/>
          </w:tcPr>
          <w:p>
            <w:pPr>
              <w:jc w:val="center"/>
              <w:ind w:right="180"/>
              <w:spacing w:after="0" w:line="138" w:lineRule="exact"/>
              <w:rPr>
                <w:sz w:val="20"/>
                <w:szCs w:val="20"/>
                <w:color w:val="auto"/>
              </w:rPr>
            </w:pPr>
            <w:r>
              <w:rPr>
                <w:rFonts w:ascii="Arial" w:cs="Arial" w:eastAsia="Arial" w:hAnsi="Arial"/>
                <w:sz w:val="14"/>
                <w:szCs w:val="14"/>
                <w:color w:val="auto"/>
                <w:w w:val="85"/>
              </w:rPr>
              <w:t>01/18/2014</w:t>
            </w:r>
          </w:p>
        </w:tc>
        <w:tc>
          <w:tcPr>
            <w:tcW w:w="1940" w:type="dxa"/>
            <w:vAlign w:val="bottom"/>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1140" w:type="dxa"/>
            <w:vAlign w:val="bottom"/>
            <w:gridSpan w:val="3"/>
          </w:tcPr>
          <w:p>
            <w:pPr>
              <w:jc w:val="right"/>
              <w:ind w:right="360"/>
              <w:spacing w:after="0" w:line="138" w:lineRule="exact"/>
              <w:rPr>
                <w:sz w:val="20"/>
                <w:szCs w:val="20"/>
                <w:color w:val="auto"/>
              </w:rPr>
            </w:pPr>
            <w:r>
              <w:rPr>
                <w:rFonts w:ascii="Arial" w:cs="Arial" w:eastAsia="Arial" w:hAnsi="Arial"/>
                <w:sz w:val="14"/>
                <w:szCs w:val="14"/>
                <w:color w:val="auto"/>
              </w:rPr>
              <w:t>5.96%</w:t>
            </w: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L+225</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3,950,100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3,950,100</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2,567,565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4"/>
              </w:rPr>
              <w:t>Housewares and Durable</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tcPr>
          <w:p>
            <w:pPr>
              <w:jc w:val="center"/>
              <w:spacing w:after="0" w:line="159" w:lineRule="exact"/>
              <w:rPr>
                <w:sz w:val="20"/>
                <w:szCs w:val="20"/>
                <w:color w:val="auto"/>
              </w:rPr>
            </w:pPr>
            <w:r>
              <w:rPr>
                <w:rFonts w:ascii="Arial" w:cs="Arial" w:eastAsia="Arial" w:hAnsi="Arial"/>
                <w:sz w:val="14"/>
                <w:szCs w:val="14"/>
                <w:color w:val="auto"/>
                <w:w w:val="85"/>
              </w:rPr>
              <w:t>Consumer Products</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Mitchell International, Inc.</w:t>
            </w:r>
          </w:p>
        </w:tc>
        <w:tc>
          <w:tcPr>
            <w:tcW w:w="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03/28/2014</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5.81%</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3,940,000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3,940,000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3,723,300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National Bedding Co., L.L.C.</w:t>
            </w:r>
          </w:p>
        </w:tc>
        <w:tc>
          <w:tcPr>
            <w:tcW w:w="820" w:type="dxa"/>
            <w:vAlign w:val="bottom"/>
            <w:gridSpan w:val="2"/>
          </w:tcPr>
          <w:p>
            <w:pPr>
              <w:jc w:val="center"/>
              <w:ind w:right="180"/>
              <w:spacing w:after="0" w:line="138" w:lineRule="exact"/>
              <w:rPr>
                <w:sz w:val="20"/>
                <w:szCs w:val="20"/>
                <w:color w:val="auto"/>
              </w:rPr>
            </w:pPr>
            <w:r>
              <w:rPr>
                <w:rFonts w:ascii="Arial" w:cs="Arial" w:eastAsia="Arial" w:hAnsi="Arial"/>
                <w:sz w:val="14"/>
                <w:szCs w:val="14"/>
                <w:color w:val="auto"/>
                <w:w w:val="85"/>
              </w:rPr>
              <w:t>02/28/2013</w:t>
            </w:r>
          </w:p>
        </w:tc>
        <w:tc>
          <w:tcPr>
            <w:tcW w:w="1940" w:type="dxa"/>
            <w:vAlign w:val="bottom"/>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1140" w:type="dxa"/>
            <w:vAlign w:val="bottom"/>
            <w:gridSpan w:val="3"/>
          </w:tcPr>
          <w:p>
            <w:pPr>
              <w:jc w:val="right"/>
              <w:ind w:right="360"/>
              <w:spacing w:after="0" w:line="138" w:lineRule="exact"/>
              <w:rPr>
                <w:sz w:val="20"/>
                <w:szCs w:val="20"/>
                <w:color w:val="auto"/>
              </w:rPr>
            </w:pPr>
            <w:r>
              <w:rPr>
                <w:rFonts w:ascii="Arial" w:cs="Arial" w:eastAsia="Arial" w:hAnsi="Arial"/>
                <w:sz w:val="14"/>
                <w:szCs w:val="14"/>
                <w:color w:val="auto"/>
              </w:rPr>
              <w:t>4.62%</w:t>
            </w: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6,895,000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6,900,583</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5,274,675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4"/>
              </w:rPr>
              <w:t>Housewares and Durable</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tcPr>
          <w:p>
            <w:pPr>
              <w:jc w:val="center"/>
              <w:spacing w:after="0" w:line="159" w:lineRule="exact"/>
              <w:rPr>
                <w:sz w:val="20"/>
                <w:szCs w:val="20"/>
                <w:color w:val="auto"/>
              </w:rPr>
            </w:pPr>
            <w:r>
              <w:rPr>
                <w:rFonts w:ascii="Arial" w:cs="Arial" w:eastAsia="Arial" w:hAnsi="Arial"/>
                <w:sz w:val="14"/>
                <w:szCs w:val="14"/>
                <w:color w:val="auto"/>
                <w:w w:val="85"/>
              </w:rPr>
              <w:t>Consumer Products</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Penton Media, Inc.</w:t>
            </w:r>
          </w:p>
        </w:tc>
        <w:tc>
          <w:tcPr>
            <w:tcW w:w="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02/01/2013</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5.07%</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4,925,000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4,925,000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3,558,313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Philosophy, Inc.</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03/16/2014</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5.71%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1,474,667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1,474,667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1,194,480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05/04/2014</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5.81%</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L+300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4,924,167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4,924,167</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4,825,683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Reader’s Digest Association, Inc.</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03/02/2014</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7"/>
              </w:rPr>
              <w:t>Printing and Publishing</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4.71%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985,000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985,000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699,350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Rexnord , L.L.C.</w:t>
            </w:r>
          </w:p>
        </w:tc>
        <w:tc>
          <w:tcPr>
            <w:tcW w:w="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07/19/2013</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Manufacturing/Basic Industry</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5.76%</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2,917,576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2,917,576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2,625,819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Sitel, L.L.C.</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01/30/2014</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5.30%</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L+250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2,592,017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2,592,017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1,892,172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Sitel, L.L.C.</w:t>
            </w:r>
          </w:p>
        </w:tc>
        <w:tc>
          <w:tcPr>
            <w:tcW w:w="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01/30/2014</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6.50%</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P+150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90,311</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90,311</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65,927</w:t>
            </w:r>
          </w:p>
        </w:tc>
        <w:tc>
          <w:tcPr>
            <w:tcW w:w="0" w:type="dxa"/>
            <w:vAlign w:val="bottom"/>
          </w:tcPr>
          <w:p>
            <w:pPr>
              <w:spacing w:after="0"/>
              <w:rPr>
                <w:sz w:val="1"/>
                <w:szCs w:val="1"/>
                <w:color w:val="auto"/>
              </w:rPr>
            </w:pPr>
          </w:p>
        </w:tc>
      </w:tr>
      <w:tr>
        <w:trPr>
          <w:trHeight w:val="163"/>
        </w:trPr>
        <w:tc>
          <w:tcPr>
            <w:tcW w:w="4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106,271,980</w:t>
            </w:r>
          </w:p>
        </w:tc>
        <w:tc>
          <w:tcPr>
            <w:tcW w:w="1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105,222,862</w:t>
            </w:r>
          </w:p>
        </w:tc>
        <w:tc>
          <w:tcPr>
            <w:tcW w:w="2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78,844,929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Investments in Non-Controlled, Non-Affiliated Portfolio</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Companies</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427,481,745</w:t>
            </w:r>
          </w:p>
        </w:tc>
        <w:tc>
          <w:tcPr>
            <w:tcW w:w="2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4"/>
              </w:rPr>
              <w:t>354,261,950</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Basis Point</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Spread</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86"/>
              </w:rPr>
              <w:t>Current</w:t>
            </w: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Above</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22"/>
                <w:szCs w:val="22"/>
                <w:b w:val="1"/>
                <w:bCs w:val="1"/>
                <w:color w:val="auto"/>
                <w:w w:val="93"/>
                <w:vertAlign w:val="superscript"/>
              </w:rPr>
              <w:t>(3)</w:t>
            </w:r>
          </w:p>
        </w:tc>
        <w:tc>
          <w:tcPr>
            <w:tcW w:w="0" w:type="dxa"/>
            <w:vAlign w:val="bottom"/>
          </w:tcPr>
          <w:p>
            <w:pPr>
              <w:spacing w:after="0"/>
              <w:rPr>
                <w:sz w:val="1"/>
                <w:szCs w:val="1"/>
                <w:color w:val="auto"/>
              </w:rPr>
            </w:pPr>
          </w:p>
        </w:tc>
      </w:tr>
      <w:tr>
        <w:trPr>
          <w:trHeight w:val="176"/>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Maturity</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20" w:type="dxa"/>
            <w:vAlign w:val="bottom"/>
          </w:tcPr>
          <w:p>
            <w:pPr>
              <w:spacing w:after="0"/>
              <w:rPr>
                <w:sz w:val="15"/>
                <w:szCs w:val="15"/>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3"/>
              </w:rPr>
              <w:t>Coupon</w:t>
            </w:r>
          </w:p>
        </w:tc>
        <w:tc>
          <w:tcPr>
            <w:tcW w:w="880" w:type="dxa"/>
            <w:vAlign w:val="bottom"/>
            <w:gridSpan w:val="2"/>
          </w:tcPr>
          <w:p>
            <w:pPr>
              <w:jc w:val="center"/>
              <w:ind w:right="2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6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Par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3920" w:type="dxa"/>
            <w:vAlign w:val="bottom"/>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Investments in Non-Controlled, Affiliated Portfolio Companies</w:t>
            </w: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2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—8.5%</w:t>
            </w:r>
            <w:r>
              <w:rPr>
                <w:rFonts w:ascii="Arial" w:cs="Arial" w:eastAsia="Arial" w:hAnsi="Arial"/>
                <w:sz w:val="20"/>
                <w:szCs w:val="20"/>
                <w:b w:val="1"/>
                <w:bCs w:val="1"/>
                <w:color w:val="auto"/>
                <w:vertAlign w:val="superscript"/>
              </w:rPr>
              <w:t>(2)</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Subordinated Debt/Corporate Notes—2.1%</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10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07/02/2014</w:t>
            </w:r>
          </w:p>
        </w:tc>
        <w:tc>
          <w:tcPr>
            <w:tcW w:w="1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Leisure, Amusement, Motion</w:t>
            </w:r>
          </w:p>
        </w:tc>
        <w:tc>
          <w:tcPr>
            <w:tcW w:w="1180" w:type="dxa"/>
            <w:vAlign w:val="bottom"/>
            <w:gridSpan w:val="3"/>
            <w:shd w:val="clear" w:color="auto" w:fill="CCEEFF"/>
          </w:tcPr>
          <w:p>
            <w:pPr>
              <w:jc w:val="right"/>
              <w:ind w:right="24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(6)</w:t>
            </w:r>
          </w:p>
        </w:tc>
        <w:tc>
          <w:tcPr>
            <w:tcW w:w="88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w w:val="93"/>
              </w:rPr>
              <w:t>4,414,356</w:t>
            </w:r>
          </w:p>
        </w:tc>
        <w:tc>
          <w:tcPr>
            <w:tcW w:w="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4,192,261</w:t>
            </w:r>
          </w:p>
        </w:tc>
        <w:tc>
          <w:tcPr>
            <w:tcW w:w="3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4,414,356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Pictures, Entertainment</w:t>
            </w: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Second Lien Secured Debt—4.0%</w:t>
            </w: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Inc.</w:t>
            </w:r>
          </w:p>
        </w:tc>
        <w:tc>
          <w:tcPr>
            <w:tcW w:w="10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07/02/2013</w:t>
            </w:r>
          </w:p>
        </w:tc>
        <w:tc>
          <w:tcPr>
            <w:tcW w:w="1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Leisure, Amusement, Motion</w:t>
            </w:r>
          </w:p>
        </w:tc>
        <w:tc>
          <w:tcPr>
            <w:tcW w:w="118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8.55%</w:t>
            </w:r>
          </w:p>
        </w:tc>
        <w:tc>
          <w:tcPr>
            <w:tcW w:w="880" w:type="dxa"/>
            <w:vAlign w:val="bottom"/>
            <w:gridSpan w:val="2"/>
            <w:shd w:val="clear" w:color="auto" w:fill="CCEEFF"/>
          </w:tcPr>
          <w:p>
            <w:pPr>
              <w:ind w:left="300"/>
              <w:spacing w:after="0" w:line="138" w:lineRule="exact"/>
              <w:rPr>
                <w:sz w:val="20"/>
                <w:szCs w:val="20"/>
                <w:color w:val="auto"/>
              </w:rPr>
            </w:pPr>
            <w:r>
              <w:rPr>
                <w:rFonts w:ascii="Arial" w:cs="Arial" w:eastAsia="Arial" w:hAnsi="Arial"/>
                <w:sz w:val="14"/>
                <w:szCs w:val="14"/>
                <w:color w:val="auto"/>
              </w:rPr>
              <w:t>L+575</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w w:val="93"/>
              </w:rPr>
              <w:t>8,750,000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8,750,000</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8,347,500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Pictures, Entertainment</w:t>
            </w: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Equity/Partnership Interest</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—2.4%</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2"/>
          </w:tcPr>
          <w:p>
            <w:pPr>
              <w:spacing w:after="0" w:line="138" w:lineRule="exact"/>
              <w:rPr>
                <w:sz w:val="20"/>
                <w:szCs w:val="20"/>
                <w:color w:val="auto"/>
              </w:rPr>
            </w:pPr>
            <w:r>
              <w:rPr>
                <w:rFonts w:ascii="Arial" w:cs="Arial" w:eastAsia="Arial" w:hAnsi="Arial"/>
                <w:sz w:val="14"/>
                <w:szCs w:val="14"/>
                <w:color w:val="auto"/>
              </w:rPr>
              <w:t>NCP-Performance (Performance Holdings, Inc.)</w:t>
            </w:r>
          </w:p>
        </w:tc>
        <w:tc>
          <w:tcPr>
            <w:tcW w:w="1020" w:type="dxa"/>
            <w:vAlign w:val="bottom"/>
            <w:gridSpan w:val="2"/>
          </w:tcPr>
          <w:p>
            <w:pPr>
              <w:ind w:left="600"/>
              <w:spacing w:after="0" w:line="138" w:lineRule="exact"/>
              <w:rPr>
                <w:sz w:val="20"/>
                <w:szCs w:val="20"/>
                <w:color w:val="auto"/>
              </w:rPr>
            </w:pPr>
            <w:r>
              <w:rPr>
                <w:rFonts w:ascii="Arial" w:cs="Arial" w:eastAsia="Arial" w:hAnsi="Arial"/>
                <w:sz w:val="14"/>
                <w:szCs w:val="14"/>
                <w:color w:val="auto"/>
              </w:rPr>
              <w:t>—</w:t>
            </w:r>
          </w:p>
        </w:tc>
        <w:tc>
          <w:tcPr>
            <w:tcW w:w="1680" w:type="dxa"/>
            <w:vAlign w:val="bottom"/>
          </w:tcPr>
          <w:p>
            <w:pPr>
              <w:jc w:val="center"/>
              <w:spacing w:after="0" w:line="138" w:lineRule="exact"/>
              <w:rPr>
                <w:sz w:val="20"/>
                <w:szCs w:val="20"/>
                <w:color w:val="auto"/>
              </w:rPr>
            </w:pPr>
            <w:r>
              <w:rPr>
                <w:rFonts w:ascii="Arial" w:cs="Arial" w:eastAsia="Arial" w:hAnsi="Arial"/>
                <w:sz w:val="14"/>
                <w:szCs w:val="14"/>
                <w:color w:val="auto"/>
                <w:w w:val="89"/>
              </w:rPr>
              <w:t>Leisure, Amusement, Motion</w:t>
            </w:r>
          </w:p>
        </w:tc>
        <w:tc>
          <w:tcPr>
            <w:tcW w:w="220" w:type="dxa"/>
            <w:vAlign w:val="bottom"/>
          </w:tcPr>
          <w:p>
            <w:pPr>
              <w:spacing w:after="0"/>
              <w:rPr>
                <w:sz w:val="11"/>
                <w:szCs w:val="11"/>
                <w:color w:val="auto"/>
              </w:rPr>
            </w:pPr>
          </w:p>
        </w:tc>
        <w:tc>
          <w:tcPr>
            <w:tcW w:w="960" w:type="dxa"/>
            <w:vAlign w:val="bottom"/>
            <w:gridSpan w:val="2"/>
          </w:tcPr>
          <w:p>
            <w:pPr>
              <w:jc w:val="right"/>
              <w:ind w:right="560"/>
              <w:spacing w:after="0" w:line="138"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460"/>
              <w:spacing w:after="0" w:line="13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37,500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3,750,000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5,124,014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6"/>
              </w:rPr>
              <w:t>Pictures, Entertainment</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4"/>
              </w:rPr>
              <w:t>Investments in Non-Controlled, Affiliated Portfolio Companies</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16,692,261</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17,885,870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40" w:type="dxa"/>
            <w:vAlign w:val="bottom"/>
            <w:gridSpan w:val="3"/>
          </w:tcPr>
          <w:p>
            <w:pPr>
              <w:spacing w:after="0" w:line="155" w:lineRule="exact"/>
              <w:rPr>
                <w:sz w:val="20"/>
                <w:szCs w:val="20"/>
                <w:color w:val="auto"/>
              </w:rPr>
            </w:pPr>
            <w:r>
              <w:rPr>
                <w:rFonts w:ascii="Arial" w:cs="Arial" w:eastAsia="Arial" w:hAnsi="Arial"/>
                <w:sz w:val="14"/>
                <w:szCs w:val="14"/>
                <w:color w:val="auto"/>
              </w:rPr>
              <w:t>Total Investments—176.6%</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82"/>
              </w:rPr>
              <w:t>444,174,006</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89"/>
              </w:rPr>
              <w:t>372,147,820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Par</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Equivalents—19.1%</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Money Market—Mutual Funds</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2"/>
              </w:rPr>
              <w:t>40,249,201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40,249,201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40,249,201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Equivalents</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2"/>
              </w:rPr>
              <w:t>40,249,201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40,249,201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40,249,201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and Cash Equivalents—195.7%</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2"/>
              </w:rPr>
              <w:t>484,423,207</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412,397,021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Assets—(95.7%)</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8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w w:val="84"/>
              </w:rPr>
              <w:t>(201,668,761)</w:t>
            </w:r>
          </w:p>
        </w:tc>
        <w:tc>
          <w:tcPr>
            <w:tcW w:w="0" w:type="dxa"/>
            <w:vAlign w:val="bottom"/>
          </w:tcPr>
          <w:p>
            <w:pPr>
              <w:spacing w:after="0"/>
              <w:rPr>
                <w:sz w:val="1"/>
                <w:szCs w:val="1"/>
                <w:color w:val="auto"/>
              </w:rPr>
            </w:pPr>
          </w:p>
        </w:tc>
      </w:tr>
      <w:tr>
        <w:trPr>
          <w:trHeight w:val="156"/>
        </w:trPr>
        <w:tc>
          <w:tcPr>
            <w:tcW w:w="39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Net Assets—100.0%</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210,728,260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300" w:hanging="332"/>
        <w:spacing w:after="0" w:line="239"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Investment Company Act of 1940 (the “1940 Act”) “non-controlled” means we own less than 25% of a portfolio company’s voting securities.</w:t>
      </w:r>
    </w:p>
    <w:p>
      <w:pPr>
        <w:spacing w:after="0" w:line="57" w:lineRule="exact"/>
        <w:rPr>
          <w:rFonts w:ascii="Arial" w:cs="Arial" w:eastAsia="Arial" w:hAnsi="Arial"/>
          <w:sz w:val="14"/>
          <w:szCs w:val="14"/>
          <w:color w:val="auto"/>
        </w:rPr>
      </w:pPr>
    </w:p>
    <w:p>
      <w:pPr>
        <w:ind w:left="340" w:right="240" w:hanging="332"/>
        <w:spacing w:after="0" w:line="239"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more than 5% of a portfolio company’s voting securities.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91" w:lineRule="exact"/>
        <w:rPr>
          <w:rFonts w:ascii="Arial" w:cs="Arial" w:eastAsia="Arial" w:hAnsi="Arial"/>
          <w:sz w:val="12"/>
          <w:szCs w:val="12"/>
          <w:color w:val="auto"/>
        </w:rPr>
      </w:pPr>
    </w:p>
    <w:p>
      <w:pPr>
        <w:ind w:left="340" w:right="300" w:hanging="332"/>
        <w:spacing w:after="0" w:line="239"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Coupon payable in cash and/or payment-in-kind (“PIK”).</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Non-income producing.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1"/>
              </w:rPr>
              <w:t>Basis Point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Spread</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90"/>
              </w:rPr>
              <w:t>Current</w:t>
            </w:r>
          </w:p>
        </w:tc>
        <w:tc>
          <w:tcPr>
            <w:tcW w:w="7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4"/>
              </w:rPr>
              <w:t>Above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25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Maturity</w:t>
            </w:r>
          </w:p>
        </w:tc>
        <w:tc>
          <w:tcPr>
            <w:tcW w:w="414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0" w:type="dxa"/>
            <w:vAlign w:val="bottom"/>
          </w:tcPr>
          <w:p>
            <w:pPr>
              <w:spacing w:after="0"/>
              <w:rPr>
                <w:sz w:val="15"/>
                <w:szCs w:val="15"/>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3"/>
              </w:rPr>
              <w:t>Coupon</w:t>
            </w:r>
          </w:p>
        </w:tc>
        <w:tc>
          <w:tcPr>
            <w:tcW w:w="720" w:type="dxa"/>
            <w:vAlign w:val="bottom"/>
            <w:gridSpan w:val="2"/>
          </w:tcPr>
          <w:p>
            <w:pPr>
              <w:jc w:val="center"/>
              <w:ind w:right="6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20" w:type="dxa"/>
            <w:vAlign w:val="bottom"/>
          </w:tcPr>
          <w:p>
            <w:pPr>
              <w:spacing w:after="0"/>
              <w:rPr>
                <w:sz w:val="15"/>
                <w:szCs w:val="15"/>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Par</w:t>
            </w:r>
          </w:p>
        </w:tc>
        <w:tc>
          <w:tcPr>
            <w:tcW w:w="6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248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Investments in Non-Controlled, Non-</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8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4"/>
                <w:szCs w:val="14"/>
                <w:b w:val="1"/>
                <w:bCs w:val="1"/>
                <w:color w:val="auto"/>
              </w:rPr>
              <w:t>Affiliated Portfolio Companies—</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8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101.6%</w:t>
            </w:r>
            <w:r>
              <w:rPr>
                <w:rFonts w:ascii="Arial" w:cs="Arial" w:eastAsia="Arial" w:hAnsi="Arial"/>
                <w:sz w:val="20"/>
                <w:szCs w:val="20"/>
                <w:b w:val="1"/>
                <w:bCs w:val="1"/>
                <w:color w:val="auto"/>
                <w:vertAlign w:val="superscript"/>
              </w:rPr>
              <w:t>(1)</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00" w:type="dxa"/>
            <w:vAlign w:val="bottom"/>
            <w:gridSpan w:val="3"/>
          </w:tcPr>
          <w:p>
            <w:pPr>
              <w:spacing w:after="0"/>
              <w:rPr>
                <w:sz w:val="20"/>
                <w:szCs w:val="20"/>
                <w:color w:val="auto"/>
              </w:rPr>
            </w:pPr>
            <w:r>
              <w:rPr>
                <w:rFonts w:ascii="Arial" w:cs="Arial" w:eastAsia="Arial" w:hAnsi="Arial"/>
                <w:sz w:val="14"/>
                <w:szCs w:val="14"/>
                <w:b w:val="1"/>
                <w:bCs w:val="1"/>
                <w:color w:val="auto"/>
                <w:w w:val="98"/>
              </w:rPr>
              <w:t>Subordinated Debt/Corporate Notes—</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760" w:type="dxa"/>
            <w:vAlign w:val="bottom"/>
            <w:gridSpan w:val="2"/>
          </w:tcPr>
          <w:p>
            <w:pPr>
              <w:ind w:left="220"/>
              <w:spacing w:after="0"/>
              <w:rPr>
                <w:sz w:val="20"/>
                <w:szCs w:val="20"/>
                <w:color w:val="auto"/>
              </w:rPr>
            </w:pPr>
            <w:r>
              <w:rPr>
                <w:rFonts w:ascii="Arial" w:cs="Arial" w:eastAsia="Arial" w:hAnsi="Arial"/>
                <w:sz w:val="14"/>
                <w:szCs w:val="14"/>
                <w:b w:val="1"/>
                <w:bCs w:val="1"/>
                <w:color w:val="auto"/>
              </w:rPr>
              <w:t>19.8%</w:t>
            </w:r>
          </w:p>
        </w:tc>
        <w:tc>
          <w:tcPr>
            <w:tcW w:w="1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Advanstar,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11/30/2015</w:t>
            </w:r>
          </w:p>
        </w:tc>
        <w:tc>
          <w:tcPr>
            <w:tcW w:w="4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1"/>
                <w:szCs w:val="11"/>
                <w:color w:val="auto"/>
              </w:rPr>
              <w:t>12.20%</w:t>
            </w:r>
            <w:r>
              <w:rPr>
                <w:rFonts w:ascii="Arial" w:cs="Arial" w:eastAsia="Arial" w:hAnsi="Arial"/>
                <w:sz w:val="17"/>
                <w:szCs w:val="17"/>
                <w:color w:val="auto"/>
                <w:vertAlign w:val="superscript"/>
              </w:rPr>
              <w:t>(7)</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L+700</w:t>
            </w: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14,580,690</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2"/>
              </w:rPr>
              <w:t>$14,580,690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$14,580,690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03/01/2012</w:t>
            </w:r>
          </w:p>
        </w:tc>
        <w:tc>
          <w:tcPr>
            <w:tcW w:w="41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1"/>
                <w:szCs w:val="11"/>
                <w:color w:val="auto"/>
              </w:rPr>
              <w:t>11.68%</w:t>
            </w:r>
            <w:r>
              <w:rPr>
                <w:rFonts w:ascii="Arial" w:cs="Arial" w:eastAsia="Arial" w:hAnsi="Arial"/>
                <w:sz w:val="17"/>
                <w:szCs w:val="17"/>
                <w:color w:val="auto"/>
                <w:vertAlign w:val="superscript"/>
              </w:rPr>
              <w:t>(7)</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L+625</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2"/>
              </w:rPr>
              <w:t>18,500,000</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18,106,103</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17,760,000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Realogy, Corp.</w:t>
            </w:r>
            <w:r>
              <w:rPr>
                <w:rFonts w:ascii="Arial" w:cs="Arial" w:eastAsia="Arial" w:hAnsi="Arial"/>
                <w:sz w:val="17"/>
                <w:szCs w:val="17"/>
                <w:color w:val="auto"/>
                <w:vertAlign w:val="superscript"/>
              </w:rPr>
              <w:t>(6)</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04/15/2015</w:t>
            </w:r>
          </w:p>
        </w:tc>
        <w:tc>
          <w:tcPr>
            <w:tcW w:w="4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0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12.38%</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28,000,000</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26,117,780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21,140,000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50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Total Subordinated Debt/Corporate</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8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Notes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82"/>
              </w:rPr>
              <w:t>61,080,690</w:t>
            </w: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58,804,573</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rPr>
              <w:t>53,480,690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Debt—21.8%</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11/04/2014</w:t>
            </w:r>
          </w:p>
        </w:tc>
        <w:tc>
          <w:tcPr>
            <w:tcW w:w="414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0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12.08%</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L+650</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2"/>
              </w:rPr>
              <w:t>10,000,000</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(6)</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05/15/2015</w:t>
            </w:r>
          </w:p>
        </w:tc>
        <w:tc>
          <w:tcPr>
            <w:tcW w:w="4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10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13.31%</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L+775</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10,000,000</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9,932,321</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(6)</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05/15/2017</w:t>
            </w:r>
          </w:p>
        </w:tc>
        <w:tc>
          <w:tcPr>
            <w:tcW w:w="4140" w:type="dxa"/>
            <w:vAlign w:val="bottom"/>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10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12.50%</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2"/>
              </w:rPr>
              <w:t>19,000,000</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16,198,167</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12,730,000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Specialized Technology Resources,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12/15/2014</w:t>
            </w:r>
          </w:p>
        </w:tc>
        <w:tc>
          <w:tcPr>
            <w:tcW w:w="4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10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12.13%</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L+700</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17,500,000</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17,493,750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17,237,500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TransFirst Holdings,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06/15/2015</w:t>
            </w:r>
          </w:p>
        </w:tc>
        <w:tc>
          <w:tcPr>
            <w:tcW w:w="414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1"/>
                <w:szCs w:val="11"/>
                <w:color w:val="auto"/>
              </w:rPr>
              <w:t>11.30%</w:t>
            </w:r>
            <w:r>
              <w:rPr>
                <w:rFonts w:ascii="Arial" w:cs="Arial" w:eastAsia="Arial" w:hAnsi="Arial"/>
                <w:sz w:val="17"/>
                <w:szCs w:val="17"/>
                <w:color w:val="auto"/>
                <w:vertAlign w:val="superscript"/>
              </w:rPr>
              <w:t>(7)</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L+600</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2"/>
              </w:rPr>
              <w:t>13,000,000</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12,886,250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12,431,250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69,500,000</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66,510,488</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58,998,750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gridSpan w:val="2"/>
            <w:shd w:val="clear" w:color="auto" w:fill="CCEEFF"/>
          </w:tcPr>
          <w:p>
            <w:pPr>
              <w:spacing w:after="0" w:line="129" w:lineRule="exact"/>
              <w:rPr>
                <w:sz w:val="20"/>
                <w:szCs w:val="20"/>
                <w:color w:val="auto"/>
              </w:rPr>
            </w:pPr>
            <w:r>
              <w:rPr>
                <w:rFonts w:ascii="Arial" w:cs="Arial" w:eastAsia="Arial" w:hAnsi="Arial"/>
                <w:sz w:val="10"/>
                <w:szCs w:val="10"/>
                <w:b w:val="1"/>
                <w:bCs w:val="1"/>
                <w:color w:val="auto"/>
              </w:rPr>
              <w:t>Common Equity/Partnership Interest</w:t>
            </w:r>
            <w:r>
              <w:rPr>
                <w:rFonts w:ascii="Arial" w:cs="Arial" w:eastAsia="Arial" w:hAnsi="Arial"/>
                <w:sz w:val="14"/>
                <w:szCs w:val="14"/>
                <w:b w:val="1"/>
                <w:bCs w:val="1"/>
                <w:color w:val="auto"/>
                <w:vertAlign w:val="superscript"/>
              </w:rPr>
              <w:t>(8)</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8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—1.2%</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(Advanstar Inc.)</w:t>
            </w:r>
          </w:p>
        </w:tc>
        <w:tc>
          <w:tcPr>
            <w:tcW w:w="7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414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20" w:type="dxa"/>
            <w:vAlign w:val="bottom"/>
          </w:tcPr>
          <w:p>
            <w:pPr>
              <w:spacing w:after="0"/>
              <w:rPr>
                <w:sz w:val="12"/>
                <w:szCs w:val="12"/>
                <w:color w:val="auto"/>
              </w:rPr>
            </w:pPr>
          </w:p>
        </w:tc>
        <w:tc>
          <w:tcPr>
            <w:tcW w:w="8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3,000</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3,000,000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3,269,685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Par</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Debt—58.8%</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Berry Plastics Group,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04/03/2015</w:t>
            </w:r>
          </w:p>
        </w:tc>
        <w:tc>
          <w:tcPr>
            <w:tcW w:w="41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10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7.34%</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L+200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7,462,500</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7,462,500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7,274,602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4"/>
              </w:rPr>
              <w:t>Burlington Coat Factory Warehouse Corp.</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05/28/2013</w:t>
            </w:r>
          </w:p>
        </w:tc>
        <w:tc>
          <w:tcPr>
            <w:tcW w:w="4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0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7.76%</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L+225</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7,896,473</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7,887,537</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7,571,975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80" w:type="dxa"/>
            <w:vAlign w:val="bottom"/>
            <w:gridSpan w:val="2"/>
          </w:tcPr>
          <w:p>
            <w:pPr>
              <w:spacing w:after="0" w:line="138" w:lineRule="exact"/>
              <w:rPr>
                <w:sz w:val="20"/>
                <w:szCs w:val="20"/>
                <w:color w:val="auto"/>
              </w:rPr>
            </w:pPr>
            <w:r>
              <w:rPr>
                <w:rFonts w:ascii="Arial" w:cs="Arial" w:eastAsia="Arial" w:hAnsi="Arial"/>
                <w:sz w:val="14"/>
                <w:szCs w:val="14"/>
                <w:color w:val="auto"/>
              </w:rPr>
              <w:t>Charter Communications Operating,</w:t>
            </w:r>
          </w:p>
        </w:tc>
        <w:tc>
          <w:tcPr>
            <w:tcW w:w="74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03/06/2014</w:t>
            </w:r>
          </w:p>
        </w:tc>
        <w:tc>
          <w:tcPr>
            <w:tcW w:w="4140" w:type="dxa"/>
            <w:vAlign w:val="bottom"/>
          </w:tcPr>
          <w:p>
            <w:pPr>
              <w:jc w:val="center"/>
              <w:spacing w:after="0" w:line="138" w:lineRule="exact"/>
              <w:rPr>
                <w:sz w:val="20"/>
                <w:szCs w:val="20"/>
                <w:color w:val="auto"/>
              </w:rPr>
            </w:pPr>
            <w:r>
              <w:rPr>
                <w:rFonts w:ascii="Arial" w:cs="Arial" w:eastAsia="Arial" w:hAnsi="Arial"/>
                <w:sz w:val="14"/>
                <w:szCs w:val="14"/>
                <w:color w:val="auto"/>
                <w:w w:val="88"/>
              </w:rPr>
              <w:t>Cable Television</w:t>
            </w:r>
          </w:p>
        </w:tc>
        <w:tc>
          <w:tcPr>
            <w:tcW w:w="1000" w:type="dxa"/>
            <w:vAlign w:val="bottom"/>
            <w:gridSpan w:val="3"/>
          </w:tcPr>
          <w:p>
            <w:pPr>
              <w:jc w:val="right"/>
              <w:ind w:right="300"/>
              <w:spacing w:after="0" w:line="138" w:lineRule="exact"/>
              <w:rPr>
                <w:sz w:val="20"/>
                <w:szCs w:val="20"/>
                <w:color w:val="auto"/>
              </w:rPr>
            </w:pPr>
            <w:r>
              <w:rPr>
                <w:rFonts w:ascii="Arial" w:cs="Arial" w:eastAsia="Arial" w:hAnsi="Arial"/>
                <w:sz w:val="14"/>
                <w:szCs w:val="14"/>
                <w:color w:val="auto"/>
              </w:rPr>
              <w:t>7.13%</w:t>
            </w: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L+200</w:t>
            </w:r>
          </w:p>
        </w:tc>
        <w:tc>
          <w:tcPr>
            <w:tcW w:w="120" w:type="dxa"/>
            <w:vAlign w:val="bottom"/>
          </w:tcPr>
          <w:p>
            <w:pPr>
              <w:spacing w:after="0"/>
              <w:rPr>
                <w:sz w:val="11"/>
                <w:szCs w:val="11"/>
                <w:color w:val="auto"/>
              </w:rPr>
            </w:pPr>
          </w:p>
        </w:tc>
        <w:tc>
          <w:tcPr>
            <w:tcW w:w="66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w w:val="82"/>
              </w:rPr>
              <w:t>15,000,000</w:t>
            </w:r>
          </w:p>
        </w:tc>
        <w:tc>
          <w:tcPr>
            <w:tcW w:w="80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14,992,740</w:t>
            </w:r>
          </w:p>
        </w:tc>
        <w:tc>
          <w:tcPr>
            <w:tcW w:w="7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14,468,310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L.L.C.</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Cohr Holdings,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01/31/2013</w:t>
            </w:r>
          </w:p>
        </w:tc>
        <w:tc>
          <w:tcPr>
            <w:tcW w:w="4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Healthcare, Education and Childcare</w:t>
            </w:r>
          </w:p>
        </w:tc>
        <w:tc>
          <w:tcPr>
            <w:tcW w:w="10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8.04%</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L+250</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2,985,000</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2,985,000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2,388,000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FR Brand Acquisition Corp.</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02/07/2014</w:t>
            </w:r>
          </w:p>
        </w:tc>
        <w:tc>
          <w:tcPr>
            <w:tcW w:w="4140" w:type="dxa"/>
            <w:vAlign w:val="bottom"/>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10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7.53%</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L+225</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1,990,000</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1,990,000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1,887,183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Gatehouse Media Operating,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08/28/2014</w:t>
            </w:r>
          </w:p>
        </w:tc>
        <w:tc>
          <w:tcPr>
            <w:tcW w:w="4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Media</w:t>
            </w:r>
          </w:p>
        </w:tc>
        <w:tc>
          <w:tcPr>
            <w:tcW w:w="10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7.47%</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L+200</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7,000,000</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7,000,000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6,405,000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General Nutrition Centers,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09/16/2013</w:t>
            </w:r>
          </w:p>
        </w:tc>
        <w:tc>
          <w:tcPr>
            <w:tcW w:w="4140" w:type="dxa"/>
            <w:vAlign w:val="bottom"/>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0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7.61%</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L+225</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6,483,750</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6,487,788</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6,147,405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Greatwide Logistics Services,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12/19/2013</w:t>
            </w:r>
          </w:p>
        </w:tc>
        <w:tc>
          <w:tcPr>
            <w:tcW w:w="4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10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8.70%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L+350</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6,947,500</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6,947,500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6,079,062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Hanley-Wood, L.L.C.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03/08/2014</w:t>
            </w:r>
          </w:p>
        </w:tc>
        <w:tc>
          <w:tcPr>
            <w:tcW w:w="414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0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7.60%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L+225</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9,000,000</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9,000,000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7,845,003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Hawker Beechcraft,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03/28/2014</w:t>
            </w:r>
          </w:p>
        </w:tc>
        <w:tc>
          <w:tcPr>
            <w:tcW w:w="4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0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7.21%</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L+200</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1,990,780</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1,990,780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1,930,226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Health Management Associates,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02/28/2014</w:t>
            </w:r>
          </w:p>
        </w:tc>
        <w:tc>
          <w:tcPr>
            <w:tcW w:w="4140" w:type="dxa"/>
            <w:vAlign w:val="bottom"/>
          </w:tcPr>
          <w:p>
            <w:pPr>
              <w:jc w:val="center"/>
              <w:spacing w:after="0" w:line="149" w:lineRule="exact"/>
              <w:rPr>
                <w:sz w:val="20"/>
                <w:szCs w:val="20"/>
                <w:color w:val="auto"/>
              </w:rPr>
            </w:pPr>
            <w:r>
              <w:rPr>
                <w:rFonts w:ascii="Arial" w:cs="Arial" w:eastAsia="Arial" w:hAnsi="Arial"/>
                <w:sz w:val="14"/>
                <w:szCs w:val="14"/>
                <w:color w:val="auto"/>
                <w:w w:val="86"/>
              </w:rPr>
              <w:t>Healthcare, Education and Childcare</w:t>
            </w:r>
          </w:p>
        </w:tc>
        <w:tc>
          <w:tcPr>
            <w:tcW w:w="10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6.95%</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L+175</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9,950,000</w:t>
            </w: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9,950,000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9,441,615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Hughes Network Systems, L.L.C.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04/15/2014</w:t>
            </w:r>
          </w:p>
        </w:tc>
        <w:tc>
          <w:tcPr>
            <w:tcW w:w="4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0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8.06%</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L+250</w:t>
            </w:r>
          </w:p>
        </w:tc>
        <w:tc>
          <w:tcPr>
            <w:tcW w:w="1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5,000,000</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5,000,000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4,625,000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Arial" w:cs="Arial" w:eastAsia="Arial" w:hAnsi="Arial"/>
                <w:sz w:val="14"/>
                <w:szCs w:val="14"/>
                <w:color w:val="auto"/>
              </w:rPr>
              <w:t>Jacuzzi Brands Corp.</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02/07/2014</w:t>
            </w:r>
          </w:p>
        </w:tc>
        <w:tc>
          <w:tcPr>
            <w:tcW w:w="4140" w:type="dxa"/>
            <w:vAlign w:val="bottom"/>
          </w:tcPr>
          <w:p>
            <w:pPr>
              <w:jc w:val="center"/>
              <w:spacing w:after="0"/>
              <w:rPr>
                <w:sz w:val="20"/>
                <w:szCs w:val="20"/>
                <w:color w:val="auto"/>
              </w:rPr>
            </w:pPr>
            <w:r>
              <w:rPr>
                <w:rFonts w:ascii="Arial" w:cs="Arial" w:eastAsia="Arial" w:hAnsi="Arial"/>
                <w:sz w:val="14"/>
                <w:szCs w:val="14"/>
                <w:color w:val="auto"/>
                <w:w w:val="86"/>
              </w:rPr>
              <w:t>Home and Office Furnishings, Housewares and Durable Consumer Products</w:t>
            </w:r>
          </w:p>
        </w:tc>
        <w:tc>
          <w:tcPr>
            <w:tcW w:w="1000" w:type="dxa"/>
            <w:vAlign w:val="bottom"/>
            <w:gridSpan w:val="3"/>
          </w:tcPr>
          <w:p>
            <w:pPr>
              <w:jc w:val="right"/>
              <w:ind w:right="300"/>
              <w:spacing w:after="0"/>
              <w:rPr>
                <w:sz w:val="20"/>
                <w:szCs w:val="20"/>
                <w:color w:val="auto"/>
              </w:rPr>
            </w:pPr>
            <w:r>
              <w:rPr>
                <w:rFonts w:ascii="Arial" w:cs="Arial" w:eastAsia="Arial" w:hAnsi="Arial"/>
                <w:sz w:val="14"/>
                <w:szCs w:val="14"/>
                <w:color w:val="auto"/>
              </w:rPr>
              <w:t>7.44%</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L+225</w:t>
            </w: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9,963,514</w:t>
            </w: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9,963,514</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8,947,235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1"/>
              </w:rPr>
              <w:t>Basis Point</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w w:val="90"/>
              </w:rPr>
              <w:t>Current</w:t>
            </w:r>
          </w:p>
        </w:tc>
        <w:tc>
          <w:tcPr>
            <w:tcW w:w="7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Above</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22"/>
                <w:szCs w:val="22"/>
                <w:b w:val="1"/>
                <w:bCs w:val="1"/>
                <w:color w:val="auto"/>
                <w:w w:val="93"/>
                <w:vertAlign w:val="superscript"/>
              </w:rPr>
              <w:t>(3)</w:t>
            </w:r>
          </w:p>
        </w:tc>
        <w:tc>
          <w:tcPr>
            <w:tcW w:w="0" w:type="dxa"/>
            <w:vAlign w:val="bottom"/>
          </w:tcPr>
          <w:p>
            <w:pPr>
              <w:spacing w:after="0"/>
              <w:rPr>
                <w:sz w:val="1"/>
                <w:szCs w:val="1"/>
                <w:color w:val="auto"/>
              </w:rPr>
            </w:pPr>
          </w:p>
        </w:tc>
      </w:tr>
      <w:tr>
        <w:trPr>
          <w:trHeight w:val="176"/>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Maturity</w:t>
            </w:r>
          </w:p>
        </w:tc>
        <w:tc>
          <w:tcPr>
            <w:tcW w:w="304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8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3"/>
              </w:rPr>
              <w:t>Coupon</w:t>
            </w:r>
          </w:p>
        </w:tc>
        <w:tc>
          <w:tcPr>
            <w:tcW w:w="74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40" w:type="dxa"/>
            <w:vAlign w:val="bottom"/>
          </w:tcPr>
          <w:p>
            <w:pPr>
              <w:spacing w:after="0"/>
              <w:rPr>
                <w:sz w:val="15"/>
                <w:szCs w:val="15"/>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Par</w:t>
            </w:r>
          </w:p>
        </w:tc>
        <w:tc>
          <w:tcPr>
            <w:tcW w:w="24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1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Debt—(Continued)</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Level 3 Financing, Inc.</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03/13/2014</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7.61%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1,939,642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Levlad, L.L.C.</w:t>
            </w:r>
          </w:p>
        </w:tc>
        <w:tc>
          <w:tcPr>
            <w:tcW w:w="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03/08/2014</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7.58%</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4,842,920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4,842,920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3,357,757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Longview Power, L.L.C.</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02/28/2014</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7"/>
              </w:rPr>
              <w:t>Utilities</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7.56%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2,020,000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2,020,000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1,939,200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Longview Power, L.L.C.</w:t>
            </w:r>
            <w:r>
              <w:rPr>
                <w:rFonts w:ascii="Arial" w:cs="Arial" w:eastAsia="Arial" w:hAnsi="Arial"/>
                <w:sz w:val="17"/>
                <w:szCs w:val="17"/>
                <w:color w:val="auto"/>
                <w:vertAlign w:val="superscript"/>
              </w:rPr>
              <w:t>(5)</w:t>
            </w:r>
          </w:p>
        </w:tc>
        <w:tc>
          <w:tcPr>
            <w:tcW w:w="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02/28/2014</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Utilities</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940,800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Mach Gen, L.L.C.</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02/22/2014</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7"/>
              </w:rPr>
              <w:t>Utilities</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7.34%</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3,972,813</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3,971,545</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3,845,683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3840" w:type="dxa"/>
            <w:vAlign w:val="bottom"/>
            <w:gridSpan w:val="3"/>
            <w:shd w:val="clear" w:color="auto" w:fill="CCEEFF"/>
          </w:tcPr>
          <w:p>
            <w:pPr>
              <w:ind w:left="20"/>
              <w:spacing w:after="0" w:line="138" w:lineRule="exact"/>
              <w:rPr>
                <w:sz w:val="20"/>
                <w:szCs w:val="20"/>
                <w:color w:val="auto"/>
              </w:rPr>
            </w:pPr>
            <w:r>
              <w:rPr>
                <w:rFonts w:ascii="Arial" w:cs="Arial" w:eastAsia="Arial" w:hAnsi="Arial"/>
                <w:sz w:val="14"/>
                <w:szCs w:val="14"/>
                <w:color w:val="auto"/>
                <w:w w:val="88"/>
              </w:rPr>
              <w:t>01/18/2014   Home and Office Furnishings, Housewares and Durable</w:t>
            </w:r>
          </w:p>
        </w:tc>
        <w:tc>
          <w:tcPr>
            <w:tcW w:w="98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7.61%</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L+225</w:t>
            </w: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3,990,000</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3,990,000</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3,740,625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Products</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McJunkin Corp.</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01/31/2014</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7.45%</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982,525</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982,525</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965,331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Mitchell International, Inc.</w:t>
            </w:r>
          </w:p>
        </w:tc>
        <w:tc>
          <w:tcPr>
            <w:tcW w:w="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03/28/2014</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7.20%</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3,835,725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200" w:type="dxa"/>
            <w:vAlign w:val="bottom"/>
            <w:gridSpan w:val="3"/>
          </w:tcPr>
          <w:p>
            <w:pPr>
              <w:spacing w:after="0"/>
              <w:rPr>
                <w:sz w:val="20"/>
                <w:szCs w:val="20"/>
                <w:color w:val="auto"/>
              </w:rPr>
            </w:pPr>
            <w:r>
              <w:rPr>
                <w:rFonts w:ascii="Arial" w:cs="Arial" w:eastAsia="Arial" w:hAnsi="Arial"/>
                <w:sz w:val="14"/>
                <w:szCs w:val="14"/>
                <w:color w:val="auto"/>
              </w:rPr>
              <w:t>National Bedding Co., L.L.C.</w:t>
            </w:r>
          </w:p>
        </w:tc>
        <w:tc>
          <w:tcPr>
            <w:tcW w:w="3840" w:type="dxa"/>
            <w:vAlign w:val="bottom"/>
            <w:gridSpan w:val="3"/>
          </w:tcPr>
          <w:p>
            <w:pPr>
              <w:ind w:left="20"/>
              <w:spacing w:after="0"/>
              <w:rPr>
                <w:sz w:val="20"/>
                <w:szCs w:val="20"/>
                <w:color w:val="auto"/>
              </w:rPr>
            </w:pPr>
            <w:r>
              <w:rPr>
                <w:rFonts w:ascii="Arial" w:cs="Arial" w:eastAsia="Arial" w:hAnsi="Arial"/>
                <w:sz w:val="14"/>
                <w:szCs w:val="14"/>
                <w:color w:val="auto"/>
                <w:w w:val="88"/>
              </w:rPr>
              <w:t>08/31/2011   Home and Office Furnishings, Housewares and Durable</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7.43%</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L+200</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6,965,000</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6,971,653</w:t>
            </w:r>
          </w:p>
        </w:tc>
        <w:tc>
          <w:tcPr>
            <w:tcW w:w="24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6,668,988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40" w:type="dxa"/>
            <w:vAlign w:val="bottom"/>
          </w:tcPr>
          <w:p>
            <w:pPr>
              <w:jc w:val="center"/>
              <w:spacing w:after="0" w:line="159" w:lineRule="exact"/>
              <w:rPr>
                <w:sz w:val="20"/>
                <w:szCs w:val="20"/>
                <w:color w:val="auto"/>
              </w:rPr>
            </w:pPr>
            <w:r>
              <w:rPr>
                <w:rFonts w:ascii="Arial" w:cs="Arial" w:eastAsia="Arial" w:hAnsi="Arial"/>
                <w:sz w:val="14"/>
                <w:szCs w:val="14"/>
                <w:color w:val="auto"/>
                <w:w w:val="85"/>
              </w:rPr>
              <w:t>Consumer Products</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Penton Media, Inc.</w:t>
            </w:r>
          </w:p>
        </w:tc>
        <w:tc>
          <w:tcPr>
            <w:tcW w:w="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02/01/2013</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7.59%</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4,975,000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4,975,000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4,716,922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Philosophy, Inc.</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03/16/2014</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7.36%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1,493,333</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1,493,333</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1,344,000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Proquest CSA, L.L.C.</w:t>
            </w:r>
          </w:p>
        </w:tc>
        <w:tc>
          <w:tcPr>
            <w:tcW w:w="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02/09/2014</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8.20%</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L+300</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955,833</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955,833</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936,716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05/04/2014</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8.56%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L+300</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4,974,167</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4,974,167</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4,839,742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Reader’s Digest Association, Inc.</w:t>
            </w:r>
          </w:p>
        </w:tc>
        <w:tc>
          <w:tcPr>
            <w:tcW w:w="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03/02/2014</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Printing and Publishing</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7.43%</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995,006</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995,006</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940,281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Rexnord , L.L.C.</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07/19/2013</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88"/>
              </w:rPr>
              <w:t>Manufacturing and Basic Industry</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7.64%</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4,937,500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4,937,500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4,835,664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Sitel, L.L.C.</w:t>
            </w:r>
          </w:p>
        </w:tc>
        <w:tc>
          <w:tcPr>
            <w:tcW w:w="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01/30/2014</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7.78%</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L+250</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2,867,302</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2,867,302</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2,680,927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Univision Communications Inc.</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09/29/2014</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86"/>
              </w:rPr>
              <w:t>Broadcasting and Entertainment</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7.57%</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14,093,960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14,093,960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13,389,262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Univision Communications Inc.</w:t>
            </w:r>
            <w:r>
              <w:rPr>
                <w:rFonts w:ascii="Arial" w:cs="Arial" w:eastAsia="Arial" w:hAnsi="Arial"/>
                <w:sz w:val="17"/>
                <w:szCs w:val="17"/>
                <w:color w:val="auto"/>
                <w:vertAlign w:val="superscript"/>
              </w:rPr>
              <w:t>(5)</w:t>
            </w:r>
          </w:p>
        </w:tc>
        <w:tc>
          <w:tcPr>
            <w:tcW w:w="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09/29/2014</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Broadcasting and Entertainment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906,040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906,040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860,738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Valassis Communications, Inc.</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03/02/2014</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89"/>
              </w:rPr>
              <w:t>Printing and Publishing</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6.95%</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L+175</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7,061,899</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7,061,899</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6,549,911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Valassis Communications, Inc.</w:t>
            </w:r>
            <w:r>
              <w:rPr>
                <w:rFonts w:ascii="Arial" w:cs="Arial" w:eastAsia="Arial" w:hAnsi="Arial"/>
                <w:sz w:val="17"/>
                <w:szCs w:val="17"/>
                <w:color w:val="auto"/>
                <w:vertAlign w:val="superscript"/>
              </w:rPr>
              <w:t>(5)</w:t>
            </w:r>
          </w:p>
        </w:tc>
        <w:tc>
          <w:tcPr>
            <w:tcW w:w="8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03/02/2014</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Printing and Publishing</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2,103,908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2,103,908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1,951,375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Western Refining, Inc.</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05/30/2014</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6.88%</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L+175</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3,714,286</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3,714,286</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3,640,000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170,481,009</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170,474,236</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158,929,905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20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w w:val="93"/>
              </w:rPr>
              <w:t>Total Investments in Non-Controlled, Non-Affiliated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80" w:type="dxa"/>
            <w:vAlign w:val="bottom"/>
            <w:gridSpan w:val="2"/>
          </w:tcPr>
          <w:p>
            <w:pPr>
              <w:ind w:left="200"/>
              <w:spacing w:after="0"/>
              <w:rPr>
                <w:sz w:val="20"/>
                <w:szCs w:val="20"/>
                <w:color w:val="auto"/>
              </w:rPr>
            </w:pPr>
            <w:r>
              <w:rPr>
                <w:rFonts w:ascii="Arial" w:cs="Arial" w:eastAsia="Arial" w:hAnsi="Arial"/>
                <w:sz w:val="14"/>
                <w:szCs w:val="14"/>
                <w:b w:val="1"/>
                <w:bCs w:val="1"/>
                <w:color w:val="auto"/>
              </w:rPr>
              <w:t>Portfolio Companies</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u w:val="single" w:color="auto"/>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84"/>
              </w:rPr>
              <w:t>298,789,297</w:t>
            </w:r>
          </w:p>
        </w:tc>
        <w:tc>
          <w:tcPr>
            <w:tcW w:w="240" w:type="dxa"/>
            <w:vAlign w:val="bottom"/>
          </w:tcPr>
          <w:p>
            <w:pPr>
              <w:jc w:val="right"/>
              <w:spacing w:after="0"/>
              <w:rPr>
                <w:sz w:val="20"/>
                <w:szCs w:val="20"/>
                <w:color w:val="auto"/>
              </w:rPr>
            </w:pPr>
            <w:r>
              <w:rPr>
                <w:rFonts w:ascii="Arial" w:cs="Arial" w:eastAsia="Arial" w:hAnsi="Arial"/>
                <w:sz w:val="14"/>
                <w:szCs w:val="14"/>
                <w:u w:val="single" w:color="auto"/>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w w:val="84"/>
              </w:rPr>
              <w:t>274,679,030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Basis Point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Spread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90"/>
              </w:rPr>
              <w:t>Current</w:t>
            </w: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4"/>
              </w:rPr>
              <w:t>Above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22"/>
                <w:szCs w:val="22"/>
                <w:b w:val="1"/>
                <w:bCs w:val="1"/>
                <w:color w:val="auto"/>
                <w:w w:val="93"/>
                <w:vertAlign w:val="superscript"/>
              </w:rPr>
              <w:t>(3)</w:t>
            </w:r>
          </w:p>
        </w:tc>
        <w:tc>
          <w:tcPr>
            <w:tcW w:w="0" w:type="dxa"/>
            <w:vAlign w:val="bottom"/>
          </w:tcPr>
          <w:p>
            <w:pPr>
              <w:spacing w:after="0"/>
              <w:rPr>
                <w:sz w:val="1"/>
                <w:szCs w:val="1"/>
                <w:color w:val="auto"/>
              </w:rPr>
            </w:pPr>
          </w:p>
        </w:tc>
      </w:tr>
      <w:tr>
        <w:trPr>
          <w:trHeight w:val="176"/>
        </w:trPr>
        <w:tc>
          <w:tcPr>
            <w:tcW w:w="41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Maturity</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Coupon</w:t>
            </w:r>
          </w:p>
        </w:tc>
        <w:tc>
          <w:tcPr>
            <w:tcW w:w="86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8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Par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4120" w:type="dxa"/>
            <w:vAlign w:val="bottom"/>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Investments in Non-Controlled, Affiliated Portfolio Companies—</w:t>
            </w: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shd w:val="clear" w:color="auto" w:fill="CCEEFF"/>
          </w:tcPr>
          <w:p>
            <w:pPr>
              <w:jc w:val="right"/>
              <w:ind w:right="35"/>
              <w:spacing w:after="0" w:line="176" w:lineRule="exact"/>
              <w:rPr>
                <w:sz w:val="20"/>
                <w:szCs w:val="20"/>
                <w:color w:val="auto"/>
              </w:rPr>
            </w:pPr>
            <w:r>
              <w:rPr>
                <w:rFonts w:ascii="Arial" w:cs="Arial" w:eastAsia="Arial" w:hAnsi="Arial"/>
                <w:sz w:val="13"/>
                <w:szCs w:val="13"/>
                <w:b w:val="1"/>
                <w:bCs w:val="1"/>
                <w:color w:val="auto"/>
              </w:rPr>
              <w:t>6.0%</w:t>
            </w:r>
            <w:r>
              <w:rPr>
                <w:rFonts w:ascii="Arial" w:cs="Arial" w:eastAsia="Arial" w:hAnsi="Arial"/>
                <w:sz w:val="20"/>
                <w:szCs w:val="20"/>
                <w:b w:val="1"/>
                <w:bCs w:val="1"/>
                <w:color w:val="auto"/>
                <w:vertAlign w:val="superscript"/>
              </w:rPr>
              <w:t>(2)</w:t>
            </w:r>
          </w:p>
        </w:tc>
        <w:tc>
          <w:tcPr>
            <w:tcW w:w="33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140" w:type="dxa"/>
            <w:vAlign w:val="bottom"/>
            <w:gridSpan w:val="3"/>
          </w:tcPr>
          <w:p>
            <w:pPr>
              <w:spacing w:after="0"/>
              <w:rPr>
                <w:sz w:val="20"/>
                <w:szCs w:val="20"/>
                <w:color w:val="auto"/>
              </w:rPr>
            </w:pPr>
            <w:r>
              <w:rPr>
                <w:rFonts w:ascii="Arial" w:cs="Arial" w:eastAsia="Arial" w:hAnsi="Arial"/>
                <w:sz w:val="14"/>
                <w:szCs w:val="14"/>
                <w:b w:val="1"/>
                <w:bCs w:val="1"/>
                <w:color w:val="auto"/>
              </w:rPr>
              <w:t>Subordinated Debt/Corporate Notes—1.4%</w:t>
            </w: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8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8"/>
              </w:rPr>
              <w:t>07/02/2014</w:t>
            </w:r>
          </w:p>
        </w:tc>
        <w:tc>
          <w:tcPr>
            <w:tcW w:w="16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Leisure, Amusement, Motion</w:t>
            </w:r>
          </w:p>
        </w:tc>
        <w:tc>
          <w:tcPr>
            <w:tcW w:w="1180" w:type="dxa"/>
            <w:vAlign w:val="bottom"/>
            <w:gridSpan w:val="3"/>
            <w:shd w:val="clear" w:color="auto" w:fill="CCEEFF"/>
          </w:tcPr>
          <w:p>
            <w:pPr>
              <w:jc w:val="right"/>
              <w:ind w:right="26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(7)</w:t>
            </w:r>
          </w:p>
        </w:tc>
        <w:tc>
          <w:tcPr>
            <w:tcW w:w="86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3,837,578</w:t>
            </w:r>
          </w:p>
        </w:tc>
        <w:tc>
          <w:tcPr>
            <w:tcW w:w="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3,592,573</w:t>
            </w:r>
          </w:p>
        </w:tc>
        <w:tc>
          <w:tcPr>
            <w:tcW w:w="3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3,837,578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Pictures, Entertainment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Debt—3.2%</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Inc.</w:t>
            </w:r>
          </w:p>
        </w:tc>
        <w:tc>
          <w:tcPr>
            <w:tcW w:w="8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8"/>
              </w:rPr>
              <w:t>07/02/2013</w:t>
            </w:r>
          </w:p>
        </w:tc>
        <w:tc>
          <w:tcPr>
            <w:tcW w:w="16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Leisure, Amusement, Motion</w:t>
            </w:r>
          </w:p>
        </w:tc>
        <w:tc>
          <w:tcPr>
            <w:tcW w:w="118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11.11%</w:t>
            </w:r>
          </w:p>
        </w:tc>
        <w:tc>
          <w:tcPr>
            <w:tcW w:w="86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L+575</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8,750,000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8,750,000</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8,750,000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Pictures, Entertainment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Equity/Partnership Interest</w:t>
            </w:r>
            <w:r>
              <w:rPr>
                <w:rFonts w:ascii="Arial" w:cs="Arial" w:eastAsia="Arial" w:hAnsi="Arial"/>
                <w:sz w:val="16"/>
                <w:szCs w:val="16"/>
                <w:b w:val="1"/>
                <w:bCs w:val="1"/>
                <w:color w:val="auto"/>
                <w:vertAlign w:val="superscript"/>
              </w:rPr>
              <w:t>(8)</w:t>
            </w:r>
            <w:r>
              <w:rPr>
                <w:rFonts w:ascii="Arial" w:cs="Arial" w:eastAsia="Arial" w:hAnsi="Arial"/>
                <w:sz w:val="11"/>
                <w:szCs w:val="11"/>
                <w:b w:val="1"/>
                <w:bCs w:val="1"/>
                <w:color w:val="auto"/>
              </w:rPr>
              <w:t>—1.4%</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gridSpan w:val="2"/>
          </w:tcPr>
          <w:p>
            <w:pPr>
              <w:spacing w:after="0" w:line="138" w:lineRule="exact"/>
              <w:rPr>
                <w:sz w:val="20"/>
                <w:szCs w:val="20"/>
                <w:color w:val="auto"/>
              </w:rPr>
            </w:pPr>
            <w:r>
              <w:rPr>
                <w:rFonts w:ascii="Arial" w:cs="Arial" w:eastAsia="Arial" w:hAnsi="Arial"/>
                <w:sz w:val="14"/>
                <w:szCs w:val="14"/>
                <w:color w:val="auto"/>
              </w:rPr>
              <w:t>NCP-Performance (Performance Holdings, Inc.)</w:t>
            </w:r>
          </w:p>
        </w:tc>
        <w:tc>
          <w:tcPr>
            <w:tcW w:w="84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w:t>
            </w:r>
          </w:p>
        </w:tc>
        <w:tc>
          <w:tcPr>
            <w:tcW w:w="1600" w:type="dxa"/>
            <w:vAlign w:val="bottom"/>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200" w:type="dxa"/>
            <w:vAlign w:val="bottom"/>
          </w:tcPr>
          <w:p>
            <w:pPr>
              <w:spacing w:after="0"/>
              <w:rPr>
                <w:sz w:val="11"/>
                <w:szCs w:val="11"/>
                <w:color w:val="auto"/>
              </w:rPr>
            </w:pPr>
          </w:p>
        </w:tc>
        <w:tc>
          <w:tcPr>
            <w:tcW w:w="980" w:type="dxa"/>
            <w:vAlign w:val="bottom"/>
            <w:gridSpan w:val="2"/>
          </w:tcPr>
          <w:p>
            <w:pPr>
              <w:jc w:val="right"/>
              <w:ind w:right="56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37,500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3,750,000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3,750,000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9"/>
              </w:rPr>
              <w:t>Investments in Non-Controlled, Affiliated Portfolio Companies</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16,092,573</w:t>
            </w: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16,337,578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Investments—107.6%</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82"/>
              </w:rPr>
              <w:t>314,881,870</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9"/>
              </w:rPr>
              <w:t>291,016,608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Par</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Equivalents—95.4%</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U.S. Treasury Bill</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12/27/2007</w:t>
            </w:r>
          </w:p>
        </w:tc>
        <w:tc>
          <w:tcPr>
            <w:tcW w:w="1600" w:type="dxa"/>
            <w:vAlign w:val="bottom"/>
          </w:tcPr>
          <w:p>
            <w:pPr>
              <w:spacing w:after="0"/>
              <w:rPr>
                <w:sz w:val="12"/>
                <w:szCs w:val="12"/>
                <w:color w:val="auto"/>
              </w:rPr>
            </w:pP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3.64%</w:t>
            </w:r>
          </w:p>
        </w:tc>
        <w:tc>
          <w:tcPr>
            <w:tcW w:w="8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2"/>
              </w:rPr>
              <w:t>255,000,000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82"/>
              </w:rPr>
              <w:t>252,759,931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9"/>
              </w:rPr>
              <w:t>252,703,215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Money Market—Mutual Fund</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5,256,420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5,256,420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5,256,420</w:t>
            </w:r>
          </w:p>
        </w:tc>
        <w:tc>
          <w:tcPr>
            <w:tcW w:w="0" w:type="dxa"/>
            <w:vAlign w:val="bottom"/>
          </w:tcPr>
          <w:p>
            <w:pPr>
              <w:spacing w:after="0"/>
              <w:rPr>
                <w:sz w:val="1"/>
                <w:szCs w:val="1"/>
                <w:color w:val="auto"/>
              </w:rPr>
            </w:pPr>
          </w:p>
        </w:tc>
      </w:tr>
      <w:tr>
        <w:trPr>
          <w:trHeight w:val="20"/>
        </w:trPr>
        <w:tc>
          <w:tcPr>
            <w:tcW w:w="4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Cash Equivalents</w:t>
            </w: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4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82"/>
              </w:rPr>
              <w:t>260,256,420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82"/>
              </w:rPr>
              <w:t>258,016,351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9"/>
              </w:rPr>
              <w:t>257,959,635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Equivalents—203.0%</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572,898,221</w:t>
            </w: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548,976,243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Assets—(103.0%)</w:t>
            </w: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14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80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w w:val="84"/>
              </w:rPr>
              <w:t>(278,583,149)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270,393,094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300" w:hanging="332"/>
        <w:spacing w:after="0" w:line="239" w:lineRule="auto"/>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Investment Company Act of 1940 (the “1940 Act”) “non-controlled” means we own less than 25% of a portfolio company’s voting securities.</w:t>
      </w:r>
    </w:p>
    <w:p>
      <w:pPr>
        <w:spacing w:after="0" w:line="57" w:lineRule="exact"/>
        <w:rPr>
          <w:rFonts w:ascii="Arial" w:cs="Arial" w:eastAsia="Arial" w:hAnsi="Arial"/>
          <w:sz w:val="14"/>
          <w:szCs w:val="14"/>
          <w:color w:val="auto"/>
        </w:rPr>
      </w:pPr>
    </w:p>
    <w:p>
      <w:pPr>
        <w:ind w:left="340" w:right="240" w:hanging="332"/>
        <w:spacing w:after="0" w:line="239" w:lineRule="auto"/>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more than 5% of a portfolio company’s voting securities.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 Rate (LIBOR or “L”).</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Represents purchases of securities with delayed draws. These securities do not have a basis point spread above index.</w:t>
      </w:r>
    </w:p>
    <w:p>
      <w:pPr>
        <w:spacing w:after="0" w:line="68" w:lineRule="exact"/>
        <w:rPr>
          <w:rFonts w:ascii="Arial" w:cs="Arial" w:eastAsia="Arial" w:hAnsi="Arial"/>
          <w:sz w:val="14"/>
          <w:szCs w:val="14"/>
          <w:color w:val="auto"/>
        </w:rPr>
      </w:pPr>
    </w:p>
    <w:p>
      <w:pPr>
        <w:ind w:left="340" w:right="300" w:hanging="332"/>
        <w:spacing w:after="0" w:line="239" w:lineRule="auto"/>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Coupon payable in cash and/or payment-in-kind (“PIK”).</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Non-income producing.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2008</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PennantPark Investment Corporation (“PennantPark Investment” or “Company”) was organized as a Maryland corporation on January 11, 2007. PennantPark Investment’s objective is to generate both current income and capital appreciation through debt and equity investments. The Company invests primarily in U.S. middle-market companies in the form of mezzanine debt, senior secured loans and equity investments. Before the completion of its initial public offering on April 24, 2007, PennantPark Investment had limited operations other than the sale and issuance of 80,000 shares of common stock at a price of $15.00 per share to PennantPark Investment Advisers, LLC (the “Investment Adviser” or “PennantPark Investment Advisers”), resulting in net proceeds of $1.2 million, and the purchase of first lien secured debt.</w:t>
      </w:r>
    </w:p>
    <w:p>
      <w:pPr>
        <w:spacing w:after="0" w:line="144"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the Investment Adviser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and elected to purchase 625,000 shares of common stock at a price of $15.00 per share, resulting in net proceeds of $8.8 million.</w:t>
      </w:r>
    </w:p>
    <w:p>
      <w:pPr>
        <w:spacing w:after="0" w:line="144"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consolidated financial statements include the accounts of PennantPark Investment and its wholly owned special purpose subsidiary, Pennant SPV Company, LLC (“Pennant SPV”) a Delaware corporation. On April 24, 2007, Pennant SPV transferred all of its assets to PennantPark Investment.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reported amount of assets and liabilities at the date of the financial statements and the reported amounts of income and expenses during the reported period. Actual results could differ from these estimates.</w:t>
      </w:r>
    </w:p>
    <w:p>
      <w:pPr>
        <w:spacing w:after="0" w:line="14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financial statements are prepared in accordance with GAAP and pursuant to the requirements for reporting on Form 10-Q and Article 6 or 10 of Regulation S-X, as appropriate. In accordance with Article 6-09 of Regulation S-X under the Exchange Act, we are providing a Statement of Changes in Net Assets in lieu of a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90" w:lineRule="exact"/>
        <w:rPr>
          <w:sz w:val="20"/>
          <w:szCs w:val="20"/>
          <w:color w:val="auto"/>
        </w:rPr>
      </w:pPr>
    </w:p>
    <w:p>
      <w:pPr>
        <w:ind w:left="900" w:right="60" w:hanging="446"/>
        <w:spacing w:after="0" w:line="290"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Security transactions are recorded on a trade-date basis.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investments with maturities greater than 60 days generally are valued by an independent pricing service or at the bid prices from at least two broker/dealers (if available, otherwise by a principal market maker or a primary market dealer). We expect that there will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89" w:lineRule="auto"/>
        <w:rPr>
          <w:sz w:val="20"/>
          <w:szCs w:val="20"/>
          <w:color w:val="auto"/>
        </w:rPr>
      </w:pPr>
      <w:r>
        <w:rPr>
          <w:rFonts w:ascii="Arial" w:cs="Arial" w:eastAsia="Arial" w:hAnsi="Arial"/>
          <w:sz w:val="16"/>
          <w:szCs w:val="16"/>
          <w:color w:val="auto"/>
        </w:rPr>
        <w:t>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With respect to investments for which there is no readily available market value, valuation methods include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51"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are believed to be inaccurate, our board of directors undertakes a multi-step valuation process each quarter, as described below:</w:t>
      </w:r>
    </w:p>
    <w:p>
      <w:pPr>
        <w:spacing w:after="0" w:line="51" w:lineRule="exact"/>
        <w:rPr>
          <w:sz w:val="20"/>
          <w:szCs w:val="20"/>
          <w:color w:val="auto"/>
        </w:rPr>
      </w:pPr>
    </w:p>
    <w:p>
      <w:pPr>
        <w:ind w:left="1480" w:right="160" w:hanging="567"/>
        <w:spacing w:after="0" w:line="268" w:lineRule="auto"/>
        <w:tabs>
          <w:tab w:leader="none" w:pos="1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1480" w:right="40" w:hanging="567"/>
        <w:spacing w:after="0" w:line="256" w:lineRule="auto"/>
        <w:tabs>
          <w:tab w:leader="none" w:pos="1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board of directors also engages one or more independent valuation firms to conduct independent appraisals of our investments for which market quotations are not readily available or are readily available but believed to be inaccurate. The independent valuation firm reviews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1480" w:right="200" w:hanging="567"/>
        <w:spacing w:after="0" w:line="259" w:lineRule="auto"/>
        <w:tabs>
          <w:tab w:leader="none" w:pos="1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9" w:lineRule="exact"/>
        <w:rPr>
          <w:rFonts w:ascii="Arial" w:cs="Arial" w:eastAsia="Arial" w:hAnsi="Arial"/>
          <w:sz w:val="18"/>
          <w:szCs w:val="18"/>
          <w:color w:val="auto"/>
        </w:rPr>
      </w:pPr>
    </w:p>
    <w:p>
      <w:pPr>
        <w:ind w:left="1480" w:right="80" w:hanging="567"/>
        <w:spacing w:after="0" w:line="268" w:lineRule="auto"/>
        <w:tabs>
          <w:tab w:leader="none" w:pos="1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51"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59"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Investments purchased within 60 days of maturity are valued at cost plus accreted discount, or minus amortized premium, which approximates value.</w:t>
      </w:r>
    </w:p>
    <w:p>
      <w:pPr>
        <w:spacing w:after="0" w:line="124" w:lineRule="exact"/>
        <w:rPr>
          <w:rFonts w:ascii="Arial" w:cs="Arial" w:eastAsia="Arial" w:hAnsi="Arial"/>
          <w:sz w:val="15"/>
          <w:szCs w:val="15"/>
          <w:color w:val="auto"/>
        </w:rPr>
      </w:pPr>
    </w:p>
    <w:p>
      <w:pPr>
        <w:ind w:left="900" w:right="20" w:hanging="446"/>
        <w:spacing w:after="0" w:line="255"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61" w:lineRule="exact"/>
        <w:rPr>
          <w:rFonts w:ascii="Arial" w:cs="Arial" w:eastAsia="Arial" w:hAnsi="Arial"/>
          <w:sz w:val="18"/>
          <w:szCs w:val="18"/>
          <w:color w:val="auto"/>
        </w:rPr>
      </w:pPr>
    </w:p>
    <w:p>
      <w:pPr>
        <w:jc w:val="both"/>
        <w:ind w:left="900" w:right="180" w:hanging="446"/>
        <w:spacing w:after="0" w:line="306"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80"/>
        <w:spacing w:after="0" w:line="298" w:lineRule="auto"/>
        <w:rPr>
          <w:sz w:val="20"/>
          <w:szCs w:val="20"/>
          <w:color w:val="auto"/>
        </w:rPr>
      </w:pPr>
      <w:r>
        <w:rPr>
          <w:rFonts w:ascii="Arial" w:cs="Arial" w:eastAsia="Arial" w:hAnsi="Arial"/>
          <w:sz w:val="16"/>
          <w:szCs w:val="16"/>
          <w:color w:val="auto"/>
        </w:rPr>
        <w:t>accrue as a receivable interest on loans and debt investments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investments as interest income. Dividend income, if any, is recognized on an accrual basis to the extent that we expect to collect such amounts.</w:t>
      </w:r>
    </w:p>
    <w:p>
      <w:pPr>
        <w:spacing w:after="0" w:line="45" w:lineRule="exact"/>
        <w:rPr>
          <w:sz w:val="20"/>
          <w:szCs w:val="20"/>
          <w:color w:val="auto"/>
        </w:rPr>
      </w:pPr>
    </w:p>
    <w:p>
      <w:pPr>
        <w:ind w:left="900" w:right="60" w:hanging="446"/>
        <w:spacing w:after="0" w:line="286"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Before May 1, 2007 PennantPark Investment was taxed as a corporation under Subchapter C of the Internal Revenue Code of 1986, as amended (the “Code”), and subject to corporate-level federal, state and local taxes. From May 1, 2007, PennantPark Investment has complied with the requirements of Subchapter M of the Code, and expects to be subject to tax as a regulated investment company, or “RIC”. As a corporation, PennantPark Investment accounted for income taxes using the asset liability method prescribed by FASB Statement No. 109, “Accounting for Income Taxes.”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as of its next taxable year-end, we do not anticipate paying any material corporate-level taxes in the future. The Company recognizes in its financial statements the effect of a tax position when it is more likely than not, based on the technical merits, that the position will be sustained upon examination. We did not have any uncertain tax positions that met the recognition or measurement criteria of FASB Interpretation No. 48, Accounting for Uncertainty in Income Taxes—an interpretation of FASB Statement No. 109 (“FIN 48”) nor did we have any unrecognized tax benefits as of September 30, 2007 or September 30, 2008. Although we file federal and state tax returns, our major tax jurisdiction is federal. Our 2008 and 2007 federal tax year remains subject to examination by the IRS.</w:t>
      </w:r>
    </w:p>
    <w:p>
      <w:pPr>
        <w:spacing w:after="0" w:line="43" w:lineRule="exact"/>
        <w:rPr>
          <w:rFonts w:ascii="Arial" w:cs="Arial" w:eastAsia="Arial" w:hAnsi="Arial"/>
          <w:sz w:val="16"/>
          <w:szCs w:val="16"/>
          <w:color w:val="auto"/>
        </w:rPr>
      </w:pPr>
    </w:p>
    <w:p>
      <w:pPr>
        <w:ind w:left="900" w:right="60" w:hanging="446"/>
        <w:spacing w:after="0" w:line="259"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59" w:lineRule="exact"/>
        <w:rPr>
          <w:rFonts w:ascii="Arial" w:cs="Arial" w:eastAsia="Arial" w:hAnsi="Arial"/>
          <w:sz w:val="18"/>
          <w:szCs w:val="18"/>
          <w:color w:val="auto"/>
        </w:rPr>
      </w:pPr>
    </w:p>
    <w:p>
      <w:pPr>
        <w:jc w:val="both"/>
        <w:ind w:left="900" w:right="120" w:hanging="446"/>
        <w:spacing w:after="0" w:line="298"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31"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 September 2006, the Financial Accounting Standards Board issued Statement of Financial Accounting Standards (“SFAS”) 157, Fair Value Measurements,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We have adopted SFAS 157 on October 1, 2008. This adoption did not affect the Company’s financial position or its results of operations.</w:t>
      </w:r>
    </w:p>
    <w:p>
      <w:pPr>
        <w:spacing w:after="0" w:line="39" w:lineRule="exact"/>
        <w:rPr>
          <w:rFonts w:ascii="Arial" w:cs="Arial" w:eastAsia="Arial" w:hAnsi="Arial"/>
          <w:sz w:val="16"/>
          <w:szCs w:val="16"/>
          <w:color w:val="auto"/>
        </w:rPr>
      </w:pPr>
    </w:p>
    <w:p>
      <w:pPr>
        <w:ind w:left="900" w:right="120" w:hanging="446"/>
        <w:spacing w:after="0" w:line="291"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In February 2007, the FASB issued SFAS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—Including an Amendment of FASB 115. This statement permits an entity to choose to measure many financial instruments and certain other items at fair value. This statement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have adopted SFAS 159 on October 1, 2008 and have made an irrevocable election to apply the fair value option to our credit facility liability. Upon our adoption our Net Asset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0"/>
        <w:spacing w:after="0" w:line="306" w:lineRule="auto"/>
        <w:rPr>
          <w:sz w:val="20"/>
          <w:szCs w:val="20"/>
          <w:color w:val="auto"/>
        </w:rPr>
      </w:pPr>
      <w:r>
        <w:rPr>
          <w:rFonts w:ascii="Arial" w:cs="Arial" w:eastAsia="Arial" w:hAnsi="Arial"/>
          <w:sz w:val="16"/>
          <w:szCs w:val="16"/>
          <w:color w:val="auto"/>
        </w:rPr>
        <w:t>Value increased by $41.8 million, or $1.98 per share, due to the fair value adjustment related to our credit facility. After adoption, subsequent changes in the fair value of our credit facility will be recorded in the Statement of Operations. We have not elected to apply the fair value option to any other financial assets or liabilities. The balances in the September 30, 2008 financial statements as reported did not reflect such adoption.</w:t>
      </w:r>
    </w:p>
    <w:p>
      <w:pPr>
        <w:spacing w:after="0" w:line="39" w:lineRule="exact"/>
        <w:rPr>
          <w:sz w:val="20"/>
          <w:szCs w:val="20"/>
          <w:color w:val="auto"/>
        </w:rPr>
      </w:pPr>
    </w:p>
    <w:p>
      <w:pPr>
        <w:ind w:left="900" w:hanging="446"/>
        <w:spacing w:after="0"/>
        <w:tabs>
          <w:tab w:leader="none" w:pos="9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Certain prior period amounts have been reclassified to conform to current period presentation.</w:t>
      </w:r>
    </w:p>
    <w:p>
      <w:pPr>
        <w:spacing w:after="0" w:line="246" w:lineRule="exact"/>
        <w:rPr>
          <w:rFonts w:ascii="Arial" w:cs="Arial" w:eastAsia="Arial" w:hAnsi="Arial"/>
          <w:sz w:val="18"/>
          <w:szCs w:val="18"/>
          <w:color w:val="auto"/>
        </w:rPr>
      </w:pPr>
    </w:p>
    <w:p>
      <w:pPr>
        <w:ind w:left="180" w:hanging="172"/>
        <w:spacing w:after="0"/>
        <w:tabs>
          <w:tab w:leader="none" w:pos="18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AGREEMENTS</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PennantPark Investment has entered into an Investment Management Agreement with the Investment Adviser.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and/or temporary draws on the Revolving Credit Facility (“adjusted gross assets”), if any) (see note 9). Although the base management fee is 2.00% of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equals 2.00% after March 31, 2008 and is payable quarterly in arrears. The base management fee is calculated based on the average value of adjusted gross assets at the end of the two most recently completed calendar quarters, and appropriately adjusted for any share issuances or repurchases during the current calendar quarter. For the fiscal year ended September 30, 2008, the Investment Adviser received a net base management fee of $6.7 million from the Company. For the period from April 24, 2007 (initial public offering) through September 30, 2007, the Investment Adviser received a net base management fee of approximately $1.9 million from the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pay in kind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46" w:lineRule="exact"/>
        <w:rPr>
          <w:sz w:val="20"/>
          <w:szCs w:val="20"/>
          <w:color w:val="auto"/>
        </w:rPr>
      </w:pPr>
    </w:p>
    <w:p>
      <w:pPr>
        <w:ind w:right="20" w:firstLine="464"/>
        <w:spacing w:after="0" w:line="306" w:lineRule="auto"/>
        <w:tabs>
          <w:tab w:leader="none" w:pos="705" w:val="left"/>
        </w:tabs>
        <w:numPr>
          <w:ilvl w:val="0"/>
          <w:numId w:val="88"/>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 (2) 100% of PennantPark Investment’s Pre-Incentive Fee Net Investment Income with respect to that portion of such Pre-Incentive Fee Net Investment Income, if any, that exceeds the hurdle rate but is less than 2.1875% in any calendar quarter (8.75% annualized);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fiscal year ended September 30, 2008, the Adviser received an incentive fee of $3.8 million from the Company. For the period from April 24, 2007 (initial public offering) through September 30, 2007, the Investment Adviser did not receive an incentive fee from the Company.</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under which 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administrative services expenses in the statement of operations. For the fiscal year ended September 30, 2008, the Investment Adviser was reimbursed $2.0 million from the Company, including expenses it incurred on behalf of the Administrator, for services described above. For the period from April 24, 2007 (initial public offering) through September 30, 2007, the Investment Adviser was reimbursed approximately $490,000 from the Company for services described above.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ORGANIZATIONAL AND OFFERING EXPENSES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 portion of the net proceeds of the Company’s initial public offering was used for organizational, offering and other expenses. Organizational expenses were treated as expenses incurred. Offering costs of $21.3 million were charged to net assets after the completion of the initial public offering on April 24, 2007.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ASSET VALUE PER SHARE</w:t>
      </w:r>
    </w:p>
    <w:p>
      <w:pPr>
        <w:spacing w:after="0" w:line="96"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On September 30, 2008, PennantPark Investment’s total net assets and net asset value per share were $210.7 million and $10.00, respectively. On September 30, 2007, PennantPark Investment’s total net assets and net asset value per share were $270.4 million and $12.83, respectively.</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20"/>
          </w:cols>
          <w:pgMar w:left="240" w:top="459" w:right="3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LOSS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increase/(decrease) in net assets resulting from operations: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7860" w:type="dxa"/>
            <w:vAlign w:val="bottom"/>
            <w:gridSpan w:val="3"/>
          </w:tcPr>
          <w:p>
            <w:pPr>
              <w:spacing w:after="0"/>
              <w:rPr>
                <w:sz w:val="20"/>
                <w:szCs w:val="20"/>
                <w:color w:val="auto"/>
              </w:rPr>
            </w:pPr>
            <w:r>
              <w:rPr>
                <w:rFonts w:ascii="Arial" w:cs="Arial" w:eastAsia="Arial" w:hAnsi="Arial"/>
                <w:sz w:val="14"/>
                <w:szCs w:val="14"/>
                <w:b w:val="1"/>
                <w:bCs w:val="1"/>
                <w:color w:val="auto"/>
              </w:rPr>
              <w:t>Class and Year</w:t>
            </w:r>
          </w:p>
        </w:tc>
        <w:tc>
          <w:tcPr>
            <w:tcW w:w="100" w:type="dxa"/>
            <w:vAlign w:val="bottom"/>
          </w:tcPr>
          <w:p>
            <w:pPr>
              <w:spacing w:after="0"/>
              <w:rPr>
                <w:sz w:val="14"/>
                <w:szCs w:val="14"/>
                <w:color w:val="auto"/>
              </w:rPr>
            </w:pPr>
          </w:p>
        </w:tc>
        <w:tc>
          <w:tcPr>
            <w:tcW w:w="86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2008</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26"/>
              <w:spacing w:after="0"/>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for net decrease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(40,702,939)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(16,699,251)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21,068,772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20,936,149*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decrease in net assets per share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Since completion of IPO on April 24,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Purchases and sales/repayments of long-term investments for the fiscal year ended September 30, 2008 totaled $206.8 million and $70.1 million,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2008</w:t>
            </w:r>
          </w:p>
        </w:tc>
        <w:tc>
          <w:tcPr>
            <w:tcW w:w="180" w:type="dxa"/>
            <w:vAlign w:val="bottom"/>
          </w:tcPr>
          <w:p>
            <w:pPr>
              <w:spacing w:after="0"/>
              <w:rPr>
                <w:sz w:val="14"/>
                <w:szCs w:val="14"/>
                <w:color w:val="auto"/>
              </w:rPr>
            </w:pPr>
          </w:p>
        </w:tc>
        <w:tc>
          <w:tcPr>
            <w:tcW w:w="248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Second lien</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132,155,221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104,242,000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75,260,488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67,748,750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Subordinated debt / corporate notes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187,087,744</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166,173,175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62,397,146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57,318,268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Preferred equity</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9,298,819</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9,298,819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Common equity</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10,409,360</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13,588,897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6,750,000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7,019,685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105,222,862</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78,844,929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170,474,236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158,929,905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Cash equivalents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40,249,201</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40,249,201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258,016,351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257,959,635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484,423,207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412,397,021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572,898,221</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548,976,243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represents the original cost adjusted for the accretion of discounts and amortization of premiums on debt investments, if any.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September 30, 2008 and September 30, 2007.</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620" w:type="dxa"/>
            <w:vAlign w:val="bottom"/>
            <w:gridSpan w:val="2"/>
          </w:tcPr>
          <w:p>
            <w:pPr>
              <w:jc w:val="right"/>
              <w:ind w:right="1500"/>
              <w:spacing w:after="0"/>
              <w:rPr>
                <w:sz w:val="20"/>
                <w:szCs w:val="20"/>
                <w:color w:val="auto"/>
              </w:rPr>
            </w:pPr>
            <w:r>
              <w:rPr>
                <w:rFonts w:ascii="Arial" w:cs="Arial" w:eastAsia="Arial" w:hAnsi="Arial"/>
                <w:sz w:val="14"/>
                <w:szCs w:val="14"/>
                <w:b w:val="1"/>
                <w:bCs w:val="1"/>
                <w:color w:val="auto"/>
                <w:w w:val="84"/>
              </w:rPr>
              <w:t>September 30, 2008</w:t>
            </w: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September 30, 2007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62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10%</w:t>
            </w:r>
          </w:p>
        </w:tc>
        <w:tc>
          <w:tcPr>
            <w:tcW w:w="13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Energy /Utilities</w:t>
            </w: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500" w:type="dxa"/>
            <w:vAlign w:val="bottom"/>
          </w:tcPr>
          <w:p>
            <w:pPr>
              <w:spacing w:after="0"/>
              <w:rPr>
                <w:sz w:val="18"/>
                <w:szCs w:val="18"/>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500" w:type="dxa"/>
            <w:vAlign w:val="bottom"/>
          </w:tcPr>
          <w:p>
            <w:pPr>
              <w:spacing w:after="0"/>
              <w:rPr>
                <w:sz w:val="18"/>
                <w:szCs w:val="18"/>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Chemicals, Plastic and Rubber</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Amusement, Motion Picture, Entertainment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500" w:type="dxa"/>
            <w:vAlign w:val="bottom"/>
          </w:tcPr>
          <w:p>
            <w:pPr>
              <w:spacing w:after="0"/>
              <w:rPr>
                <w:sz w:val="18"/>
                <w:szCs w:val="18"/>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Office Furnishings, Housewares, and Durable Consumer</w:t>
            </w:r>
          </w:p>
        </w:tc>
        <w:tc>
          <w:tcPr>
            <w:tcW w:w="1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Products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500" w:type="dxa"/>
            <w:vAlign w:val="bottom"/>
          </w:tcPr>
          <w:p>
            <w:pPr>
              <w:spacing w:after="0"/>
              <w:rPr>
                <w:sz w:val="18"/>
                <w:szCs w:val="18"/>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Store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Cargo Transport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Manufacturing / Basic Industry</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Utilities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Broadcast and Entertainment</w:t>
            </w:r>
          </w:p>
        </w:tc>
        <w:tc>
          <w:tcPr>
            <w:tcW w:w="2620" w:type="dxa"/>
            <w:vAlign w:val="bottom"/>
            <w:gridSpan w:val="2"/>
          </w:tcPr>
          <w:p>
            <w:pPr>
              <w:jc w:val="right"/>
              <w:ind w:right="15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262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Containers, Packaging and Glass</w:t>
            </w:r>
          </w:p>
        </w:tc>
        <w:tc>
          <w:tcPr>
            <w:tcW w:w="2620" w:type="dxa"/>
            <w:vAlign w:val="bottom"/>
            <w:gridSpan w:val="2"/>
          </w:tcPr>
          <w:p>
            <w:pPr>
              <w:jc w:val="right"/>
              <w:ind w:right="15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62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Printing and Publishing</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2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fiscal year ended September 30, 2008, there were no permanent book-to-tax differences present. Aggregate stockholders’ equity was not affected as a result of any reclassification. As of September 30, 2008, the cost of investments for federal income tax purposes was $444.2 million resulting in a gross unrealized appreciation and depreciation of $7.9 million and $79.9 million, respectively. The following reconciles net increase in stockholders’ equity resulting from operations to taxable income for the year ended September 30, 2008:</w:t>
      </w:r>
    </w:p>
    <w:p>
      <w:pPr>
        <w:spacing w:after="0" w:line="19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stockholders’ equity resulting from operations</w:t>
            </w:r>
          </w:p>
        </w:tc>
        <w:tc>
          <w:tcPr>
            <w:tcW w:w="2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$(40,702,939)</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unrealized depreciation on investments transactions not taxable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48,104,208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investments and cash equivalents not taxable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11,154,735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income derived from revenue recognition of contractual PIK interest</w:t>
            </w:r>
          </w:p>
        </w:tc>
        <w:tc>
          <w:tcPr>
            <w:tcW w:w="2760" w:type="dxa"/>
            <w:vAlign w:val="bottom"/>
            <w:gridSpan w:val="3"/>
          </w:tcPr>
          <w:p>
            <w:pPr>
              <w:jc w:val="right"/>
              <w:ind w:right="60"/>
              <w:spacing w:after="0"/>
              <w:rPr>
                <w:sz w:val="20"/>
                <w:szCs w:val="20"/>
                <w:color w:val="auto"/>
              </w:rPr>
            </w:pPr>
            <w:r>
              <w:rPr>
                <w:rFonts w:ascii="Arial" w:cs="Arial" w:eastAsia="Arial" w:hAnsi="Arial"/>
                <w:sz w:val="18"/>
                <w:szCs w:val="18"/>
                <w:color w:val="auto"/>
              </w:rPr>
              <w:t>(295,894)</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 deductible expenses</w:t>
            </w:r>
          </w:p>
        </w:tc>
        <w:tc>
          <w:tcPr>
            <w:tcW w:w="17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(13,808)</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Taxable income before deductions for distributions</w:t>
            </w:r>
          </w:p>
        </w:tc>
        <w:tc>
          <w:tcPr>
            <w:tcW w:w="17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20" w:type="dxa"/>
            <w:vAlign w:val="bottom"/>
            <w:vMerge w:val="continue"/>
          </w:tcPr>
          <w:p>
            <w:pPr>
              <w:spacing w:after="0"/>
              <w:rPr>
                <w:sz w:val="19"/>
                <w:szCs w:val="19"/>
                <w:color w:val="auto"/>
              </w:rPr>
            </w:pP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$ 18,246,302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ind w:left="4620"/>
              <w:spacing w:after="0"/>
              <w:rPr>
                <w:sz w:val="20"/>
                <w:szCs w:val="20"/>
                <w:color w:val="auto"/>
              </w:rPr>
            </w:pPr>
            <w:r>
              <w:rPr>
                <w:rFonts w:ascii="Arial" w:cs="Arial" w:eastAsia="Arial" w:hAnsi="Arial"/>
                <w:sz w:val="18"/>
                <w:szCs w:val="18"/>
                <w:color w:val="auto"/>
              </w:rPr>
              <w:t>F-21</w:t>
            </w:r>
          </w:p>
        </w:tc>
        <w:tc>
          <w:tcPr>
            <w:tcW w:w="17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2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2008, the components of accumulated losses on tax basis and reconciliation to accumulated losses on a book basis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Undistributed ordinary income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(602,660)</w:t>
            </w:r>
          </w:p>
        </w:tc>
      </w:tr>
      <w:tr>
        <w:trPr>
          <w:trHeight w:val="223"/>
        </w:trPr>
        <w:tc>
          <w:tcPr>
            <w:tcW w:w="92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Undistributed long-term net capital gains</w:t>
            </w:r>
          </w:p>
        </w:tc>
        <w:tc>
          <w:tcPr>
            <w:tcW w:w="2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undistributed net earnings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(602,660)</w:t>
            </w:r>
          </w:p>
        </w:tc>
      </w:tr>
      <w:tr>
        <w:trPr>
          <w:trHeight w:val="216"/>
        </w:trPr>
        <w:tc>
          <w:tcPr>
            <w:tcW w:w="9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Capital loss carry forward*</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(205,217)</w:t>
            </w:r>
          </w:p>
        </w:tc>
      </w:tr>
      <w:tr>
        <w:trPr>
          <w:trHeight w:val="216"/>
        </w:trPr>
        <w:tc>
          <w:tcPr>
            <w:tcW w:w="9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Post-October 2007 capital losses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(11,045,348)</w:t>
            </w:r>
          </w:p>
        </w:tc>
      </w:tr>
      <w:tr>
        <w:trPr>
          <w:trHeight w:val="216"/>
        </w:trPr>
        <w:tc>
          <w:tcPr>
            <w:tcW w:w="9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Net unrealized appreciation (depreciation) of investments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(72,026,186)</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accumulated earnings/(deficit)</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(83,879,411)</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Expires 2016.</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Under federal tax law, foreign currency and capital losses realized after October 31 may be deferred and treated as having arisen on the first day of the following fiscal year. For the year ended September 30, 2008, the Corporation incurred post October capital losses of $11.0 million that will be deferred to the year ended September 30,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EQUIVALENTS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Pending investment in longer-term portfolio holdings, PennantPark Investment may invest temporarily in U.S. Treasury Bills (of varying maturities), repurchase agreements, money markets or repo-like treasury securities. These temporary investments with maturities of 90 days or less are deemed cash equivalents and are included in the Schedule of Investments. At the end of each fiscal quarter, PennantPark Investment typically takes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temporarily drawing down on its Revolving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REPURCHASE AGREEMENTS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on September 30, 2008 or September 30, 2007.</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HIGHLIGHTS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7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January 11,</w:t>
            </w:r>
          </w:p>
        </w:tc>
      </w:tr>
      <w:tr>
        <w:trPr>
          <w:trHeight w:val="149"/>
        </w:trPr>
        <w:tc>
          <w:tcPr>
            <w:tcW w:w="7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2007</w:t>
            </w:r>
          </w:p>
        </w:tc>
        <w:tc>
          <w:tcPr>
            <w:tcW w:w="400" w:type="dxa"/>
            <w:vAlign w:val="bottom"/>
          </w:tcPr>
          <w:p>
            <w:pPr>
              <w:spacing w:after="0"/>
              <w:rPr>
                <w:sz w:val="12"/>
                <w:szCs w:val="12"/>
                <w:color w:val="auto"/>
              </w:rPr>
            </w:pPr>
          </w:p>
        </w:tc>
      </w:tr>
      <w:tr>
        <w:trPr>
          <w:trHeight w:val="149"/>
        </w:trPr>
        <w:tc>
          <w:tcPr>
            <w:tcW w:w="7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(inception)</w:t>
            </w:r>
          </w:p>
        </w:tc>
      </w:tr>
      <w:tr>
        <w:trPr>
          <w:trHeight w:val="149"/>
        </w:trPr>
        <w:tc>
          <w:tcPr>
            <w:tcW w:w="7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through</w:t>
            </w:r>
          </w:p>
        </w:tc>
      </w:tr>
      <w:tr>
        <w:trPr>
          <w:trHeight w:val="149"/>
        </w:trPr>
        <w:tc>
          <w:tcPr>
            <w:tcW w:w="7260" w:type="dxa"/>
            <w:vAlign w:val="bottom"/>
          </w:tcPr>
          <w:p>
            <w:pPr>
              <w:spacing w:after="0"/>
              <w:rPr>
                <w:sz w:val="12"/>
                <w:szCs w:val="12"/>
                <w:color w:val="auto"/>
              </w:rPr>
            </w:pPr>
          </w:p>
        </w:tc>
        <w:tc>
          <w:tcPr>
            <w:tcW w:w="188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3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7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2008</w:t>
            </w:r>
          </w:p>
        </w:tc>
        <w:tc>
          <w:tcPr>
            <w:tcW w:w="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400" w:type="dxa"/>
            <w:vAlign w:val="bottom"/>
          </w:tcPr>
          <w:p>
            <w:pPr>
              <w:spacing w:after="0"/>
              <w:rPr>
                <w:sz w:val="14"/>
                <w:szCs w:val="14"/>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900"/>
              <w:spacing w:after="0"/>
              <w:rPr>
                <w:sz w:val="20"/>
                <w:szCs w:val="20"/>
                <w:color w:val="auto"/>
              </w:rPr>
            </w:pPr>
            <w:r>
              <w:rPr>
                <w:rFonts w:ascii="Arial" w:cs="Arial" w:eastAsia="Arial" w:hAnsi="Arial"/>
                <w:sz w:val="18"/>
                <w:szCs w:val="18"/>
                <w:color w:val="auto"/>
              </w:rPr>
              <w:t>12.83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0.88</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0.35</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Net change in realized and unrealized loss</w:t>
            </w:r>
          </w:p>
        </w:tc>
        <w:tc>
          <w:tcPr>
            <w:tcW w:w="100" w:type="dxa"/>
            <w:vAlign w:val="bottom"/>
          </w:tcPr>
          <w:p>
            <w:pPr>
              <w:spacing w:after="0"/>
              <w:rPr>
                <w:sz w:val="18"/>
                <w:szCs w:val="18"/>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(1.15)</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(0.80)</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Dividends and distributions to stockholders</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18"/>
                <w:szCs w:val="18"/>
                <w:color w:val="auto"/>
              </w:rPr>
              <w:t>(0.90)</w:t>
            </w:r>
          </w:p>
        </w:tc>
        <w:tc>
          <w:tcPr>
            <w:tcW w:w="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(0.36)</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related to public offering</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00" w:type="dxa"/>
            <w:vAlign w:val="bottom"/>
          </w:tcPr>
          <w:p>
            <w:pPr>
              <w:spacing w:after="0"/>
              <w:rPr>
                <w:sz w:val="18"/>
                <w:szCs w:val="18"/>
                <w:color w:val="auto"/>
              </w:rPr>
            </w:pPr>
          </w:p>
        </w:tc>
        <w:tc>
          <w:tcPr>
            <w:tcW w:w="178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15.00</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12.83</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Per share market value,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900"/>
              <w:spacing w:after="0"/>
              <w:rPr>
                <w:sz w:val="20"/>
                <w:szCs w:val="20"/>
                <w:color w:val="auto"/>
              </w:rPr>
            </w:pPr>
            <w:r>
              <w:rPr>
                <w:rFonts w:ascii="Arial" w:cs="Arial" w:eastAsia="Arial" w:hAnsi="Arial"/>
                <w:sz w:val="18"/>
                <w:szCs w:val="18"/>
                <w:color w:val="auto"/>
              </w:rPr>
              <w:t>7.41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13.40</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(38.58)%</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(8.29)%</w:t>
            </w:r>
            <w:r>
              <w:rPr>
                <w:rFonts w:ascii="Arial" w:cs="Arial" w:eastAsia="Arial" w:hAnsi="Arial"/>
                <w:sz w:val="11"/>
                <w:szCs w:val="11"/>
                <w:color w:val="auto"/>
              </w:rPr>
              <w:t>(4)</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00" w:type="dxa"/>
            <w:vAlign w:val="bottom"/>
          </w:tcPr>
          <w:p>
            <w:pPr>
              <w:spacing w:after="0"/>
              <w:rPr>
                <w:sz w:val="18"/>
                <w:szCs w:val="18"/>
                <w:color w:val="auto"/>
              </w:rPr>
            </w:pPr>
          </w:p>
        </w:tc>
        <w:tc>
          <w:tcPr>
            <w:tcW w:w="1780" w:type="dxa"/>
            <w:vAlign w:val="bottom"/>
            <w:gridSpan w:val="2"/>
          </w:tcPr>
          <w:p>
            <w:pPr>
              <w:jc w:val="right"/>
              <w:ind w:right="900"/>
              <w:spacing w:after="0"/>
              <w:rPr>
                <w:sz w:val="20"/>
                <w:szCs w:val="20"/>
                <w:color w:val="auto"/>
              </w:rPr>
            </w:pPr>
            <w:r>
              <w:rPr>
                <w:rFonts w:ascii="Arial" w:cs="Arial" w:eastAsia="Arial" w:hAnsi="Arial"/>
                <w:sz w:val="18"/>
                <w:szCs w:val="18"/>
                <w:color w:val="auto"/>
                <w:w w:val="95"/>
              </w:rPr>
              <w:t>21,068,772</w:t>
            </w:r>
          </w:p>
        </w:tc>
        <w:tc>
          <w:tcPr>
            <w:tcW w:w="8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21,068,772</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6.30%</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3.76%</w:t>
            </w:r>
            <w:r>
              <w:rPr>
                <w:rFonts w:ascii="Arial" w:cs="Arial" w:eastAsia="Arial" w:hAnsi="Arial"/>
                <w:sz w:val="11"/>
                <w:szCs w:val="11"/>
                <w:color w:val="auto"/>
              </w:rPr>
              <w:t>(4)</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r>
              <w:rPr>
                <w:rFonts w:ascii="Arial" w:cs="Arial" w:eastAsia="Arial" w:hAnsi="Arial"/>
                <w:sz w:val="11"/>
                <w:szCs w:val="11"/>
                <w:color w:val="auto"/>
              </w:rPr>
              <w:t>(4)</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Total expenses to average net assets</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8.96%</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5.26%</w:t>
            </w:r>
            <w:r>
              <w:rPr>
                <w:rFonts w:ascii="Arial" w:cs="Arial" w:eastAsia="Arial" w:hAnsi="Arial"/>
                <w:sz w:val="11"/>
                <w:szCs w:val="11"/>
                <w:color w:val="auto"/>
              </w:rPr>
              <w:t>(4)</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7.82%</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w:t>
            </w:r>
            <w:r>
              <w:rPr>
                <w:rFonts w:ascii="Arial" w:cs="Arial" w:eastAsia="Arial" w:hAnsi="Arial"/>
                <w:sz w:val="11"/>
                <w:szCs w:val="11"/>
                <w:color w:val="auto"/>
              </w:rPr>
              <w:t>(4)</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900"/>
              <w:spacing w:after="0"/>
              <w:rPr>
                <w:sz w:val="20"/>
                <w:szCs w:val="20"/>
                <w:color w:val="auto"/>
              </w:rPr>
            </w:pPr>
            <w:r>
              <w:rPr>
                <w:rFonts w:ascii="Arial" w:cs="Arial" w:eastAsia="Arial" w:hAnsi="Arial"/>
                <w:sz w:val="18"/>
                <w:szCs w:val="18"/>
                <w:color w:val="auto"/>
                <w:w w:val="85"/>
              </w:rPr>
              <w:t>210,728,260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270,393,094</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w w:val="85"/>
              </w:rPr>
              <w:t>119,472,732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817,610</w:t>
            </w:r>
            <w:r>
              <w:rPr>
                <w:rFonts w:ascii="Arial" w:cs="Arial" w:eastAsia="Arial" w:hAnsi="Arial"/>
                <w:sz w:val="11"/>
                <w:szCs w:val="11"/>
                <w:color w:val="auto"/>
              </w:rPr>
              <w:t>(4)</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Average debt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900"/>
              <w:spacing w:after="0"/>
              <w:rPr>
                <w:sz w:val="20"/>
                <w:szCs w:val="20"/>
                <w:color w:val="auto"/>
              </w:rPr>
            </w:pPr>
            <w:r>
              <w:rPr>
                <w:rFonts w:ascii="Arial" w:cs="Arial" w:eastAsia="Arial" w:hAnsi="Arial"/>
                <w:sz w:val="18"/>
                <w:szCs w:val="18"/>
                <w:color w:val="auto"/>
              </w:rPr>
              <w:t>5.67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0.04</w:t>
            </w:r>
            <w:r>
              <w:rPr>
                <w:rFonts w:ascii="Arial" w:cs="Arial" w:eastAsia="Arial" w:hAnsi="Arial"/>
                <w:sz w:val="11"/>
                <w:szCs w:val="11"/>
                <w:color w:val="auto"/>
              </w:rPr>
              <w:t>(4)</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20.10%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90" w:lineRule="exact"/>
        <w:rPr>
          <w:sz w:val="20"/>
          <w:szCs w:val="20"/>
          <w:color w:val="auto"/>
        </w:rPr>
      </w:pPr>
    </w:p>
    <w:p>
      <w:pPr>
        <w:ind w:left="460" w:right="60" w:hanging="452"/>
        <w:spacing w:after="0" w:line="268"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spacing w:after="0" w:line="50"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the Company’s dividend reinvestment plan.</w:t>
      </w:r>
    </w:p>
    <w:p>
      <w:pPr>
        <w:spacing w:after="0" w:line="50" w:lineRule="exact"/>
        <w:rPr>
          <w:rFonts w:ascii="Arial" w:cs="Arial" w:eastAsia="Arial" w:hAnsi="Arial"/>
          <w:sz w:val="18"/>
          <w:szCs w:val="18"/>
          <w:color w:val="auto"/>
        </w:rPr>
      </w:pPr>
    </w:p>
    <w:p>
      <w:pPr>
        <w:ind w:left="460" w:hanging="452"/>
        <w:spacing w:after="0" w:line="256"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the fiscal year ended September 30, 2008, the ratio of operating expenses before management fee waiver to average net assets was 6.47%, and the ratio of total expenses before management fee waiver to average net assets was 9.13%. For the period from April 24, 2007 (initial public offering) through September 30, 2007, the ratio of operating expenses before management fee waiver to average net assets was 4.28%, and the ratio of total expenses before management fee waiver to average net assets was 5.78%.</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Since initial public offering on April 24,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CREDIT FACILITY</w:t>
      </w:r>
    </w:p>
    <w:p>
      <w:pPr>
        <w:spacing w:after="0" w:line="96" w:lineRule="exact"/>
        <w:rPr>
          <w:sz w:val="20"/>
          <w:szCs w:val="20"/>
          <w:color w:val="auto"/>
        </w:rPr>
      </w:pPr>
    </w:p>
    <w:p>
      <w:pPr>
        <w:ind w:right="280" w:firstLine="456"/>
        <w:spacing w:after="0" w:line="323" w:lineRule="auto"/>
        <w:rPr>
          <w:sz w:val="20"/>
          <w:szCs w:val="20"/>
          <w:color w:val="auto"/>
        </w:rPr>
      </w:pPr>
      <w:r>
        <w:rPr>
          <w:rFonts w:ascii="Arial" w:cs="Arial" w:eastAsia="Arial" w:hAnsi="Arial"/>
          <w:sz w:val="15"/>
          <w:szCs w:val="15"/>
          <w:color w:val="auto"/>
        </w:rPr>
        <w:t>On June 25, 2007, PennantPark Investment entered into a Senior Secured Revolving Credit Agreement (the “Credit Agreement”) among PennantPark Investment, various lenders and SunTrust Bank, as administrative agent for the lenders. SunTrust Robinson Humphrey Capital Markets acted as the joint lead arranger and book-runner, and Bear Stearns Corporate Lending Inc. acted as joint lead arranger and syndication agent. As of September 30, 2008, there was $202.0 million in outstanding borrowings under the Credit Agreement (including $40.0 million temporary draw), with an average interest rate of 3.93%.</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60"/>
          </w:cols>
          <w:pgMar w:left="240" w:top="459" w:right="2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Under the Credit Agreement, the lenders agreed to extend credit to PennantPark Investment in an initial aggregate principal or face amount not exceeding $300,000,000 at any one time outstanding. The Credit Agreement is a five-year revolving facility (with a stated maturity date of June 25, 2012) and is secured by substantially all of the assets in PennantPark Investment’s portfolio. Pricing is set at 100 basis points over LIBOR.</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Separately, Pennant SPV Company, LLC entered into a senior secured credit facility on February 6, 2007 with Bear Stearns Investment Products Inc., as lender. Under the terms of this credit agreement, as amended on March 26, 2007, Bear Stearns Investment Products Inc. agreed to extend credit to Pennant SPV in an aggregate principal of up to $250 million at any one time outstanding. Borrowings under this credit agreement were used to finance investments made by PennantPark Investment prior to the closing of the initial public offering. By its terms this credit agreement matured on the closing date of the initial public offering on April 24, 2007, and accordingly PennantPark Investment caused Pennant SPV to repay the credit facility with Bear Stearns Investment Products Inc. in full.</w:t>
      </w:r>
    </w:p>
    <w:p>
      <w:pPr>
        <w:spacing w:after="0" w:line="14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Credit Agreement contains customary affirmative and negative covenants, including the maintenance of a minimum stockholders’ equity, the maintenance of a ratio not less than 200% of total assets (less total liabilities other than indebtedness) to total indebtedness (approximately 204% including temporary draw as of September 30, 2008 or 230% excluding such draws), and restrictions on certain payments and issuance of debt. For a complete list of such covenants, see our current report on Form 8-K, filed June 28, 2007.</w:t>
      </w:r>
    </w:p>
    <w:p>
      <w:pPr>
        <w:spacing w:after="0" w:line="14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Subsequent to September 30, 2008 and through the date of this report, conditions in the public debt and equity markets have continued to deteriorate and our net asset value has continued to decline. The Credit Agreement requires the Company to maintain a minimum amount of shareholder’s equity and requires that the Company’s outstanding borrowings under the Credit Agreement not exceed a certain percentage of the values of its portfolio companies. The Company’s continued compliance with these covenants depends on many factors, some of which are beyond the Company’s control. For example, during the fiscal year ended September 30, 2008, net unrealized depreciation in the Company’s portfolio increased and, given the further deterioration in public capital markets and pricing levels subsequent to this period, net unrealized depreciation in the portfolio may continue to increase in the future. Further material net asset devaluation could have a material adverse effect on the Company’s operations, and could require the Company to reduce its borrowings under the Credit Agreement in order to comply with certain of the Credit Agreement covenants, including the ratio of total assets to total indebtedness.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reviewed the accompanying statement of assets and liabilities of PennantPark Investment Corporation (the “Company”), including the schedule of investments, as of June 30, 2009, the statements of operations for the three and nine month periods ended June 30, 2009 and 2008, and the statements of changes in net assets, and cash flows for the nine months ended June 30, 2009 and 2008. These interim financial statements are the responsibility of the Company’s management.</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financial statements referred to above for them to be in conformity with U.S. generally accepted accounting principles.</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have previously audited, in accordance with standards of the Public Company Accounting Oversight Board (United States), the statement of assets and liabilities of PennantPark Investment Corporation, including the schedule of investments, as of September 30, 2008; and in our report dated November 20, 2008, we expressed an unqualified opinion on that financial statement and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603375" cy="3600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6033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5,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840" w:type="dxa"/>
            <w:vAlign w:val="bottom"/>
          </w:tcPr>
          <w:p>
            <w:pPr>
              <w:ind w:left="22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40" w:type="dxa"/>
            <w:vAlign w:val="bottom"/>
          </w:tcPr>
          <w:p>
            <w:pPr>
              <w:ind w:left="2940"/>
              <w:spacing w:after="0"/>
              <w:rPr>
                <w:sz w:val="20"/>
                <w:szCs w:val="20"/>
                <w:color w:val="auto"/>
              </w:rPr>
            </w:pPr>
            <w:r>
              <w:rPr>
                <w:rFonts w:ascii="Arial" w:cs="Arial" w:eastAsia="Arial" w:hAnsi="Arial"/>
                <w:sz w:val="18"/>
                <w:szCs w:val="18"/>
                <w:b w:val="1"/>
                <w:bCs w:val="1"/>
                <w:color w:val="auto"/>
              </w:rPr>
              <w:t>PENNANTPARK INVESTMENT CORPORATION</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40" w:type="dxa"/>
            <w:vAlign w:val="bottom"/>
          </w:tcPr>
          <w:p>
            <w:pPr>
              <w:ind w:left="3040"/>
              <w:spacing w:after="0"/>
              <w:rPr>
                <w:sz w:val="20"/>
                <w:szCs w:val="20"/>
                <w:color w:val="auto"/>
              </w:rPr>
            </w:pPr>
            <w:r>
              <w:rPr>
                <w:rFonts w:ascii="Arial" w:cs="Arial" w:eastAsia="Arial" w:hAnsi="Arial"/>
                <w:sz w:val="18"/>
                <w:szCs w:val="18"/>
                <w:b w:val="1"/>
                <w:bCs w:val="1"/>
                <w:color w:val="auto"/>
              </w:rPr>
              <w:t>STATEMENTS OF ASSETS AND LIABILITIES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June 30, 2009</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8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at fair value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(cost—$435,642,024 and $427,481,745, respectively)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377,382,905</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354,261,950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420"/>
              <w:spacing w:after="0"/>
              <w:rPr>
                <w:sz w:val="20"/>
                <w:szCs w:val="20"/>
                <w:color w:val="auto"/>
              </w:rPr>
            </w:pPr>
            <w:r>
              <w:rPr>
                <w:rFonts w:ascii="Arial" w:cs="Arial" w:eastAsia="Arial" w:hAnsi="Arial"/>
                <w:sz w:val="18"/>
                <w:szCs w:val="18"/>
                <w:color w:val="auto"/>
              </w:rPr>
              <w:t>Non-controlled, affiliated investments, at fair value (cost—$17,200,193 and $16,692,261, respectively)</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15,755,326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17,885,870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at fair value</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393,138,231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372,147,820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541,136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40,249,201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 for investments sold</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1,381,011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Interest receivable</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4,770,692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6,046,199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1,271,943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401,103,013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419,810,699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Liabilities</w:t>
            </w:r>
          </w:p>
        </w:tc>
        <w:tc>
          <w:tcPr>
            <w:tcW w:w="78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Distributions payable</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5,056,505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5,056,505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4,183,666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Unfunded investments</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6,331,385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 payable (fair value: $134,057,558 and $160,204,000, respectively) (cost: $187,300,000 and</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$202,000,000, respectively)</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(see note 7)</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134,057,558</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Interest payable on credit facility</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72,308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725,317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1,928,082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Performance-based incentive fee payable (see note 3)</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1,415,872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123,033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1,080,397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1,091,688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154,125,773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209,082,439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3"/>
              </w:rPr>
              <w:t>Net Assets</w:t>
            </w:r>
          </w:p>
        </w:tc>
        <w:tc>
          <w:tcPr>
            <w:tcW w:w="78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w w:val="97"/>
              </w:rPr>
              <w:t>Common stock, par value $0.001 per share, 100,000,000 shares authorized and 21,068,772 shares issued and</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gridSpan w:val="2"/>
          </w:tcPr>
          <w:p>
            <w:pPr>
              <w:ind w:left="200"/>
              <w:spacing w:after="0"/>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21,069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21,069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294,586,604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294,586,604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Undistributed (distributions in excess of) net investment income</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928,718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(602,660)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41,796,000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(42,097,607)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(11,250,567)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(59,703,986)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(72,026,186)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Net unrealized depreciation on credit facility</w:t>
            </w:r>
          </w:p>
        </w:tc>
        <w:tc>
          <w:tcPr>
            <w:tcW w:w="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11,446,442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net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246,977,240</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210,728,260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Total liabilities and net assets</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401,103,013</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419,810,699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7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11.72</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83"/>
              </w:rPr>
              <w:t>June 30, 2009</w:t>
            </w: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June 30, 2008</w:t>
            </w: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3"/>
              </w:rPr>
              <w:t>June 30, 2009</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3"/>
              </w:rPr>
              <w:t>June 30, 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10,347,405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9,212,625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31,930,815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27,148,848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123,955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111,924</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351,449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167,806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298,349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337,832</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988,668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1,063,257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10,769,709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9,662,381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33,270,932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28,379,911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1,928,082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1,829,909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5,495,505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1,412,925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985,287</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4,175,224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2,433,394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credit facility expenses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791,587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1,656,140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3,817,133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4,422,543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582,177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591,726</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1,558,672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1,804,047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388,507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658,178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1,523,505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1,823,014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Expenses before base management fee waiver</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5,103,278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5,721,240</w:t>
            </w:r>
          </w:p>
        </w:tc>
        <w:tc>
          <w:tcPr>
            <w:tcW w:w="10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16,570,039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15,678,748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waiver</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expenses</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5,103,278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5,721,240</w:t>
            </w:r>
          </w:p>
        </w:tc>
        <w:tc>
          <w:tcPr>
            <w:tcW w:w="10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16,570,039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15,258,017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investment income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5,666,431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3,941,141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16,700,893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13,121,894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w w:val="97"/>
              </w:rPr>
              <w:t>Realized and unrealized gain (loss) on investments, cash equivalents and</w:t>
            </w: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40" w:type="dxa"/>
            <w:vAlign w:val="bottom"/>
          </w:tcPr>
          <w:p>
            <w:pPr>
              <w:ind w:left="200"/>
              <w:spacing w:after="0"/>
              <w:rPr>
                <w:sz w:val="20"/>
                <w:szCs w:val="20"/>
                <w:color w:val="auto"/>
              </w:rPr>
            </w:pPr>
            <w:r>
              <w:rPr>
                <w:rFonts w:ascii="Arial" w:cs="Arial" w:eastAsia="Arial" w:hAnsi="Arial"/>
                <w:sz w:val="18"/>
                <w:szCs w:val="18"/>
                <w:b w:val="1"/>
                <w:bCs w:val="1"/>
                <w:color w:val="auto"/>
              </w:rPr>
              <w:t>credit facility:</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investments and cash equivalents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(24,701,776)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(401,624)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(30,847,040)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and cash equivalents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27,736,328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10,700,808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14,960,676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(41,097,670)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(318,107)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964,139</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(2,638,476)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(1,064,091)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(9,202,647)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11,446,442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change in unrealized appreciation (depreciation)</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18,215,574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11,664,947</w:t>
            </w:r>
          </w:p>
        </w:tc>
        <w:tc>
          <w:tcPr>
            <w:tcW w:w="10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23,768,642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(42,161,761)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5"/>
              </w:rPr>
              <w:t>Net realized and unrealized gain (loss) from investments, cash equivalents,</w:t>
            </w: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and credit facility</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(6,486,202)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11,263,323</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(7,078,398)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(42,782,759)</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increase in net assets resulting from operations</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6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(819,771)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15,204,464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9,622,495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(29,660,865)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3"/>
              </w:rPr>
              <w:t>Net (decrease) increase in net assets resulting from operations per common share</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(see note 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0.27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0.79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85"/>
              </w:rPr>
              <w:t>June 30, 2009</w:t>
            </w: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7"/>
              </w:rPr>
              <w:t>June 30, 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 in net assets from operations:</w:t>
            </w:r>
          </w:p>
        </w:tc>
        <w:tc>
          <w:tcPr>
            <w:tcW w:w="10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16,700,893</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13,121,894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on investments and cash equivalents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(30,847,040)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Net change in unrealized appreciation (depreciation) on investments and cash equivalents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12,322,200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(42,161,761)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depreciation on credit facility</w:t>
            </w:r>
          </w:p>
        </w:tc>
        <w:tc>
          <w:tcPr>
            <w:tcW w:w="1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11,446,442</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40" w:type="dxa"/>
            <w:vAlign w:val="bottom"/>
          </w:tcPr>
          <w:p>
            <w:pPr>
              <w:ind w:left="420"/>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9,622,495</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(29,660,865)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to Stockholders:</w:t>
            </w:r>
          </w:p>
        </w:tc>
        <w:tc>
          <w:tcPr>
            <w:tcW w:w="10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Dividends from net investment income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(15,169,515)</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(13,905,390)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dividends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(15,169,515)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(13,905,390)</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decrease in net assets</w:t>
            </w:r>
          </w:p>
        </w:tc>
        <w:tc>
          <w:tcPr>
            <w:tcW w:w="1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60" w:type="dxa"/>
            <w:vAlign w:val="bottom"/>
            <w:gridSpan w:val="2"/>
            <w:vMerge w:val="continue"/>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(5,547,020)</w:t>
            </w:r>
          </w:p>
        </w:tc>
        <w:tc>
          <w:tcPr>
            <w:tcW w:w="1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(43,566,255)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0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Beginning of period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210,728,260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270,393,094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(see note 7)</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41,796,000</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760" w:type="dxa"/>
            <w:vAlign w:val="bottom"/>
            <w:gridSpan w:val="2"/>
          </w:tcPr>
          <w:p>
            <w:pPr>
              <w:spacing w:after="0"/>
              <w:rPr>
                <w:sz w:val="20"/>
                <w:szCs w:val="20"/>
                <w:color w:val="auto"/>
              </w:rPr>
            </w:pPr>
            <w:r>
              <w:rPr>
                <w:rFonts w:ascii="Arial" w:cs="Arial" w:eastAsia="Arial" w:hAnsi="Arial"/>
                <w:sz w:val="18"/>
                <w:szCs w:val="18"/>
                <w:color w:val="auto"/>
              </w:rPr>
              <w:t>Adjusted beginning of period</w:t>
            </w:r>
          </w:p>
        </w:tc>
        <w:tc>
          <w:tcPr>
            <w:tcW w:w="10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252,524,260</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270,393,094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1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246,977,240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226,826,839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8"/>
                <w:szCs w:val="18"/>
                <w:color w:val="auto"/>
              </w:rPr>
              <w:t>Undistributed (distribution in excess of) net investment income, at period end</w:t>
            </w: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6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928,718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(980,265)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87"/>
              </w:rPr>
              <w:t>June 30, 2009</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7"/>
              </w:rPr>
              <w:t>June 30,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Net increase (decrease)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9,622,495</w:t>
            </w:r>
          </w:p>
        </w:tc>
        <w:tc>
          <w:tcPr>
            <w:tcW w:w="3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(29,660,865)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Adjustments to reconcile net increase (decrease) in net assets resulting from operations to net cash used by</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Net change in unrealized appreciation (depreciation) on investments and cash equivalents</w:t>
            </w:r>
          </w:p>
        </w:tc>
        <w:tc>
          <w:tcPr>
            <w:tcW w:w="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(12,322,200)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42,161,761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depreciation on credit facility</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(11,446,442)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Net realized loss on investments and cash equivalents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30,847,040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620,998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(1,903,798)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(835,822)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Purchase of investments</w:t>
            </w:r>
          </w:p>
        </w:tc>
        <w:tc>
          <w:tcPr>
            <w:tcW w:w="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(47,957,218)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(149,312,146)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Payment-in-kind interest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(2,528,233)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(1,735,282)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Proceeds from disposition of investments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12,873,998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14,410,296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receivable for investment sold</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(1,381,011)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Decrease in interest receivable</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1,275,507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493,837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prepaid expenses and other assets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95,536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Decrease in payables for cash equivalents purchased</w:t>
            </w:r>
          </w:p>
        </w:tc>
        <w:tc>
          <w:tcPr>
            <w:tcW w:w="8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(252,759,931)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payables for investments purchased</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4,183,666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(16,583,921)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Increase (decrease) in unfunded investments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6,331,385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(3,989,948)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interest payable on credit facility</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(653,009)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Increase (decrease) in management fee payable</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1,842,186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(284,880)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performance-based incentive fee payable</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1,292,839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(Decrease) increase in accrued other expenses</w:t>
            </w:r>
          </w:p>
        </w:tc>
        <w:tc>
          <w:tcPr>
            <w:tcW w:w="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(11,291)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331,658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by operating activities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(9,838,550)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(397,124,009)</w:t>
            </w:r>
          </w:p>
        </w:tc>
        <w:tc>
          <w:tcPr>
            <w:tcW w:w="0" w:type="dxa"/>
            <w:vAlign w:val="bottom"/>
          </w:tcPr>
          <w:p>
            <w:pPr>
              <w:spacing w:after="0"/>
              <w:rPr>
                <w:sz w:val="1"/>
                <w:szCs w:val="1"/>
                <w:color w:val="auto"/>
              </w:rPr>
            </w:pPr>
          </w:p>
        </w:tc>
      </w:tr>
      <w:tr>
        <w:trPr>
          <w:trHeight w:val="222"/>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and distributions to stockholders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(15,169,515)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(13,905,390)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 11)</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85,300,000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359,840,000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 11)</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(100,000,000)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(165,740,000)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1280"/>
              <w:spacing w:after="0"/>
              <w:rPr>
                <w:sz w:val="20"/>
                <w:szCs w:val="20"/>
                <w:color w:val="auto"/>
              </w:rPr>
            </w:pPr>
            <w:r>
              <w:rPr>
                <w:rFonts w:ascii="Arial" w:cs="Arial" w:eastAsia="Arial" w:hAnsi="Arial"/>
                <w:sz w:val="18"/>
                <w:szCs w:val="18"/>
                <w:color w:val="auto"/>
              </w:rPr>
              <w:t>Net cash (used) provided by financing activities</w:t>
            </w: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5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(29,869,515)</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180,194,610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equivalents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(39,708,065)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(216,929,399)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40,249,201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257,959,635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541,136</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41,030,236</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 and non-cash financing activity: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paid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4,270,412</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3,840,424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41,796,000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Basis Point</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Spread</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90"/>
              </w:rPr>
              <w:t>Current</w:t>
            </w: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4"/>
              </w:rPr>
              <w:t>Above</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7"/>
              </w:rPr>
              <w:t>Fair Value</w:t>
            </w:r>
            <w:r>
              <w:rPr>
                <w:rFonts w:ascii="Arial" w:cs="Arial" w:eastAsia="Arial" w:hAnsi="Arial"/>
                <w:sz w:val="22"/>
                <w:szCs w:val="22"/>
                <w:b w:val="1"/>
                <w:bCs w:val="1"/>
                <w:color w:val="auto"/>
                <w:w w:val="87"/>
                <w:vertAlign w:val="superscript"/>
              </w:rPr>
              <w:t>(3)</w:t>
            </w:r>
          </w:p>
        </w:tc>
        <w:tc>
          <w:tcPr>
            <w:tcW w:w="0" w:type="dxa"/>
            <w:vAlign w:val="bottom"/>
          </w:tcPr>
          <w:p>
            <w:pPr>
              <w:spacing w:after="0"/>
              <w:rPr>
                <w:sz w:val="1"/>
                <w:szCs w:val="1"/>
                <w:color w:val="auto"/>
              </w:rPr>
            </w:pPr>
          </w:p>
        </w:tc>
      </w:tr>
      <w:tr>
        <w:trPr>
          <w:trHeight w:val="176"/>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Maturity</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20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Coupon</w:t>
            </w:r>
          </w:p>
        </w:tc>
        <w:tc>
          <w:tcPr>
            <w:tcW w:w="900" w:type="dxa"/>
            <w:vAlign w:val="bottom"/>
            <w:gridSpan w:val="2"/>
          </w:tcPr>
          <w:p>
            <w:pPr>
              <w:jc w:val="center"/>
              <w:ind w:right="24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200" w:type="dxa"/>
            <w:vAlign w:val="bottom"/>
          </w:tcPr>
          <w:p>
            <w:pPr>
              <w:spacing w:after="0"/>
              <w:rPr>
                <w:sz w:val="15"/>
                <w:szCs w:val="15"/>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Par</w:t>
            </w:r>
          </w:p>
        </w:tc>
        <w:tc>
          <w:tcPr>
            <w:tcW w:w="28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940" w:type="dxa"/>
            <w:vAlign w:val="bottom"/>
            <w:gridSpan w:val="4"/>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Companies—152.8%</w:t>
            </w:r>
            <w:r>
              <w:rPr>
                <w:rFonts w:ascii="Arial" w:cs="Arial" w:eastAsia="Arial" w:hAnsi="Arial"/>
                <w:sz w:val="16"/>
                <w:szCs w:val="16"/>
                <w:b w:val="1"/>
                <w:bCs w:val="1"/>
                <w:color w:val="auto"/>
                <w:vertAlign w:val="superscript"/>
              </w:rPr>
              <w:t>(1)(2)</w:t>
            </w: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 / Corporate Notes—61.2%</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3/1/2012</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CONSUMER PRODUCTS</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9.27%</w:t>
            </w:r>
            <w:r>
              <w:rPr>
                <w:rFonts w:ascii="Arial" w:cs="Arial" w:eastAsia="Arial" w:hAnsi="Arial"/>
                <w:sz w:val="17"/>
                <w:szCs w:val="17"/>
                <w:color w:val="auto"/>
                <w:vertAlign w:val="superscript"/>
              </w:rPr>
              <w:t>(6)</w:t>
            </w:r>
          </w:p>
        </w:tc>
        <w:tc>
          <w:tcPr>
            <w:tcW w:w="9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L+750</w:t>
            </w:r>
          </w:p>
        </w:tc>
        <w:tc>
          <w:tcPr>
            <w:tcW w:w="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22,500,000</w:t>
            </w:r>
          </w:p>
        </w:tc>
        <w:tc>
          <w:tcPr>
            <w:tcW w:w="2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21,787,179</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19,980,000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4/17/2015</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0"/>
              </w:rPr>
              <w:t>AEROSPACE &amp; DEFENSE</w:t>
            </w: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8,109,468</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7,976,044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8,109,468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3/19/2014</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BUSINESS SERVICES</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20,210,550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19,780,909</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20,210,550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Digicel Ltd.</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4/1/2014</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4"/>
              </w:rPr>
              <w:t>TELECOMMUNICATIONS</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12.00%</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995,000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990,000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6/6/2014</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AEROSPACE &amp; DEFENSE</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22,499,596</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22,219,219</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22,724,592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IDQ Holdings,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5/20/2012</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0"/>
              </w:rPr>
              <w:t>AUTO SECTOR</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13.75%</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20,000,000</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19,647,170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20,110,000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12/28/2015</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EDUCATION</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10,259,430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10,129,726</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10,054,242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Realogy Corp.</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jc w:val="center"/>
              <w:spacing w:after="0" w:line="138" w:lineRule="exact"/>
              <w:rPr>
                <w:sz w:val="20"/>
                <w:szCs w:val="20"/>
                <w:color w:val="auto"/>
              </w:rPr>
            </w:pPr>
            <w:r>
              <w:rPr>
                <w:rFonts w:ascii="Arial" w:cs="Arial" w:eastAsia="Arial" w:hAnsi="Arial"/>
                <w:sz w:val="14"/>
                <w:szCs w:val="14"/>
                <w:color w:val="auto"/>
                <w:w w:val="95"/>
              </w:rPr>
              <w:t>BUILDINGS &amp; REAL</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86"/>
              </w:rPr>
              <w:t>4/15/2015</w:t>
            </w:r>
          </w:p>
        </w:tc>
        <w:tc>
          <w:tcPr>
            <w:tcW w:w="220" w:type="dxa"/>
            <w:vAlign w:val="bottom"/>
          </w:tcPr>
          <w:p>
            <w:pPr>
              <w:spacing w:after="0"/>
              <w:rPr>
                <w:sz w:val="13"/>
                <w:szCs w:val="13"/>
                <w:color w:val="auto"/>
              </w:rPr>
            </w:pPr>
          </w:p>
        </w:tc>
        <w:tc>
          <w:tcPr>
            <w:tcW w:w="1580" w:type="dxa"/>
            <w:vAlign w:val="bottom"/>
          </w:tcPr>
          <w:p>
            <w:pPr>
              <w:jc w:val="center"/>
              <w:spacing w:after="0" w:line="159" w:lineRule="exact"/>
              <w:rPr>
                <w:sz w:val="20"/>
                <w:szCs w:val="20"/>
                <w:color w:val="auto"/>
              </w:rPr>
            </w:pPr>
            <w:r>
              <w:rPr>
                <w:rFonts w:ascii="Arial" w:cs="Arial" w:eastAsia="Arial" w:hAnsi="Arial"/>
                <w:sz w:val="14"/>
                <w:szCs w:val="14"/>
                <w:color w:val="auto"/>
                <w:w w:val="88"/>
              </w:rPr>
              <w:t>ESTATE</w:t>
            </w:r>
          </w:p>
        </w:tc>
        <w:tc>
          <w:tcPr>
            <w:tcW w:w="118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rPr>
              <w:t>12.38%</w:t>
            </w:r>
          </w:p>
        </w:tc>
        <w:tc>
          <w:tcPr>
            <w:tcW w:w="90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4"/>
              </w:rPr>
              <w:t>28,000,000</w:t>
            </w:r>
          </w:p>
        </w:tc>
        <w:tc>
          <w:tcPr>
            <w:tcW w:w="2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4"/>
              </w:rPr>
              <w:t>26,531,029</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7,840,000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Merger Sub,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10/1/2016</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INSURANCE</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20,197,856</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20,020,106</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20,197,856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 Sub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2/8/2015</w:t>
            </w:r>
          </w:p>
        </w:tc>
        <w:tc>
          <w:tcPr>
            <w:tcW w:w="220" w:type="dxa"/>
            <w:vAlign w:val="bottom"/>
          </w:tcPr>
          <w:p>
            <w:pPr>
              <w:spacing w:after="0"/>
              <w:rPr>
                <w:sz w:val="13"/>
                <w:szCs w:val="13"/>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8"/>
              </w:rPr>
              <w:t>OIL &amp; GAS</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13.50%</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21,000,000</w:t>
            </w:r>
          </w:p>
        </w:tc>
        <w:tc>
          <w:tcPr>
            <w:tcW w:w="28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20,531,948</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21,000,000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 / Corporate Notes</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173,776,900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169,618,330</w:t>
            </w: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151,216,708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Debt—41.9%</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Infrastucture Services,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2/7/2015</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ENERGY/UTILITIES</w:t>
            </w:r>
          </w:p>
        </w:tc>
        <w:tc>
          <w:tcPr>
            <w:tcW w:w="11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6.46%</w:t>
            </w:r>
          </w:p>
        </w:tc>
        <w:tc>
          <w:tcPr>
            <w:tcW w:w="9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L+600</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13,600,000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13,130,857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12,267,200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Infrastucture Services,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2/7/2015</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6"/>
              </w:rPr>
              <w:t>ENERGY/UTILITIES</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7.69%</w:t>
            </w:r>
          </w:p>
        </w:tc>
        <w:tc>
          <w:tcPr>
            <w:tcW w:w="9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L+700</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2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4"/>
              </w:rPr>
              <w:t>11,720,122</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11,232,000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4/30/2015</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3"/>
              </w:rPr>
              <w:t>HEALTHCARE,</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EDUCATION &amp;</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3"/>
              </w:rPr>
              <w:t>CHILDCARE</w:t>
            </w:r>
          </w:p>
        </w:tc>
        <w:tc>
          <w:tcPr>
            <w:tcW w:w="118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8.10%</w:t>
            </w:r>
          </w:p>
        </w:tc>
        <w:tc>
          <w:tcPr>
            <w:tcW w:w="90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L+750</w:t>
            </w:r>
          </w:p>
        </w:tc>
        <w:tc>
          <w:tcPr>
            <w:tcW w:w="20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12,000,000</w:t>
            </w:r>
          </w:p>
        </w:tc>
        <w:tc>
          <w:tcPr>
            <w:tcW w:w="280" w:type="dxa"/>
            <w:vAlign w:val="bottom"/>
            <w:tcBorders>
              <w:right w:val="single" w:sz="8" w:color="CCEEFF"/>
            </w:tcBorders>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w w:val="94"/>
              </w:rPr>
              <w:t>11,953,089</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11,076,000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3/1/2014</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0"/>
              </w:rPr>
              <w:t>CARGO TRANSPORT</w:t>
            </w: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900" w:type="dxa"/>
            <w:vAlign w:val="bottom"/>
            <w:gridSpan w:val="2"/>
          </w:tcPr>
          <w:p>
            <w:pPr>
              <w:ind w:left="28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2,182,000</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2,182,000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2,182,000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11/4/2014</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OTHER MEDIA</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6.91%</w:t>
            </w:r>
            <w:r>
              <w:rPr>
                <w:rFonts w:ascii="Arial" w:cs="Arial" w:eastAsia="Arial" w:hAnsi="Arial"/>
                <w:sz w:val="17"/>
                <w:szCs w:val="17"/>
                <w:color w:val="auto"/>
                <w:vertAlign w:val="superscript"/>
              </w:rPr>
              <w:t>(7)</w:t>
            </w:r>
          </w:p>
        </w:tc>
        <w:tc>
          <w:tcPr>
            <w:tcW w:w="9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L+650</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5/15/2017</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89"/>
              </w:rPr>
              <w:t>TRANSPORTATION</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12.50%</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19,000,000</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16,840,878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6,650,000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5/15/2015</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TRANSPORTATION</w:t>
            </w:r>
          </w:p>
        </w:tc>
        <w:tc>
          <w:tcPr>
            <w:tcW w:w="11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8.63%</w:t>
            </w:r>
          </w:p>
        </w:tc>
        <w:tc>
          <w:tcPr>
            <w:tcW w:w="9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L+775</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9,965,034</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Sheridan Holdings, Inc.</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6"/>
              </w:rPr>
              <w:t>6/15/2015</w:t>
            </w:r>
          </w:p>
        </w:tc>
        <w:tc>
          <w:tcPr>
            <w:tcW w:w="220" w:type="dxa"/>
            <w:vAlign w:val="bottom"/>
          </w:tcPr>
          <w:p>
            <w:pPr>
              <w:spacing w:after="0"/>
              <w:rPr>
                <w:sz w:val="11"/>
                <w:szCs w:val="11"/>
                <w:color w:val="auto"/>
              </w:rPr>
            </w:pPr>
          </w:p>
        </w:tc>
        <w:tc>
          <w:tcPr>
            <w:tcW w:w="1580" w:type="dxa"/>
            <w:vAlign w:val="bottom"/>
          </w:tcPr>
          <w:p>
            <w:pPr>
              <w:jc w:val="center"/>
              <w:spacing w:after="0" w:line="138" w:lineRule="exact"/>
              <w:rPr>
                <w:sz w:val="20"/>
                <w:szCs w:val="20"/>
                <w:color w:val="auto"/>
              </w:rPr>
            </w:pPr>
            <w:r>
              <w:rPr>
                <w:rFonts w:ascii="Arial" w:cs="Arial" w:eastAsia="Arial" w:hAnsi="Arial"/>
                <w:sz w:val="14"/>
                <w:szCs w:val="14"/>
                <w:color w:val="auto"/>
                <w:w w:val="93"/>
              </w:rPr>
              <w:t>HEALTHCARE,</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6"/>
              </w:rPr>
              <w:t>EDUCATION &amp;</w:t>
            </w:r>
          </w:p>
        </w:tc>
        <w:tc>
          <w:tcPr>
            <w:tcW w:w="118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6.07%</w:t>
            </w:r>
            <w:r>
              <w:rPr>
                <w:rFonts w:ascii="Arial" w:cs="Arial" w:eastAsia="Arial" w:hAnsi="Arial"/>
                <w:sz w:val="22"/>
                <w:szCs w:val="22"/>
                <w:color w:val="auto"/>
                <w:vertAlign w:val="superscript"/>
              </w:rPr>
              <w:t>(6)</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jc w:val="center"/>
              <w:spacing w:after="0" w:line="159" w:lineRule="exact"/>
              <w:rPr>
                <w:sz w:val="20"/>
                <w:szCs w:val="20"/>
                <w:color w:val="auto"/>
              </w:rPr>
            </w:pPr>
            <w:r>
              <w:rPr>
                <w:rFonts w:ascii="Arial" w:cs="Arial" w:eastAsia="Arial" w:hAnsi="Arial"/>
                <w:sz w:val="14"/>
                <w:szCs w:val="14"/>
                <w:color w:val="auto"/>
                <w:w w:val="93"/>
              </w:rPr>
              <w:t>CHILDCARE</w:t>
            </w:r>
          </w:p>
        </w:tc>
        <w:tc>
          <w:tcPr>
            <w:tcW w:w="1180" w:type="dxa"/>
            <w:vAlign w:val="bottom"/>
            <w:gridSpan w:val="3"/>
            <w:vMerge w:val="continue"/>
          </w:tcPr>
          <w:p>
            <w:pPr>
              <w:spacing w:after="0"/>
              <w:rPr>
                <w:sz w:val="13"/>
                <w:szCs w:val="13"/>
                <w:color w:val="auto"/>
              </w:rPr>
            </w:pPr>
          </w:p>
        </w:tc>
        <w:tc>
          <w:tcPr>
            <w:tcW w:w="90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L+575</w:t>
            </w:r>
          </w:p>
        </w:tc>
        <w:tc>
          <w:tcPr>
            <w:tcW w:w="20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4"/>
              </w:rPr>
              <w:t>21,500,000</w:t>
            </w:r>
          </w:p>
        </w:tc>
        <w:tc>
          <w:tcPr>
            <w:tcW w:w="2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4"/>
              </w:rPr>
              <w:t>18,786,899</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94"/>
              </w:rPr>
              <w:t>18,253,500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Specialized Technology Resources, Inc.</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4"/>
              </w:rPr>
              <w:t>CHEMICALS, PLASTICS</w:t>
            </w:r>
          </w:p>
        </w:tc>
        <w:tc>
          <w:tcPr>
            <w:tcW w:w="118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7.31%</w:t>
            </w:r>
            <w:r>
              <w:rPr>
                <w:rFonts w:ascii="Arial" w:cs="Arial" w:eastAsia="Arial" w:hAnsi="Arial"/>
                <w:sz w:val="22"/>
                <w:szCs w:val="22"/>
                <w:color w:val="auto"/>
                <w:vertAlign w:val="superscript"/>
              </w:rPr>
              <w:t>(6)</w:t>
            </w: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12/15/2014</w:t>
            </w: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4"/>
              </w:rPr>
              <w:t>&amp; RUBBER</w:t>
            </w:r>
          </w:p>
        </w:tc>
        <w:tc>
          <w:tcPr>
            <w:tcW w:w="1180" w:type="dxa"/>
            <w:vAlign w:val="bottom"/>
            <w:gridSpan w:val="3"/>
            <w:vMerge w:val="continue"/>
            <w:shd w:val="clear" w:color="auto" w:fill="CCEEFF"/>
          </w:tcPr>
          <w:p>
            <w:pPr>
              <w:spacing w:after="0"/>
              <w:rPr>
                <w:sz w:val="13"/>
                <w:szCs w:val="13"/>
                <w:color w:val="auto"/>
              </w:rPr>
            </w:pPr>
          </w:p>
        </w:tc>
        <w:tc>
          <w:tcPr>
            <w:tcW w:w="90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L+700</w:t>
            </w:r>
          </w:p>
        </w:tc>
        <w:tc>
          <w:tcPr>
            <w:tcW w:w="20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22,500,000</w:t>
            </w:r>
          </w:p>
        </w:tc>
        <w:tc>
          <w:tcPr>
            <w:tcW w:w="28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22,487,594</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22,500,000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TransFirst Holdings,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6/15/2015</w:t>
            </w:r>
          </w:p>
        </w:tc>
        <w:tc>
          <w:tcPr>
            <w:tcW w:w="220" w:type="dxa"/>
            <w:vAlign w:val="bottom"/>
          </w:tcPr>
          <w:p>
            <w:pPr>
              <w:spacing w:after="0"/>
              <w:rPr>
                <w:sz w:val="13"/>
                <w:szCs w:val="13"/>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4"/>
              </w:rPr>
              <w:t>FINANCIAL SERVICES</w:t>
            </w: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1"/>
                <w:szCs w:val="11"/>
                <w:color w:val="auto"/>
              </w:rPr>
              <w:t>7.06%</w:t>
            </w:r>
            <w:r>
              <w:rPr>
                <w:rFonts w:ascii="Arial" w:cs="Arial" w:eastAsia="Arial" w:hAnsi="Arial"/>
                <w:sz w:val="17"/>
                <w:szCs w:val="17"/>
                <w:color w:val="auto"/>
                <w:vertAlign w:val="superscript"/>
              </w:rPr>
              <w:t>(6)</w:t>
            </w:r>
          </w:p>
        </w:tc>
        <w:tc>
          <w:tcPr>
            <w:tcW w:w="9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L+675</w:t>
            </w:r>
          </w:p>
        </w:tc>
        <w:tc>
          <w:tcPr>
            <w:tcW w:w="2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16,500,000</w:t>
            </w:r>
          </w:p>
        </w:tc>
        <w:tc>
          <w:tcPr>
            <w:tcW w:w="28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15,936,742</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13,909,500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139,282,000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133,003,215</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103,370,200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Preferred Equity / Partnership Interests</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—4.2%</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CFHC Holdings, Inc. Class A (Consolidated Foundries, Inc.)</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0"/>
              </w:rPr>
              <w:t>AEROSPACE &amp; DEFENSE</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12.00%</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797</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797,288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921,359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AEROSPACE &amp; DEFENSE</w:t>
            </w:r>
          </w:p>
        </w:tc>
        <w:tc>
          <w:tcPr>
            <w:tcW w:w="11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12.00%</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3,960,000</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3,960,000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4,483,940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Series A (TZ Merger Sub, Inc.)</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2"/>
              </w:rPr>
              <w:t>INSURANCE</w:t>
            </w:r>
          </w:p>
        </w:tc>
        <w:tc>
          <w:tcPr>
            <w:tcW w:w="200" w:type="dxa"/>
            <w:vAlign w:val="bottom"/>
          </w:tcPr>
          <w:p>
            <w:pPr>
              <w:spacing w:after="0"/>
              <w:rPr>
                <w:sz w:val="12"/>
                <w:szCs w:val="12"/>
                <w:color w:val="auto"/>
              </w:rPr>
            </w:pPr>
          </w:p>
        </w:tc>
        <w:tc>
          <w:tcPr>
            <w:tcW w:w="9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686</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685,820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685,820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B (TZ Merger Sub, Inc.)</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INSURANCE</w:t>
            </w:r>
          </w:p>
        </w:tc>
        <w:tc>
          <w:tcPr>
            <w:tcW w:w="11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6.50%</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1,312</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1,312,006</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1,389,109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UP Holdings Inc., Class A-1 (UP Acquisition Sub Inc.)</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8"/>
              </w:rPr>
              <w:t>OIL &amp; GAS</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8.00%</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91,608</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2,499,066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2,778,961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VSS-AHC Holdings, L.L.C. (Advanstar Inc.)</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OTHER MEDIA</w:t>
            </w:r>
          </w:p>
        </w:tc>
        <w:tc>
          <w:tcPr>
            <w:tcW w:w="11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20.00%</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319</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318,896</w:t>
            </w: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 / Partnership Interests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4,054,722</w:t>
            </w:r>
          </w:p>
        </w:tc>
        <w:tc>
          <w:tcPr>
            <w:tcW w:w="28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9,573,076</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4"/>
              </w:rPr>
              <w:t>10,259,189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 / Partnership Interests</w:t>
            </w:r>
            <w:r>
              <w:rPr>
                <w:rFonts w:ascii="Arial" w:cs="Arial" w:eastAsia="Arial" w:hAnsi="Arial"/>
                <w:sz w:val="17"/>
                <w:szCs w:val="17"/>
                <w:b w:val="1"/>
                <w:bCs w:val="1"/>
                <w:color w:val="auto"/>
                <w:vertAlign w:val="superscript"/>
              </w:rPr>
              <w:t>(7)</w:t>
            </w:r>
            <w:r>
              <w:rPr>
                <w:rFonts w:ascii="Arial" w:cs="Arial" w:eastAsia="Arial" w:hAnsi="Arial"/>
                <w:sz w:val="11"/>
                <w:szCs w:val="11"/>
                <w:b w:val="1"/>
                <w:bCs w:val="1"/>
                <w:color w:val="auto"/>
              </w:rPr>
              <w:t>—5.5%</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(Advanstar, Inc.)</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4"/>
              </w:rPr>
              <w:t>OTHER MEDIA</w:t>
            </w:r>
          </w:p>
        </w:tc>
        <w:tc>
          <w:tcPr>
            <w:tcW w:w="200" w:type="dxa"/>
            <w:vAlign w:val="bottom"/>
          </w:tcPr>
          <w:p>
            <w:pPr>
              <w:spacing w:after="0"/>
              <w:rPr>
                <w:sz w:val="12"/>
                <w:szCs w:val="12"/>
                <w:color w:val="auto"/>
              </w:rPr>
            </w:pPr>
          </w:p>
        </w:tc>
        <w:tc>
          <w:tcPr>
            <w:tcW w:w="9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3,005,163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CFHC Holdings, Inc. (Consolidated Foundries, Inc.)</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AEROSPACE &amp; DEFENSE</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1,627</w:t>
            </w:r>
          </w:p>
        </w:tc>
        <w:tc>
          <w:tcPr>
            <w:tcW w:w="28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16,271</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 (CT Technologies Intermediate</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gridSpan w:val="2"/>
          </w:tcPr>
          <w:p>
            <w:pPr>
              <w:ind w:left="200"/>
              <w:spacing w:after="0"/>
              <w:rPr>
                <w:sz w:val="20"/>
                <w:szCs w:val="20"/>
                <w:color w:val="auto"/>
              </w:rPr>
            </w:pPr>
            <w:r>
              <w:rPr>
                <w:rFonts w:ascii="Arial" w:cs="Arial" w:eastAsia="Arial" w:hAnsi="Arial"/>
                <w:sz w:val="14"/>
                <w:szCs w:val="14"/>
                <w:color w:val="auto"/>
              </w:rPr>
              <w:t>Holdings, Inc.)</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89"/>
              </w:rPr>
              <w:t>BUSINESS SERVICES</w:t>
            </w:r>
          </w:p>
        </w:tc>
        <w:tc>
          <w:tcPr>
            <w:tcW w:w="200" w:type="dxa"/>
            <w:vAlign w:val="bottom"/>
          </w:tcPr>
          <w:p>
            <w:pPr>
              <w:spacing w:after="0"/>
              <w:rPr>
                <w:sz w:val="14"/>
                <w:szCs w:val="14"/>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5,556</w:t>
            </w: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3,200,000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6,462,006</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Basis Point</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Spread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90"/>
              </w:rPr>
              <w:t>Current</w:t>
            </w: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4"/>
              </w:rPr>
              <w:t>Above</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84"/>
              </w:rPr>
              <w:t>Fair Value</w:t>
            </w:r>
            <w:r>
              <w:rPr>
                <w:rFonts w:ascii="Arial" w:cs="Arial" w:eastAsia="Arial" w:hAnsi="Arial"/>
                <w:sz w:val="22"/>
                <w:szCs w:val="22"/>
                <w:b w:val="1"/>
                <w:bCs w:val="1"/>
                <w:color w:val="auto"/>
                <w:w w:val="84"/>
                <w:vertAlign w:val="superscript"/>
              </w:rPr>
              <w:t>(3)</w:t>
            </w:r>
          </w:p>
        </w:tc>
        <w:tc>
          <w:tcPr>
            <w:tcW w:w="0" w:type="dxa"/>
            <w:vAlign w:val="bottom"/>
          </w:tcPr>
          <w:p>
            <w:pPr>
              <w:spacing w:after="0"/>
              <w:rPr>
                <w:sz w:val="1"/>
                <w:szCs w:val="1"/>
                <w:color w:val="auto"/>
              </w:rPr>
            </w:pPr>
          </w:p>
        </w:tc>
      </w:tr>
      <w:tr>
        <w:trPr>
          <w:trHeight w:val="176"/>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620" w:type="dxa"/>
            <w:vAlign w:val="bottom"/>
          </w:tcPr>
          <w:p>
            <w:pPr>
              <w:ind w:left="4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20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Coupon</w:t>
            </w:r>
          </w:p>
        </w:tc>
        <w:tc>
          <w:tcPr>
            <w:tcW w:w="900" w:type="dxa"/>
            <w:vAlign w:val="bottom"/>
            <w:gridSpan w:val="2"/>
          </w:tcPr>
          <w:p>
            <w:pPr>
              <w:jc w:val="center"/>
              <w:ind w:right="24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40" w:type="dxa"/>
            <w:vAlign w:val="bottom"/>
          </w:tcPr>
          <w:p>
            <w:pPr>
              <w:spacing w:after="0"/>
              <w:rPr>
                <w:sz w:val="15"/>
                <w:szCs w:val="15"/>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10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 / Partnership Interests</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—(Continued)</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i2 Holdings Ltd.</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0"/>
              </w:rPr>
              <w:t>AEROSPACE &amp; DEFENSE</w:t>
            </w:r>
          </w:p>
        </w:tc>
        <w:tc>
          <w:tcPr>
            <w:tcW w:w="200" w:type="dxa"/>
            <w:vAlign w:val="bottom"/>
          </w:tcPr>
          <w:p>
            <w:pPr>
              <w:spacing w:after="0"/>
              <w:rPr>
                <w:sz w:val="12"/>
                <w:szCs w:val="12"/>
                <w:color w:val="auto"/>
              </w:rPr>
            </w:pPr>
          </w:p>
        </w:tc>
        <w:tc>
          <w:tcPr>
            <w:tcW w:w="9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440,000</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2"/>
              </w:rPr>
              <w:t>$  2,467,643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Transportation 100 Holdco, L.L.C. (Greatwide Logistics Services,</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L.L.C.)</w:t>
            </w: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0"/>
              </w:rPr>
              <w:t>CARGO TRANSPORT</w:t>
            </w: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106,299</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1,779,455</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2,034,392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(TZ Merger Sub, Inc.)</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2"/>
              </w:rPr>
              <w:t>INSURANCE</w:t>
            </w:r>
          </w:p>
        </w:tc>
        <w:tc>
          <w:tcPr>
            <w:tcW w:w="200" w:type="dxa"/>
            <w:vAlign w:val="bottom"/>
          </w:tcPr>
          <w:p>
            <w:pPr>
              <w:spacing w:after="0"/>
              <w:rPr>
                <w:sz w:val="12"/>
                <w:szCs w:val="12"/>
                <w:color w:val="auto"/>
              </w:rPr>
            </w:pPr>
          </w:p>
        </w:tc>
        <w:tc>
          <w:tcPr>
            <w:tcW w:w="9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6,467</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1,122,240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UP Holdings Inc., (UP Acquisition Sub Inc.)</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OIL &amp; GAS</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91,608</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916</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1,607,618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 / Partnership Interests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648,092</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8,448,272</w:t>
            </w:r>
          </w:p>
        </w:tc>
        <w:tc>
          <w:tcPr>
            <w:tcW w:w="220" w:type="dxa"/>
            <w:vAlign w:val="bottom"/>
          </w:tcPr>
          <w:p>
            <w:pPr>
              <w:spacing w:after="0"/>
              <w:rPr>
                <w:sz w:val="14"/>
                <w:szCs w:val="14"/>
                <w:color w:val="auto"/>
              </w:rPr>
            </w:pP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13,704,085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Equity—Warrants</w:t>
            </w:r>
            <w:r>
              <w:rPr>
                <w:rFonts w:ascii="Arial" w:cs="Arial" w:eastAsia="Arial" w:hAnsi="Arial"/>
                <w:sz w:val="17"/>
                <w:szCs w:val="17"/>
                <w:b w:val="1"/>
                <w:bCs w:val="1"/>
                <w:color w:val="auto"/>
                <w:vertAlign w:val="superscript"/>
              </w:rPr>
              <w:t>(7)</w:t>
            </w:r>
            <w:r>
              <w:rPr>
                <w:rFonts w:ascii="Arial" w:cs="Arial" w:eastAsia="Arial" w:hAnsi="Arial"/>
                <w:sz w:val="11"/>
                <w:szCs w:val="11"/>
                <w:b w:val="1"/>
                <w:bCs w:val="1"/>
                <w:color w:val="auto"/>
              </w:rPr>
              <w:t>—0.0%</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VSS-AHC HOLDINGS, LLC (expires 11/6/18)</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4"/>
              </w:rPr>
              <w:t>OTHER MEDIA</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20.00%</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w:t>
            </w:r>
          </w:p>
        </w:tc>
        <w:tc>
          <w:tcPr>
            <w:tcW w:w="220" w:type="dxa"/>
            <w:vAlign w:val="bottom"/>
          </w:tcPr>
          <w:p>
            <w:pPr>
              <w:spacing w:after="0"/>
              <w:rPr>
                <w:sz w:val="13"/>
                <w:szCs w:val="13"/>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(Advanstar, Inc.)</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Debt—40.0%</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1-800 Contacts,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3/4/2015</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7"/>
              </w:rPr>
              <w:t>DISTRIBUTION</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7.70%</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1"/>
                <w:szCs w:val="11"/>
                <w:color w:val="auto"/>
              </w:rPr>
              <w:t>P+295</w:t>
            </w:r>
            <w:r>
              <w:rPr>
                <w:rFonts w:ascii="Arial" w:cs="Arial" w:eastAsia="Arial" w:hAnsi="Arial"/>
                <w:sz w:val="17"/>
                <w:szCs w:val="17"/>
                <w:color w:val="auto"/>
                <w:vertAlign w:val="superscript"/>
              </w:rPr>
              <w:t>(8)</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$ 13,964,912</w:t>
            </w:r>
          </w:p>
        </w:tc>
        <w:tc>
          <w:tcPr>
            <w:tcW w:w="11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11,852,349</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13,154,947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Burlington Coat Factory Warehouse Corp.</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5/28/2013</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RETAIL STORE</w:t>
            </w:r>
          </w:p>
        </w:tc>
        <w:tc>
          <w:tcPr>
            <w:tcW w:w="11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2.56%</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L+225</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7,877,863</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7,871,705</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6,125,038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EnviroSolutions, Inc.</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jc w:val="center"/>
              <w:spacing w:after="0" w:line="138" w:lineRule="exact"/>
              <w:rPr>
                <w:sz w:val="20"/>
                <w:szCs w:val="20"/>
                <w:color w:val="auto"/>
              </w:rPr>
            </w:pPr>
            <w:r>
              <w:rPr>
                <w:rFonts w:ascii="Arial" w:cs="Arial" w:eastAsia="Arial" w:hAnsi="Arial"/>
                <w:sz w:val="14"/>
                <w:szCs w:val="14"/>
                <w:color w:val="auto"/>
                <w:w w:val="96"/>
              </w:rPr>
              <w:t>ENVIRONMENTAL</w:t>
            </w:r>
          </w:p>
        </w:tc>
        <w:tc>
          <w:tcPr>
            <w:tcW w:w="118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11.00%</w:t>
            </w:r>
            <w:r>
              <w:rPr>
                <w:rFonts w:ascii="Arial" w:cs="Arial" w:eastAsia="Arial" w:hAnsi="Arial"/>
                <w:sz w:val="22"/>
                <w:szCs w:val="22"/>
                <w:color w:val="auto"/>
                <w:vertAlign w:val="superscript"/>
              </w:rPr>
              <w:t>(6)</w:t>
            </w: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83"/>
              </w:rPr>
              <w:t>L+775</w:t>
            </w:r>
            <w:r>
              <w:rPr>
                <w:rFonts w:ascii="Arial" w:cs="Arial" w:eastAsia="Arial" w:hAnsi="Arial"/>
                <w:sz w:val="22"/>
                <w:szCs w:val="22"/>
                <w:color w:val="auto"/>
                <w:w w:val="83"/>
                <w:vertAlign w:val="superscript"/>
              </w:rPr>
              <w:t>(8)</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88"/>
              </w:rPr>
              <w:t>7/7/2012</w:t>
            </w:r>
          </w:p>
        </w:tc>
        <w:tc>
          <w:tcPr>
            <w:tcW w:w="220" w:type="dxa"/>
            <w:vAlign w:val="bottom"/>
          </w:tcPr>
          <w:p>
            <w:pPr>
              <w:spacing w:after="0"/>
              <w:rPr>
                <w:sz w:val="13"/>
                <w:szCs w:val="13"/>
                <w:color w:val="auto"/>
              </w:rPr>
            </w:pPr>
          </w:p>
        </w:tc>
        <w:tc>
          <w:tcPr>
            <w:tcW w:w="1580" w:type="dxa"/>
            <w:vAlign w:val="bottom"/>
          </w:tcPr>
          <w:p>
            <w:pPr>
              <w:jc w:val="center"/>
              <w:spacing w:after="0" w:line="159" w:lineRule="exact"/>
              <w:rPr>
                <w:sz w:val="20"/>
                <w:szCs w:val="20"/>
                <w:color w:val="auto"/>
              </w:rPr>
            </w:pPr>
            <w:r>
              <w:rPr>
                <w:rFonts w:ascii="Arial" w:cs="Arial" w:eastAsia="Arial" w:hAnsi="Arial"/>
                <w:sz w:val="14"/>
                <w:szCs w:val="14"/>
                <w:color w:val="auto"/>
                <w:w w:val="90"/>
              </w:rPr>
              <w:t>SERVICES</w:t>
            </w:r>
          </w:p>
        </w:tc>
        <w:tc>
          <w:tcPr>
            <w:tcW w:w="1180" w:type="dxa"/>
            <w:vAlign w:val="bottom"/>
            <w:gridSpan w:val="3"/>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14,122,062</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13,281,220</w:t>
            </w:r>
          </w:p>
        </w:tc>
        <w:tc>
          <w:tcPr>
            <w:tcW w:w="22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14,122,062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3/8/2014</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OTHER MEDIA</w:t>
            </w:r>
          </w:p>
        </w:tc>
        <w:tc>
          <w:tcPr>
            <w:tcW w:w="11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2.57%</w:t>
            </w:r>
          </w:p>
        </w:tc>
        <w:tc>
          <w:tcPr>
            <w:tcW w:w="9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1"/>
              </w:rPr>
              <w:t>L+225</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8,865,000</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8,865,000</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6,232,096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Hughes Network Systems,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4/15/2014</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4"/>
              </w:rPr>
              <w:t>TELECOMMUNICATIONS</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3.19%</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L+250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4,462,500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Jacuzzi Brands Corp.</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2/7/2014</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4"/>
              </w:rPr>
              <w:t>HOME &amp; OFFICE</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FURNISHINGS,</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HOUSEWARES, &amp;</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DURABLE CONSUMER</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PRODUCTS</w:t>
            </w:r>
          </w:p>
        </w:tc>
        <w:tc>
          <w:tcPr>
            <w:tcW w:w="118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2.58%</w:t>
            </w:r>
          </w:p>
        </w:tc>
        <w:tc>
          <w:tcPr>
            <w:tcW w:w="900" w:type="dxa"/>
            <w:vAlign w:val="bottom"/>
            <w:gridSpan w:val="2"/>
            <w:shd w:val="clear" w:color="auto" w:fill="CCEEFF"/>
          </w:tcPr>
          <w:p>
            <w:pPr>
              <w:jc w:val="center"/>
              <w:ind w:right="260"/>
              <w:spacing w:after="0" w:line="159" w:lineRule="exact"/>
              <w:rPr>
                <w:sz w:val="20"/>
                <w:szCs w:val="20"/>
                <w:color w:val="auto"/>
              </w:rPr>
            </w:pPr>
            <w:r>
              <w:rPr>
                <w:rFonts w:ascii="Arial" w:cs="Arial" w:eastAsia="Arial" w:hAnsi="Arial"/>
                <w:sz w:val="14"/>
                <w:szCs w:val="14"/>
                <w:color w:val="auto"/>
                <w:w w:val="91"/>
              </w:rPr>
              <w:t>L+225</w:t>
            </w: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9,835,811</w:t>
            </w:r>
          </w:p>
        </w:tc>
        <w:tc>
          <w:tcPr>
            <w:tcW w:w="118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9,835,811</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4,081,861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Levlad,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3/8/2014</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0"/>
              </w:rPr>
              <w:t>CONSUMER PRODUCTS</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7.75%</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L+475</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4,446,133</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4,446,133</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2,769,937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Lyondell Chemical Co.</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12/15/2009</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4"/>
              </w:rPr>
              <w:t>CHEMICALS, PLASTICS</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color w:val="auto"/>
                <w:w w:val="86"/>
              </w:rPr>
              <w:t>L+1,000</w:t>
            </w:r>
            <w:r>
              <w:rPr>
                <w:rFonts w:ascii="Arial" w:cs="Arial" w:eastAsia="Arial" w:hAnsi="Arial"/>
                <w:sz w:val="22"/>
                <w:szCs w:val="22"/>
                <w:color w:val="auto"/>
                <w:w w:val="86"/>
                <w:vertAlign w:val="superscript"/>
              </w:rPr>
              <w:t>(8)</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4"/>
              </w:rPr>
              <w:t>&amp; RUBBER</w:t>
            </w:r>
          </w:p>
        </w:tc>
        <w:tc>
          <w:tcPr>
            <w:tcW w:w="118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13.00%</w:t>
            </w:r>
          </w:p>
        </w:tc>
        <w:tc>
          <w:tcPr>
            <w:tcW w:w="900" w:type="dxa"/>
            <w:vAlign w:val="bottom"/>
            <w:gridSpan w:val="2"/>
            <w:vMerge w:val="continue"/>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12,668,615</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12,862,512</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13,037,589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0"/>
                <w:szCs w:val="10"/>
                <w:color w:val="auto"/>
              </w:rPr>
              <w:t>Lyondell Chemical Co.</w:t>
            </w:r>
            <w:r>
              <w:rPr>
                <w:rFonts w:ascii="Arial" w:cs="Arial" w:eastAsia="Arial" w:hAnsi="Arial"/>
                <w:sz w:val="15"/>
                <w:szCs w:val="15"/>
                <w:color w:val="auto"/>
                <w:vertAlign w:val="superscript"/>
              </w:rPr>
              <w:t>(9)</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12/15/2009</w:t>
            </w:r>
          </w:p>
        </w:tc>
        <w:tc>
          <w:tcPr>
            <w:tcW w:w="220" w:type="dxa"/>
            <w:vAlign w:val="bottom"/>
          </w:tcPr>
          <w:p>
            <w:pPr>
              <w:spacing w:after="0"/>
              <w:rPr>
                <w:sz w:val="11"/>
                <w:szCs w:val="11"/>
                <w:color w:val="auto"/>
              </w:rPr>
            </w:pPr>
          </w:p>
        </w:tc>
        <w:tc>
          <w:tcPr>
            <w:tcW w:w="1580" w:type="dxa"/>
            <w:vAlign w:val="bottom"/>
          </w:tcPr>
          <w:p>
            <w:pPr>
              <w:jc w:val="center"/>
              <w:spacing w:after="0" w:line="138" w:lineRule="exact"/>
              <w:rPr>
                <w:sz w:val="20"/>
                <w:szCs w:val="20"/>
                <w:color w:val="auto"/>
              </w:rPr>
            </w:pPr>
            <w:r>
              <w:rPr>
                <w:rFonts w:ascii="Arial" w:cs="Arial" w:eastAsia="Arial" w:hAnsi="Arial"/>
                <w:sz w:val="14"/>
                <w:szCs w:val="14"/>
                <w:color w:val="auto"/>
                <w:w w:val="94"/>
              </w:rPr>
              <w:t>CHEMICALS, PLASTICS</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jc w:val="center"/>
              <w:spacing w:after="0" w:line="159" w:lineRule="exact"/>
              <w:rPr>
                <w:sz w:val="20"/>
                <w:szCs w:val="20"/>
                <w:color w:val="auto"/>
              </w:rPr>
            </w:pPr>
            <w:r>
              <w:rPr>
                <w:rFonts w:ascii="Arial" w:cs="Arial" w:eastAsia="Arial" w:hAnsi="Arial"/>
                <w:sz w:val="14"/>
                <w:szCs w:val="14"/>
                <w:color w:val="auto"/>
                <w:w w:val="94"/>
              </w:rPr>
              <w:t>&amp; RUBBER</w:t>
            </w:r>
          </w:p>
        </w:tc>
        <w:tc>
          <w:tcPr>
            <w:tcW w:w="200" w:type="dxa"/>
            <w:vAlign w:val="bottom"/>
          </w:tcPr>
          <w:p>
            <w:pPr>
              <w:spacing w:after="0"/>
              <w:rPr>
                <w:sz w:val="13"/>
                <w:szCs w:val="13"/>
                <w:color w:val="auto"/>
              </w:rPr>
            </w:pPr>
          </w:p>
        </w:tc>
        <w:tc>
          <w:tcPr>
            <w:tcW w:w="980" w:type="dxa"/>
            <w:vAlign w:val="bottom"/>
            <w:gridSpan w:val="2"/>
          </w:tcPr>
          <w:p>
            <w:pPr>
              <w:jc w:val="right"/>
              <w:ind w:right="5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6,331,385</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6,382,317</w:t>
            </w:r>
          </w:p>
        </w:tc>
        <w:tc>
          <w:tcPr>
            <w:tcW w:w="22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6,515,786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1/18/2014</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4"/>
              </w:rPr>
              <w:t>HOME &amp; OFFICE</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FURNISHINGS,</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HOUSEWARES, &amp;</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DURABLE CONSUMER</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PRODUCTS</w:t>
            </w:r>
          </w:p>
        </w:tc>
        <w:tc>
          <w:tcPr>
            <w:tcW w:w="118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2.56%</w:t>
            </w:r>
          </w:p>
        </w:tc>
        <w:tc>
          <w:tcPr>
            <w:tcW w:w="900" w:type="dxa"/>
            <w:vAlign w:val="bottom"/>
            <w:gridSpan w:val="2"/>
            <w:shd w:val="clear" w:color="auto" w:fill="CCEEFF"/>
          </w:tcPr>
          <w:p>
            <w:pPr>
              <w:jc w:val="center"/>
              <w:ind w:right="260"/>
              <w:spacing w:after="0" w:line="159" w:lineRule="exact"/>
              <w:rPr>
                <w:sz w:val="20"/>
                <w:szCs w:val="20"/>
                <w:color w:val="auto"/>
              </w:rPr>
            </w:pPr>
            <w:r>
              <w:rPr>
                <w:rFonts w:ascii="Arial" w:cs="Arial" w:eastAsia="Arial" w:hAnsi="Arial"/>
                <w:sz w:val="14"/>
                <w:szCs w:val="14"/>
                <w:color w:val="auto"/>
                <w:w w:val="91"/>
              </w:rPr>
              <w:t>L+225</w:t>
            </w: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3,920,175</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3,920,175</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2,944,051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Mitchell International,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3/28/2014</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89"/>
              </w:rPr>
              <w:t>BUSINESS SERVICES</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2.63%</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L+200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1,915,102</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1,915,102</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1,599,110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National Bedding Co., L.L.C.</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4"/>
              </w:rPr>
              <w:t>HOME &amp; OFFICE</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2/28/2013</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FURNISHINGS,</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HOUSEWARES, &amp;</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DURABLE CONSUMER</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PRODUCTS</w:t>
            </w:r>
          </w:p>
        </w:tc>
        <w:tc>
          <w:tcPr>
            <w:tcW w:w="118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2.38%</w:t>
            </w:r>
          </w:p>
        </w:tc>
        <w:tc>
          <w:tcPr>
            <w:tcW w:w="900" w:type="dxa"/>
            <w:vAlign w:val="bottom"/>
            <w:gridSpan w:val="2"/>
            <w:shd w:val="clear" w:color="auto" w:fill="CCEEFF"/>
          </w:tcPr>
          <w:p>
            <w:pPr>
              <w:jc w:val="center"/>
              <w:ind w:right="260"/>
              <w:spacing w:after="0" w:line="159" w:lineRule="exact"/>
              <w:rPr>
                <w:sz w:val="20"/>
                <w:szCs w:val="20"/>
                <w:color w:val="auto"/>
              </w:rPr>
            </w:pPr>
            <w:r>
              <w:rPr>
                <w:rFonts w:ascii="Arial" w:cs="Arial" w:eastAsia="Arial" w:hAnsi="Arial"/>
                <w:sz w:val="14"/>
                <w:szCs w:val="14"/>
                <w:color w:val="auto"/>
                <w:w w:val="91"/>
              </w:rPr>
              <w:t>L+200</w:t>
            </w: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6,842,500</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6,847,056</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5,838,931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2/1/2013</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4"/>
              </w:rPr>
              <w:t>OTHER MEDIA</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3.22%</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L+225</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4,887,500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4,887,500</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3,597,200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Philosophy,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3/16/2014</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CONSUMER PRODUCTS</w:t>
            </w:r>
          </w:p>
        </w:tc>
        <w:tc>
          <w:tcPr>
            <w:tcW w:w="11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2.31%</w:t>
            </w:r>
          </w:p>
        </w:tc>
        <w:tc>
          <w:tcPr>
            <w:tcW w:w="9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1"/>
              </w:rPr>
              <w:t>L+200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1,426,506</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1,426,506</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1,154,043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Quebecor World,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7/21/2012</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5"/>
              </w:rPr>
              <w:t>PRINTING</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9.00%</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L+600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3,150,000</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3,220,000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5/4/2014</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OTHER MEDIA</w:t>
            </w:r>
          </w:p>
        </w:tc>
        <w:tc>
          <w:tcPr>
            <w:tcW w:w="118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5.25%</w:t>
            </w:r>
          </w:p>
        </w:tc>
        <w:tc>
          <w:tcPr>
            <w:tcW w:w="9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1"/>
              </w:rPr>
              <w:t>L+200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4,886,667</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4,886,667</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3,127,467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Rexair,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6/30/2010</w:t>
            </w: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7"/>
              </w:rPr>
              <w:t>RETAIL</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4.85%</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L+425</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2,658,369</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1,991,445</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1,993,777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Rexnord, L.L.C.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7/19/2013</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4"/>
              </w:rPr>
              <w:t>MANUFACTURING/</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5"/>
              </w:rPr>
              <w:t>BASIC INDUSTRY</w:t>
            </w:r>
          </w:p>
        </w:tc>
        <w:tc>
          <w:tcPr>
            <w:tcW w:w="118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2.31%</w:t>
            </w:r>
          </w:p>
        </w:tc>
        <w:tc>
          <w:tcPr>
            <w:tcW w:w="900" w:type="dxa"/>
            <w:vAlign w:val="bottom"/>
            <w:gridSpan w:val="2"/>
            <w:shd w:val="clear" w:color="auto" w:fill="CCEEFF"/>
          </w:tcPr>
          <w:p>
            <w:pPr>
              <w:jc w:val="center"/>
              <w:ind w:right="260"/>
              <w:spacing w:after="0" w:line="159" w:lineRule="exact"/>
              <w:rPr>
                <w:sz w:val="20"/>
                <w:szCs w:val="20"/>
                <w:color w:val="auto"/>
              </w:rPr>
            </w:pPr>
            <w:r>
              <w:rPr>
                <w:rFonts w:ascii="Arial" w:cs="Arial" w:eastAsia="Arial" w:hAnsi="Arial"/>
                <w:sz w:val="14"/>
                <w:szCs w:val="14"/>
                <w:color w:val="auto"/>
                <w:w w:val="91"/>
              </w:rPr>
              <w:t>L+200</w:t>
            </w:r>
          </w:p>
        </w:tc>
        <w:tc>
          <w:tcPr>
            <w:tcW w:w="8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2,895,305</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2,895,305</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2,461,009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Sitel,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6"/>
              </w:rPr>
              <w:t>1/30/2014</w:t>
            </w:r>
          </w:p>
        </w:tc>
        <w:tc>
          <w:tcPr>
            <w:tcW w:w="220" w:type="dxa"/>
            <w:vAlign w:val="bottom"/>
          </w:tcPr>
          <w:p>
            <w:pPr>
              <w:spacing w:after="0"/>
              <w:rPr>
                <w:sz w:val="13"/>
                <w:szCs w:val="13"/>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89"/>
              </w:rPr>
              <w:t>BUSINESS SERVICES</w:t>
            </w: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6.38%</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L+550</w:t>
            </w:r>
          </w:p>
        </w:tc>
        <w:tc>
          <w:tcPr>
            <w:tcW w:w="14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2,682,328</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2,682,328</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2,395,319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118,726,233</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2"/>
              </w:rPr>
              <w:t>114,999,131</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98,832,723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420"/>
              <w:spacing w:after="0" w:line="135" w:lineRule="exact"/>
              <w:rPr>
                <w:sz w:val="20"/>
                <w:szCs w:val="20"/>
                <w:color w:val="auto"/>
              </w:rPr>
            </w:pPr>
            <w:r>
              <w:rPr>
                <w:rFonts w:ascii="Arial" w:cs="Arial" w:eastAsia="Arial" w:hAnsi="Arial"/>
                <w:sz w:val="14"/>
                <w:szCs w:val="14"/>
                <w:b w:val="1"/>
                <w:bCs w:val="1"/>
                <w:color w:val="auto"/>
                <w:w w:val="90"/>
              </w:rPr>
              <w:t>Current</w:t>
            </w: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Above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4"/>
              </w:rPr>
              <w:t>Fair Value</w:t>
            </w:r>
            <w:r>
              <w:rPr>
                <w:rFonts w:ascii="Arial" w:cs="Arial" w:eastAsia="Arial" w:hAnsi="Arial"/>
                <w:sz w:val="22"/>
                <w:szCs w:val="22"/>
                <w:b w:val="1"/>
                <w:bCs w:val="1"/>
                <w:color w:val="auto"/>
                <w:w w:val="84"/>
                <w:vertAlign w:val="superscript"/>
              </w:rPr>
              <w:t>(3)</w:t>
            </w:r>
          </w:p>
        </w:tc>
        <w:tc>
          <w:tcPr>
            <w:tcW w:w="0" w:type="dxa"/>
            <w:vAlign w:val="bottom"/>
          </w:tcPr>
          <w:p>
            <w:pPr>
              <w:spacing w:after="0"/>
              <w:rPr>
                <w:sz w:val="1"/>
                <w:szCs w:val="1"/>
                <w:color w:val="auto"/>
              </w:rPr>
            </w:pPr>
          </w:p>
        </w:tc>
      </w:tr>
      <w:tr>
        <w:trPr>
          <w:trHeight w:val="176"/>
        </w:trPr>
        <w:tc>
          <w:tcPr>
            <w:tcW w:w="51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0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6"/>
              </w:rPr>
              <w:t>Coupon</w:t>
            </w:r>
          </w:p>
        </w:tc>
        <w:tc>
          <w:tcPr>
            <w:tcW w:w="7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1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Investments in Non-Controlled, Non-Affiliated Portfolio Companies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7"/>
              </w:rPr>
              <w:t>435,642,024</w:t>
            </w:r>
          </w:p>
        </w:tc>
        <w:tc>
          <w:tcPr>
            <w:tcW w:w="160" w:type="dxa"/>
            <w:vAlign w:val="bottom"/>
            <w:tcBorders>
              <w:right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377,382,905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0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Investments in Non-Controlled, Affiliated Portfolio Companies—6.4%</w:t>
            </w:r>
            <w:r>
              <w:rPr>
                <w:rFonts w:ascii="Arial" w:cs="Arial" w:eastAsia="Arial" w:hAnsi="Arial"/>
                <w:sz w:val="18"/>
                <w:szCs w:val="18"/>
                <w:b w:val="1"/>
                <w:bCs w:val="1"/>
                <w:color w:val="auto"/>
                <w:vertAlign w:val="superscript"/>
              </w:rPr>
              <w:t>(1)(2)</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 / Corporate Notes—2.0%</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00" w:type="dxa"/>
            <w:vAlign w:val="bottom"/>
            <w:gridSpan w:val="2"/>
          </w:tcPr>
          <w:p>
            <w:pPr>
              <w:spacing w:after="0" w:line="138" w:lineRule="exact"/>
              <w:rPr>
                <w:sz w:val="20"/>
                <w:szCs w:val="20"/>
                <w:color w:val="auto"/>
              </w:rPr>
            </w:pPr>
            <w:r>
              <w:rPr>
                <w:rFonts w:ascii="Arial" w:cs="Arial" w:eastAsia="Arial" w:hAnsi="Arial"/>
                <w:sz w:val="14"/>
                <w:szCs w:val="14"/>
                <w:color w:val="auto"/>
              </w:rPr>
              <w:t>Performance Holdings, Inc.</w:t>
            </w:r>
          </w:p>
        </w:tc>
        <w:tc>
          <w:tcPr>
            <w:tcW w:w="560" w:type="dxa"/>
            <w:vAlign w:val="bottom"/>
          </w:tcPr>
          <w:p>
            <w:pPr>
              <w:jc w:val="center"/>
              <w:spacing w:after="0" w:line="138" w:lineRule="exact"/>
              <w:rPr>
                <w:sz w:val="20"/>
                <w:szCs w:val="20"/>
                <w:color w:val="auto"/>
              </w:rPr>
            </w:pPr>
            <w:r>
              <w:rPr>
                <w:rFonts w:ascii="Arial" w:cs="Arial" w:eastAsia="Arial" w:hAnsi="Arial"/>
                <w:sz w:val="14"/>
                <w:szCs w:val="14"/>
                <w:color w:val="auto"/>
                <w:w w:val="88"/>
              </w:rPr>
              <w:t>7/2/2014</w:t>
            </w:r>
          </w:p>
        </w:tc>
        <w:tc>
          <w:tcPr>
            <w:tcW w:w="100" w:type="dxa"/>
            <w:vAlign w:val="bottom"/>
          </w:tcPr>
          <w:p>
            <w:pPr>
              <w:spacing w:after="0"/>
              <w:rPr>
                <w:sz w:val="11"/>
                <w:szCs w:val="11"/>
                <w:color w:val="auto"/>
              </w:rPr>
            </w:pPr>
          </w:p>
        </w:tc>
        <w:tc>
          <w:tcPr>
            <w:tcW w:w="1220" w:type="dxa"/>
            <w:vAlign w:val="bottom"/>
          </w:tcPr>
          <w:p>
            <w:pPr>
              <w:jc w:val="center"/>
              <w:spacing w:after="0" w:line="138" w:lineRule="exact"/>
              <w:rPr>
                <w:sz w:val="20"/>
                <w:szCs w:val="20"/>
                <w:color w:val="auto"/>
              </w:rPr>
            </w:pPr>
            <w:r>
              <w:rPr>
                <w:rFonts w:ascii="Arial" w:cs="Arial" w:eastAsia="Arial" w:hAnsi="Arial"/>
                <w:sz w:val="14"/>
                <w:szCs w:val="14"/>
                <w:color w:val="auto"/>
                <w:w w:val="90"/>
              </w:rPr>
              <w:t>LEISURE,</w:t>
            </w:r>
          </w:p>
        </w:tc>
        <w:tc>
          <w:tcPr>
            <w:tcW w:w="1000" w:type="dxa"/>
            <w:vAlign w:val="bottom"/>
            <w:gridSpan w:val="3"/>
          </w:tcPr>
          <w:p>
            <w:pPr>
              <w:jc w:val="right"/>
              <w:ind w:right="16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(6)</w:t>
            </w:r>
          </w:p>
        </w:tc>
        <w:tc>
          <w:tcPr>
            <w:tcW w:w="700" w:type="dxa"/>
            <w:vAlign w:val="bottom"/>
          </w:tcPr>
          <w:p>
            <w:pPr>
              <w:ind w:left="2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w w:val="97"/>
              </w:rPr>
              <w:t>$ 4,903,147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4,700,193</w:t>
            </w:r>
          </w:p>
        </w:tc>
        <w:tc>
          <w:tcPr>
            <w:tcW w:w="16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4,817,342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4"/>
              </w:rPr>
              <w:t>AMUSEMENT,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6"/>
              </w:rPr>
              <w:t>MOTION</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88"/>
              </w:rPr>
              <w:t>PICTURES,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spacing w:after="0" w:line="159" w:lineRule="exact"/>
              <w:rPr>
                <w:sz w:val="20"/>
                <w:szCs w:val="20"/>
                <w:color w:val="auto"/>
              </w:rPr>
            </w:pPr>
            <w:r>
              <w:rPr>
                <w:rFonts w:ascii="Arial" w:cs="Arial" w:eastAsia="Arial" w:hAnsi="Arial"/>
                <w:sz w:val="14"/>
                <w:szCs w:val="14"/>
                <w:color w:val="auto"/>
                <w:w w:val="94"/>
              </w:rPr>
              <w:t>ENTERTAINMENT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Debt—3.2%</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00" w:type="dxa"/>
            <w:vAlign w:val="bottom"/>
            <w:gridSpan w:val="2"/>
          </w:tcPr>
          <w:p>
            <w:pPr>
              <w:spacing w:after="0" w:line="138" w:lineRule="exact"/>
              <w:rPr>
                <w:sz w:val="20"/>
                <w:szCs w:val="20"/>
                <w:color w:val="auto"/>
              </w:rPr>
            </w:pPr>
            <w:r>
              <w:rPr>
                <w:rFonts w:ascii="Arial" w:cs="Arial" w:eastAsia="Arial" w:hAnsi="Arial"/>
                <w:sz w:val="14"/>
                <w:szCs w:val="14"/>
                <w:color w:val="auto"/>
              </w:rPr>
              <w:t>Performance, Inc.</w:t>
            </w:r>
          </w:p>
        </w:tc>
        <w:tc>
          <w:tcPr>
            <w:tcW w:w="560" w:type="dxa"/>
            <w:vAlign w:val="bottom"/>
          </w:tcPr>
          <w:p>
            <w:pPr>
              <w:jc w:val="center"/>
              <w:spacing w:after="0" w:line="138" w:lineRule="exact"/>
              <w:rPr>
                <w:sz w:val="20"/>
                <w:szCs w:val="20"/>
                <w:color w:val="auto"/>
              </w:rPr>
            </w:pPr>
            <w:r>
              <w:rPr>
                <w:rFonts w:ascii="Arial" w:cs="Arial" w:eastAsia="Arial" w:hAnsi="Arial"/>
                <w:sz w:val="14"/>
                <w:szCs w:val="14"/>
                <w:color w:val="auto"/>
                <w:w w:val="88"/>
              </w:rPr>
              <w:t>7/2/2013</w:t>
            </w:r>
          </w:p>
        </w:tc>
        <w:tc>
          <w:tcPr>
            <w:tcW w:w="100" w:type="dxa"/>
            <w:vAlign w:val="bottom"/>
          </w:tcPr>
          <w:p>
            <w:pPr>
              <w:spacing w:after="0"/>
              <w:rPr>
                <w:sz w:val="11"/>
                <w:szCs w:val="11"/>
                <w:color w:val="auto"/>
              </w:rPr>
            </w:pPr>
          </w:p>
        </w:tc>
        <w:tc>
          <w:tcPr>
            <w:tcW w:w="1220" w:type="dxa"/>
            <w:vAlign w:val="bottom"/>
          </w:tcPr>
          <w:p>
            <w:pPr>
              <w:jc w:val="center"/>
              <w:spacing w:after="0" w:line="138" w:lineRule="exact"/>
              <w:rPr>
                <w:sz w:val="20"/>
                <w:szCs w:val="20"/>
                <w:color w:val="auto"/>
              </w:rPr>
            </w:pPr>
            <w:r>
              <w:rPr>
                <w:rFonts w:ascii="Arial" w:cs="Arial" w:eastAsia="Arial" w:hAnsi="Arial"/>
                <w:sz w:val="14"/>
                <w:szCs w:val="14"/>
                <w:color w:val="auto"/>
                <w:w w:val="90"/>
              </w:rPr>
              <w:t>LEISURE,</w:t>
            </w:r>
          </w:p>
        </w:tc>
        <w:tc>
          <w:tcPr>
            <w:tcW w:w="100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rPr>
              <w:t>6.78%</w:t>
            </w: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91"/>
              </w:rPr>
              <w:t>L+575</w:t>
            </w:r>
          </w:p>
        </w:tc>
        <w:tc>
          <w:tcPr>
            <w:tcW w:w="80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8,750,000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8,750,000</w:t>
            </w:r>
          </w:p>
        </w:tc>
        <w:tc>
          <w:tcPr>
            <w:tcW w:w="16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7,848,750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4"/>
              </w:rPr>
              <w:t>AMUSEMENT,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6"/>
              </w:rPr>
              <w:t>MOTION</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88"/>
              </w:rPr>
              <w:t>PICTURES,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spacing w:after="0" w:line="159" w:lineRule="exact"/>
              <w:rPr>
                <w:sz w:val="20"/>
                <w:szCs w:val="20"/>
                <w:color w:val="auto"/>
              </w:rPr>
            </w:pPr>
            <w:r>
              <w:rPr>
                <w:rFonts w:ascii="Arial" w:cs="Arial" w:eastAsia="Arial" w:hAnsi="Arial"/>
                <w:sz w:val="14"/>
                <w:szCs w:val="14"/>
                <w:color w:val="auto"/>
                <w:w w:val="94"/>
              </w:rPr>
              <w:t>ENTERTAINMENT</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 / Partnership Interests</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—1.2%</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00" w:type="dxa"/>
            <w:vAlign w:val="bottom"/>
            <w:gridSpan w:val="2"/>
          </w:tcPr>
          <w:p>
            <w:pPr>
              <w:spacing w:after="0" w:line="138" w:lineRule="exact"/>
              <w:rPr>
                <w:sz w:val="20"/>
                <w:szCs w:val="20"/>
                <w:color w:val="auto"/>
              </w:rPr>
            </w:pPr>
            <w:r>
              <w:rPr>
                <w:rFonts w:ascii="Arial" w:cs="Arial" w:eastAsia="Arial" w:hAnsi="Arial"/>
                <w:sz w:val="14"/>
                <w:szCs w:val="14"/>
                <w:color w:val="auto"/>
              </w:rPr>
              <w:t>NCP-Performance (Performance Holdings, Inc.)</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spacing w:after="0" w:line="138" w:lineRule="exact"/>
              <w:rPr>
                <w:sz w:val="20"/>
                <w:szCs w:val="20"/>
                <w:color w:val="auto"/>
              </w:rPr>
            </w:pPr>
            <w:r>
              <w:rPr>
                <w:rFonts w:ascii="Arial" w:cs="Arial" w:eastAsia="Arial" w:hAnsi="Arial"/>
                <w:sz w:val="14"/>
                <w:szCs w:val="14"/>
                <w:color w:val="auto"/>
                <w:w w:val="90"/>
              </w:rPr>
              <w:t>LEISURE,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37,500</w:t>
            </w:r>
          </w:p>
        </w:tc>
        <w:tc>
          <w:tcPr>
            <w:tcW w:w="16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3,750,000</w:t>
            </w:r>
          </w:p>
        </w:tc>
        <w:tc>
          <w:tcPr>
            <w:tcW w:w="1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3,089,234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4"/>
              </w:rPr>
              <w:t>AMUSEMENT,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6"/>
              </w:rPr>
              <w:t>MOTION</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88"/>
              </w:rPr>
              <w:t>PICTURES,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6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20" w:type="dxa"/>
            <w:vAlign w:val="bottom"/>
          </w:tcPr>
          <w:p>
            <w:pPr>
              <w:jc w:val="center"/>
              <w:spacing w:after="0" w:line="159" w:lineRule="exact"/>
              <w:rPr>
                <w:sz w:val="20"/>
                <w:szCs w:val="20"/>
                <w:color w:val="auto"/>
              </w:rPr>
            </w:pPr>
            <w:r>
              <w:rPr>
                <w:rFonts w:ascii="Arial" w:cs="Arial" w:eastAsia="Arial" w:hAnsi="Arial"/>
                <w:sz w:val="14"/>
                <w:szCs w:val="14"/>
                <w:color w:val="auto"/>
                <w:w w:val="94"/>
              </w:rPr>
              <w:t>ENTERTAINMENT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17,200,193</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15,755,326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Investments—159.2%</w:t>
            </w: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2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w w:val="87"/>
              </w:rPr>
              <w:t>452,842,217</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393,138,231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Equivalents—0.2%</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541,136</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541,136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Investments and Cash Equivalents—159.4%</w:t>
            </w: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2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7"/>
              </w:rPr>
              <w:t>453,383,353</w:t>
            </w:r>
          </w:p>
        </w:tc>
        <w:tc>
          <w:tcPr>
            <w:tcW w:w="1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393,679,367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5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Liabilities in Excess of Other</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Assets—(59.4%)</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6"/>
              </w:rPr>
              <w:t>(146,702,127)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246,977,240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300" w:hanging="332"/>
        <w:spacing w:after="0" w:line="239" w:lineRule="auto"/>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Investment Company Act of 1940 (the “1940 Act”) “non-controlled” means we own less than 25% of a portfolio company’s voting securities.</w:t>
      </w:r>
    </w:p>
    <w:p>
      <w:pPr>
        <w:spacing w:after="0" w:line="57"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91"/>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91" w:lineRule="exact"/>
        <w:rPr>
          <w:rFonts w:ascii="Arial" w:cs="Arial" w:eastAsia="Arial" w:hAnsi="Arial"/>
          <w:sz w:val="12"/>
          <w:szCs w:val="12"/>
          <w:color w:val="auto"/>
        </w:rPr>
      </w:pPr>
    </w:p>
    <w:p>
      <w:pPr>
        <w:ind w:left="340" w:right="300" w:hanging="332"/>
        <w:spacing w:after="0" w:line="239" w:lineRule="auto"/>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Coupon payable in cash and/or payment-in-kind (“PIK”).</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Non-income producing.</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LIBOR or Prime rate floor applies.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Represents purchases of securities with delayed settlement. These securities do not have a basis point spread above index.</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Basis Point</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Spread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right"/>
              <w:ind w:right="600"/>
              <w:spacing w:after="0" w:line="135" w:lineRule="exact"/>
              <w:rPr>
                <w:sz w:val="20"/>
                <w:szCs w:val="20"/>
                <w:color w:val="auto"/>
              </w:rPr>
            </w:pPr>
            <w:r>
              <w:rPr>
                <w:rFonts w:ascii="Arial" w:cs="Arial" w:eastAsia="Arial" w:hAnsi="Arial"/>
                <w:sz w:val="14"/>
                <w:szCs w:val="14"/>
                <w:b w:val="1"/>
                <w:bCs w:val="1"/>
                <w:color w:val="auto"/>
                <w:w w:val="98"/>
              </w:rPr>
              <w:t>Current</w:t>
            </w: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4"/>
              </w:rPr>
              <w:t>Above</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0"/>
              </w:rPr>
              <w:t>Value</w:t>
            </w:r>
            <w:r>
              <w:rPr>
                <w:rFonts w:ascii="Arial" w:cs="Arial" w:eastAsia="Arial" w:hAnsi="Arial"/>
                <w:sz w:val="22"/>
                <w:szCs w:val="22"/>
                <w:b w:val="1"/>
                <w:bCs w:val="1"/>
                <w:color w:val="auto"/>
                <w:w w:val="90"/>
                <w:vertAlign w:val="superscript"/>
              </w:rPr>
              <w:t>(3)</w:t>
            </w:r>
          </w:p>
        </w:tc>
        <w:tc>
          <w:tcPr>
            <w:tcW w:w="0" w:type="dxa"/>
            <w:vAlign w:val="bottom"/>
          </w:tcPr>
          <w:p>
            <w:pPr>
              <w:spacing w:after="0"/>
              <w:rPr>
                <w:sz w:val="1"/>
                <w:szCs w:val="1"/>
                <w:color w:val="auto"/>
              </w:rPr>
            </w:pPr>
          </w:p>
        </w:tc>
      </w:tr>
      <w:tr>
        <w:trPr>
          <w:trHeight w:val="176"/>
        </w:trPr>
        <w:tc>
          <w:tcPr>
            <w:tcW w:w="28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Maturity</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20" w:type="dxa"/>
            <w:vAlign w:val="bottom"/>
          </w:tcPr>
          <w:p>
            <w:pPr>
              <w:spacing w:after="0"/>
              <w:rPr>
                <w:sz w:val="15"/>
                <w:szCs w:val="15"/>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4"/>
              </w:rPr>
              <w:t>Coupon</w:t>
            </w:r>
          </w:p>
        </w:tc>
        <w:tc>
          <w:tcPr>
            <w:tcW w:w="98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40" w:type="dxa"/>
            <w:vAlign w:val="bottom"/>
          </w:tcPr>
          <w:p>
            <w:pPr>
              <w:spacing w:after="0"/>
              <w:rPr>
                <w:sz w:val="15"/>
                <w:szCs w:val="15"/>
                <w:color w:val="auto"/>
              </w:rPr>
            </w:pPr>
          </w:p>
        </w:tc>
        <w:tc>
          <w:tcPr>
            <w:tcW w:w="760" w:type="dxa"/>
            <w:vAlign w:val="bottom"/>
          </w:tcPr>
          <w:p>
            <w:pPr>
              <w:jc w:val="right"/>
              <w:ind w:right="272"/>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940" w:type="dxa"/>
            <w:vAlign w:val="bottom"/>
            <w:gridSpan w:val="5"/>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Companies—168.1%</w:t>
            </w:r>
            <w:r>
              <w:rPr>
                <w:rFonts w:ascii="Arial" w:cs="Arial" w:eastAsia="Arial" w:hAnsi="Arial"/>
                <w:sz w:val="16"/>
                <w:szCs w:val="16"/>
                <w:b w:val="1"/>
                <w:bCs w:val="1"/>
                <w:color w:val="auto"/>
                <w:vertAlign w:val="superscript"/>
              </w:rPr>
              <w:t>(1)(2)</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Subordinated Debt / Corporate Notes—76.8%</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Advanstar,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11/30/2015</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3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1"/>
                <w:szCs w:val="11"/>
                <w:color w:val="auto"/>
              </w:rPr>
              <w:t>10.76%</w:t>
            </w:r>
            <w:r>
              <w:rPr>
                <w:rFonts w:ascii="Arial" w:cs="Arial" w:eastAsia="Arial" w:hAnsi="Arial"/>
                <w:sz w:val="17"/>
                <w:szCs w:val="17"/>
                <w:color w:val="auto"/>
                <w:vertAlign w:val="superscript"/>
              </w:rPr>
              <w:t>(6)</w:t>
            </w:r>
          </w:p>
        </w:tc>
        <w:tc>
          <w:tcPr>
            <w:tcW w:w="9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L+700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16,268,634</w:t>
            </w: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16,268,634</w:t>
            </w:r>
          </w:p>
        </w:tc>
        <w:tc>
          <w:tcPr>
            <w:tcW w:w="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12,567,520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03/01/2012</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340" w:type="dxa"/>
            <w:vAlign w:val="bottom"/>
            <w:gridSpan w:val="3"/>
          </w:tcPr>
          <w:p>
            <w:pPr>
              <w:jc w:val="right"/>
              <w:ind w:right="300"/>
              <w:spacing w:after="0" w:line="149" w:lineRule="exact"/>
              <w:rPr>
                <w:sz w:val="20"/>
                <w:szCs w:val="20"/>
                <w:color w:val="auto"/>
              </w:rPr>
            </w:pPr>
            <w:r>
              <w:rPr>
                <w:rFonts w:ascii="Arial" w:cs="Arial" w:eastAsia="Arial" w:hAnsi="Arial"/>
                <w:sz w:val="11"/>
                <w:szCs w:val="11"/>
                <w:color w:val="auto"/>
              </w:rPr>
              <w:t>9.37%</w:t>
            </w:r>
            <w:r>
              <w:rPr>
                <w:rFonts w:ascii="Arial" w:cs="Arial" w:eastAsia="Arial" w:hAnsi="Arial"/>
                <w:sz w:val="17"/>
                <w:szCs w:val="17"/>
                <w:color w:val="auto"/>
                <w:vertAlign w:val="superscript"/>
              </w:rPr>
              <w:t>(6)</w:t>
            </w:r>
          </w:p>
        </w:tc>
        <w:tc>
          <w:tcPr>
            <w:tcW w:w="9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L+625</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21,587,384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18,562,500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Consolidated Foundries,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04/17/2015</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3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7,831,761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03/19/2014</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340" w:type="dxa"/>
            <w:vAlign w:val="bottom"/>
            <w:gridSpan w:val="3"/>
          </w:tcPr>
          <w:p>
            <w:pPr>
              <w:jc w:val="right"/>
              <w:ind w:right="30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19,502,246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06/06/2014</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3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22,041,438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21,649,325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22,041,438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IDQ Holdings, Inc.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05/20/2012</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7"/>
              </w:rPr>
              <w:t>Auto Sector</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13.75%</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19,555,782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12/28/2015</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Education</w:t>
            </w:r>
          </w:p>
        </w:tc>
        <w:tc>
          <w:tcPr>
            <w:tcW w:w="13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10,067,361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9,922,722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10,067,361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04/15/2015</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12.38%</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28,000,000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26,337,698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9,520,000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Merger Sub,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10/01/2016</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13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19,811,785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Acquisitions Sub Inc.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02/08/2015</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13.50%</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21,000,000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20,428,146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Total Subordinated Debt / Corporate Notes</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187,877,433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2"/>
              </w:rPr>
              <w:t>182,895,483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161,758,819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Debt—45.5%</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7"/>
              </w:rPr>
              <w:t>Brand Energy and Infrastructure Services,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02/07/2015</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Energy / Utilities</w:t>
            </w:r>
          </w:p>
        </w:tc>
        <w:tc>
          <w:tcPr>
            <w:tcW w:w="13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9.81%</w:t>
            </w:r>
          </w:p>
        </w:tc>
        <w:tc>
          <w:tcPr>
            <w:tcW w:w="9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L+700</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11,682,795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w w:val="97"/>
              </w:rPr>
              <w:t>Brand Energy and Infrastructure Services, Inc.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02/07/2015</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90"/>
              </w:rPr>
              <w:t>Energy / Utilities</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8.81%</w:t>
            </w:r>
          </w:p>
        </w:tc>
        <w:tc>
          <w:tcPr>
            <w:tcW w:w="9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L+600</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13,600,000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13,068,290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12,342,000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Generics International (U.S.),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04/30/2015</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Healthcare, Education and Childcare</w:t>
            </w:r>
          </w:p>
        </w:tc>
        <w:tc>
          <w:tcPr>
            <w:tcW w:w="13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11.26%</w:t>
            </w:r>
          </w:p>
        </w:tc>
        <w:tc>
          <w:tcPr>
            <w:tcW w:w="9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L+750</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11,947,073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10,080,000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11/04/2014</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9.31%</w:t>
            </w:r>
          </w:p>
        </w:tc>
        <w:tc>
          <w:tcPr>
            <w:tcW w:w="9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L+650</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10,000,000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8,700,000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05/15/2015</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13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10.55%</w:t>
            </w:r>
          </w:p>
        </w:tc>
        <w:tc>
          <w:tcPr>
            <w:tcW w:w="9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L+775</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9,951,058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05/15/2017</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12.50%</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19,000,000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16,565,952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6,270,000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Sheridan Holdings,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06/15/2015</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Healthcare, Education and Childcare</w:t>
            </w:r>
          </w:p>
        </w:tc>
        <w:tc>
          <w:tcPr>
            <w:tcW w:w="13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1"/>
                <w:szCs w:val="11"/>
                <w:color w:val="auto"/>
              </w:rPr>
              <w:t>8.54%</w:t>
            </w:r>
            <w:r>
              <w:rPr>
                <w:rFonts w:ascii="Arial" w:cs="Arial" w:eastAsia="Arial" w:hAnsi="Arial"/>
                <w:sz w:val="17"/>
                <w:szCs w:val="17"/>
                <w:color w:val="auto"/>
                <w:vertAlign w:val="superscript"/>
              </w:rPr>
              <w:t>(6)</w:t>
            </w:r>
          </w:p>
        </w:tc>
        <w:tc>
          <w:tcPr>
            <w:tcW w:w="9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L+575</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11,838,114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12/15/2014</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1340" w:type="dxa"/>
            <w:vAlign w:val="bottom"/>
            <w:gridSpan w:val="3"/>
          </w:tcPr>
          <w:p>
            <w:pPr>
              <w:jc w:val="right"/>
              <w:ind w:right="300"/>
              <w:spacing w:after="0" w:line="149" w:lineRule="exact"/>
              <w:rPr>
                <w:sz w:val="20"/>
                <w:szCs w:val="20"/>
                <w:color w:val="auto"/>
              </w:rPr>
            </w:pPr>
            <w:r>
              <w:rPr>
                <w:rFonts w:ascii="Arial" w:cs="Arial" w:eastAsia="Arial" w:hAnsi="Arial"/>
                <w:sz w:val="11"/>
                <w:szCs w:val="11"/>
                <w:color w:val="auto"/>
              </w:rPr>
              <w:t>10.70%</w:t>
            </w:r>
            <w:r>
              <w:rPr>
                <w:rFonts w:ascii="Arial" w:cs="Arial" w:eastAsia="Arial" w:hAnsi="Arial"/>
                <w:sz w:val="17"/>
                <w:szCs w:val="17"/>
                <w:color w:val="auto"/>
                <w:vertAlign w:val="superscript"/>
              </w:rPr>
              <w:t>(6)</w:t>
            </w:r>
          </w:p>
        </w:tc>
        <w:tc>
          <w:tcPr>
            <w:tcW w:w="9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L+700</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22,485,895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06/15/2015</w:t>
            </w: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13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1"/>
                <w:szCs w:val="11"/>
                <w:color w:val="auto"/>
              </w:rPr>
              <w:t>9.77%</w:t>
            </w:r>
            <w:r>
              <w:rPr>
                <w:rFonts w:ascii="Arial" w:cs="Arial" w:eastAsia="Arial" w:hAnsi="Arial"/>
                <w:sz w:val="17"/>
                <w:szCs w:val="17"/>
                <w:color w:val="auto"/>
                <w:vertAlign w:val="superscript"/>
              </w:rPr>
              <w:t>(6)</w:t>
            </w:r>
          </w:p>
        </w:tc>
        <w:tc>
          <w:tcPr>
            <w:tcW w:w="9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L+600</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15,866,044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Second Lien Secured Debt</w:t>
            </w: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40" w:type="dxa"/>
            <w:vAlign w:val="bottom"/>
            <w:gridSpan w:val="3"/>
            <w:vMerge w:val="continue"/>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w w:val="95"/>
              </w:rPr>
              <w:t>128,100,000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2"/>
              </w:rPr>
              <w:t>123,405,221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95,894,500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Basis Point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Spread</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2"/>
          </w:tcPr>
          <w:p>
            <w:pPr>
              <w:jc w:val="right"/>
              <w:ind w:right="700"/>
              <w:spacing w:after="0" w:line="135" w:lineRule="exact"/>
              <w:rPr>
                <w:sz w:val="20"/>
                <w:szCs w:val="20"/>
                <w:color w:val="auto"/>
              </w:rPr>
            </w:pPr>
            <w:r>
              <w:rPr>
                <w:rFonts w:ascii="Arial" w:cs="Arial" w:eastAsia="Arial" w:hAnsi="Arial"/>
                <w:sz w:val="14"/>
                <w:szCs w:val="14"/>
                <w:b w:val="1"/>
                <w:bCs w:val="1"/>
                <w:color w:val="auto"/>
                <w:w w:val="90"/>
              </w:rPr>
              <w:t>Current</w:t>
            </w:r>
          </w:p>
        </w:tc>
        <w:tc>
          <w:tcPr>
            <w:tcW w:w="10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8"/>
              </w:rPr>
              <w:t>Above</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6"/>
              </w:rPr>
              <w:t>Value</w:t>
            </w:r>
            <w:r>
              <w:rPr>
                <w:rFonts w:ascii="Arial" w:cs="Arial" w:eastAsia="Arial" w:hAnsi="Arial"/>
                <w:sz w:val="22"/>
                <w:szCs w:val="22"/>
                <w:b w:val="1"/>
                <w:bCs w:val="1"/>
                <w:color w:val="auto"/>
                <w:w w:val="86"/>
                <w:vertAlign w:val="superscript"/>
              </w:rPr>
              <w:t>(3)</w:t>
            </w:r>
          </w:p>
        </w:tc>
        <w:tc>
          <w:tcPr>
            <w:tcW w:w="0" w:type="dxa"/>
            <w:vAlign w:val="bottom"/>
          </w:tcPr>
          <w:p>
            <w:pPr>
              <w:spacing w:after="0"/>
              <w:rPr>
                <w:sz w:val="1"/>
                <w:szCs w:val="1"/>
                <w:color w:val="auto"/>
              </w:rPr>
            </w:pPr>
          </w:p>
        </w:tc>
      </w:tr>
      <w:tr>
        <w:trPr>
          <w:trHeight w:val="176"/>
        </w:trPr>
        <w:tc>
          <w:tcPr>
            <w:tcW w:w="36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Maturity</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340" w:type="dxa"/>
            <w:vAlign w:val="bottom"/>
          </w:tcPr>
          <w:p>
            <w:pPr>
              <w:spacing w:after="0"/>
              <w:rPr>
                <w:sz w:val="15"/>
                <w:szCs w:val="15"/>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6"/>
              </w:rPr>
              <w:t>Coupon</w:t>
            </w:r>
          </w:p>
        </w:tc>
        <w:tc>
          <w:tcPr>
            <w:tcW w:w="1080" w:type="dxa"/>
            <w:vAlign w:val="bottom"/>
            <w:gridSpan w:val="2"/>
          </w:tcPr>
          <w:p>
            <w:pPr>
              <w:jc w:val="center"/>
              <w:ind w:right="34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Par</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Preferred Equity—4.4%</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 Class A (Consolidated Foundries,</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jc w:val="center"/>
              <w:spacing w:after="0" w:line="138" w:lineRule="exact"/>
              <w:rPr>
                <w:sz w:val="20"/>
                <w:szCs w:val="20"/>
                <w:color w:val="auto"/>
              </w:rPr>
            </w:pPr>
            <w:r>
              <w:rPr>
                <w:rFonts w:ascii="Arial" w:cs="Arial" w:eastAsia="Arial" w:hAnsi="Arial"/>
                <w:sz w:val="14"/>
                <w:szCs w:val="14"/>
                <w:color w:val="auto"/>
                <w:w w:val="84"/>
              </w:rPr>
              <w:t>Aerospace and</w:t>
            </w:r>
          </w:p>
        </w:tc>
        <w:tc>
          <w:tcPr>
            <w:tcW w:w="1520" w:type="dxa"/>
            <w:vAlign w:val="bottom"/>
            <w:gridSpan w:val="3"/>
            <w:vMerge w:val="restart"/>
          </w:tcPr>
          <w:p>
            <w:pPr>
              <w:jc w:val="right"/>
              <w:ind w:right="420"/>
              <w:spacing w:after="0"/>
              <w:rPr>
                <w:sz w:val="20"/>
                <w:szCs w:val="20"/>
                <w:color w:val="auto"/>
              </w:rPr>
            </w:pPr>
            <w:r>
              <w:rPr>
                <w:rFonts w:ascii="Arial" w:cs="Arial" w:eastAsia="Arial" w:hAnsi="Arial"/>
                <w:sz w:val="14"/>
                <w:szCs w:val="14"/>
                <w:color w:val="auto"/>
              </w:rPr>
              <w:t>12.00%</w:t>
            </w:r>
            <w:r>
              <w:rPr>
                <w:rFonts w:ascii="Arial" w:cs="Arial" w:eastAsia="Arial" w:hAnsi="Arial"/>
                <w:sz w:val="22"/>
                <w:szCs w:val="22"/>
                <w:color w:val="auto"/>
                <w:vertAlign w:val="superscript"/>
              </w:rPr>
              <w:t>(6)</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Inc.)</w:t>
            </w:r>
          </w:p>
        </w:tc>
        <w:tc>
          <w:tcPr>
            <w:tcW w:w="104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center"/>
              <w:spacing w:after="0" w:line="159" w:lineRule="exact"/>
              <w:rPr>
                <w:sz w:val="20"/>
                <w:szCs w:val="20"/>
                <w:color w:val="auto"/>
              </w:rPr>
            </w:pPr>
            <w:r>
              <w:rPr>
                <w:rFonts w:ascii="Arial" w:cs="Arial" w:eastAsia="Arial" w:hAnsi="Arial"/>
                <w:sz w:val="14"/>
                <w:szCs w:val="14"/>
                <w:color w:val="auto"/>
                <w:w w:val="84"/>
              </w:rPr>
              <w:t>Defense</w:t>
            </w:r>
          </w:p>
        </w:tc>
        <w:tc>
          <w:tcPr>
            <w:tcW w:w="1520" w:type="dxa"/>
            <w:vAlign w:val="bottom"/>
            <w:gridSpan w:val="3"/>
            <w:vMerge w:val="continue"/>
          </w:tcPr>
          <w:p>
            <w:pPr>
              <w:spacing w:after="0"/>
              <w:rPr>
                <w:sz w:val="13"/>
                <w:szCs w:val="13"/>
                <w:color w:val="auto"/>
              </w:rPr>
            </w:pPr>
          </w:p>
        </w:tc>
        <w:tc>
          <w:tcPr>
            <w:tcW w:w="10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842</w:t>
            </w:r>
          </w:p>
        </w:tc>
        <w:tc>
          <w:tcPr>
            <w:tcW w:w="4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841,927</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841,927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i2 Holdings Ltd.</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Aerospace and</w:t>
            </w:r>
          </w:p>
        </w:tc>
        <w:tc>
          <w:tcPr>
            <w:tcW w:w="1520" w:type="dxa"/>
            <w:vAlign w:val="bottom"/>
            <w:gridSpan w:val="3"/>
            <w:vMerge w:val="restart"/>
            <w:shd w:val="clear" w:color="auto" w:fill="CCEEFF"/>
          </w:tcPr>
          <w:p>
            <w:pPr>
              <w:jc w:val="right"/>
              <w:ind w:right="420"/>
              <w:spacing w:after="0"/>
              <w:rPr>
                <w:sz w:val="20"/>
                <w:szCs w:val="20"/>
                <w:color w:val="auto"/>
              </w:rPr>
            </w:pPr>
            <w:r>
              <w:rPr>
                <w:rFonts w:ascii="Arial" w:cs="Arial" w:eastAsia="Arial" w:hAnsi="Arial"/>
                <w:sz w:val="14"/>
                <w:szCs w:val="14"/>
                <w:color w:val="auto"/>
              </w:rPr>
              <w:t>12.00%</w:t>
            </w:r>
            <w:r>
              <w:rPr>
                <w:rFonts w:ascii="Arial" w:cs="Arial" w:eastAsia="Arial" w:hAnsi="Arial"/>
                <w:sz w:val="22"/>
                <w:szCs w:val="22"/>
                <w:color w:val="auto"/>
                <w:vertAlign w:val="superscript"/>
              </w:rPr>
              <w:t>(6)</w:t>
            </w: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4"/>
              </w:rPr>
              <w:t>Defense</w:t>
            </w:r>
          </w:p>
        </w:tc>
        <w:tc>
          <w:tcPr>
            <w:tcW w:w="1520" w:type="dxa"/>
            <w:vAlign w:val="bottom"/>
            <w:gridSpan w:val="3"/>
            <w:vMerge w:val="continue"/>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3,960,000</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w w:val="99"/>
              </w:rPr>
              <w:t>3,960,000</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3,960,000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Series A (TZ Merger Sub, Inc.)</w:t>
            </w:r>
          </w:p>
        </w:tc>
        <w:tc>
          <w:tcPr>
            <w:tcW w:w="10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340" w:type="dxa"/>
            <w:vAlign w:val="bottom"/>
          </w:tcPr>
          <w:p>
            <w:pPr>
              <w:spacing w:after="0"/>
              <w:rPr>
                <w:sz w:val="12"/>
                <w:szCs w:val="12"/>
                <w:color w:val="auto"/>
              </w:rPr>
            </w:pPr>
          </w:p>
        </w:tc>
        <w:tc>
          <w:tcPr>
            <w:tcW w:w="1180" w:type="dxa"/>
            <w:vAlign w:val="bottom"/>
            <w:gridSpan w:val="2"/>
          </w:tcPr>
          <w:p>
            <w:pPr>
              <w:ind w:left="32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(7)</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686</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685,820</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685,820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B (TZ Merger Sub, Inc.)</w:t>
            </w:r>
          </w:p>
        </w:tc>
        <w:tc>
          <w:tcPr>
            <w:tcW w:w="10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15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1"/>
                <w:szCs w:val="11"/>
                <w:color w:val="auto"/>
              </w:rPr>
              <w:t>6.50%</w:t>
            </w:r>
            <w:r>
              <w:rPr>
                <w:rFonts w:ascii="Arial" w:cs="Arial" w:eastAsia="Arial" w:hAnsi="Arial"/>
                <w:sz w:val="17"/>
                <w:szCs w:val="17"/>
                <w:color w:val="auto"/>
                <w:vertAlign w:val="superscript"/>
              </w:rPr>
              <w:t>(6)</w:t>
            </w: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1,312</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1,312,006</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UP Holdings Inc., Class A-1 (UP Acquisitions Sub Inc.)</w:t>
            </w:r>
          </w:p>
        </w:tc>
        <w:tc>
          <w:tcPr>
            <w:tcW w:w="10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1520" w:type="dxa"/>
            <w:vAlign w:val="bottom"/>
            <w:gridSpan w:val="3"/>
          </w:tcPr>
          <w:p>
            <w:pPr>
              <w:jc w:val="right"/>
              <w:ind w:right="420"/>
              <w:spacing w:after="0" w:line="149" w:lineRule="exact"/>
              <w:rPr>
                <w:sz w:val="20"/>
                <w:szCs w:val="20"/>
                <w:color w:val="auto"/>
              </w:rPr>
            </w:pPr>
            <w:r>
              <w:rPr>
                <w:rFonts w:ascii="Arial" w:cs="Arial" w:eastAsia="Arial" w:hAnsi="Arial"/>
                <w:sz w:val="11"/>
                <w:szCs w:val="11"/>
                <w:color w:val="auto"/>
              </w:rPr>
              <w:t>8.00%</w:t>
            </w:r>
            <w:r>
              <w:rPr>
                <w:rFonts w:ascii="Arial" w:cs="Arial" w:eastAsia="Arial" w:hAnsi="Arial"/>
                <w:sz w:val="17"/>
                <w:szCs w:val="17"/>
                <w:color w:val="auto"/>
                <w:vertAlign w:val="superscript"/>
              </w:rPr>
              <w:t>(6)</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91,608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2,499,066</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2,499,066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4,054,448</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9,298,819</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9,298,819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6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Common Equity/Partnership</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2"/>
          </w:tcPr>
          <w:p>
            <w:pPr>
              <w:ind w:left="200"/>
              <w:spacing w:after="0" w:line="176" w:lineRule="exact"/>
              <w:rPr>
                <w:sz w:val="20"/>
                <w:szCs w:val="20"/>
                <w:color w:val="auto"/>
              </w:rPr>
            </w:pPr>
            <w:r>
              <w:rPr>
                <w:rFonts w:ascii="Arial" w:cs="Arial" w:eastAsia="Arial" w:hAnsi="Arial"/>
                <w:sz w:val="13"/>
                <w:szCs w:val="13"/>
                <w:b w:val="1"/>
                <w:bCs w:val="1"/>
                <w:color w:val="auto"/>
              </w:rPr>
              <w:t>Interest</w:t>
            </w:r>
            <w:r>
              <w:rPr>
                <w:rFonts w:ascii="Arial" w:cs="Arial" w:eastAsia="Arial" w:hAnsi="Arial"/>
                <w:sz w:val="20"/>
                <w:szCs w:val="20"/>
                <w:b w:val="1"/>
                <w:bCs w:val="1"/>
                <w:color w:val="auto"/>
                <w:vertAlign w:val="superscript"/>
              </w:rPr>
              <w:t>(7)</w:t>
            </w:r>
            <w:r>
              <w:rPr>
                <w:rFonts w:ascii="Arial" w:cs="Arial" w:eastAsia="Arial" w:hAnsi="Arial"/>
                <w:sz w:val="13"/>
                <w:szCs w:val="13"/>
                <w:b w:val="1"/>
                <w:bCs w:val="1"/>
                <w:color w:val="auto"/>
              </w:rPr>
              <w:t>—4.0%</w:t>
            </w: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AHC Mezzanine</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(Advanstar Inc.)</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Other Media</w:t>
            </w: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w w:val="99"/>
              </w:rPr>
              <w:t>3,000,000</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998,883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 (Consolidated Foundries, Inc.)</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jc w:val="center"/>
              <w:spacing w:after="0" w:line="138" w:lineRule="exact"/>
              <w:rPr>
                <w:sz w:val="20"/>
                <w:szCs w:val="20"/>
                <w:color w:val="auto"/>
              </w:rPr>
            </w:pPr>
            <w:r>
              <w:rPr>
                <w:rFonts w:ascii="Arial" w:cs="Arial" w:eastAsia="Arial" w:hAnsi="Arial"/>
                <w:sz w:val="14"/>
                <w:szCs w:val="14"/>
                <w:color w:val="auto"/>
                <w:w w:val="84"/>
              </w:rPr>
              <w:t>Aerospace and</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4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center"/>
              <w:spacing w:after="0" w:line="159" w:lineRule="exact"/>
              <w:rPr>
                <w:sz w:val="20"/>
                <w:szCs w:val="20"/>
                <w:color w:val="auto"/>
              </w:rPr>
            </w:pPr>
            <w:r>
              <w:rPr>
                <w:rFonts w:ascii="Arial" w:cs="Arial" w:eastAsia="Arial" w:hAnsi="Arial"/>
                <w:sz w:val="14"/>
                <w:szCs w:val="14"/>
                <w:color w:val="auto"/>
                <w:w w:val="84"/>
              </w:rPr>
              <w:t>Defense</w:t>
            </w:r>
          </w:p>
        </w:tc>
        <w:tc>
          <w:tcPr>
            <w:tcW w:w="340" w:type="dxa"/>
            <w:vAlign w:val="bottom"/>
          </w:tcPr>
          <w:p>
            <w:pPr>
              <w:spacing w:after="0"/>
              <w:rPr>
                <w:sz w:val="13"/>
                <w:szCs w:val="13"/>
                <w:color w:val="auto"/>
              </w:rPr>
            </w:pPr>
          </w:p>
        </w:tc>
        <w:tc>
          <w:tcPr>
            <w:tcW w:w="11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1,627</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16,271</w:t>
            </w:r>
          </w:p>
        </w:tc>
        <w:tc>
          <w:tcPr>
            <w:tcW w:w="12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149,557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CT Technologies Holdings, LLC (CT Technologies</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Business</w:t>
            </w: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Intermediate Holdings, Inc.)</w:t>
            </w:r>
          </w:p>
        </w:tc>
        <w:tc>
          <w:tcPr>
            <w:tcW w:w="1040" w:type="dxa"/>
            <w:vAlign w:val="bottom"/>
            <w:gridSpan w:val="2"/>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Services</w:t>
            </w:r>
          </w:p>
        </w:tc>
        <w:tc>
          <w:tcPr>
            <w:tcW w:w="3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5,556</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w w:val="99"/>
              </w:rPr>
              <w:t>3,200,000</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3,200,000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tcPr>
          <w:p>
            <w:pPr>
              <w:spacing w:after="0" w:line="138" w:lineRule="exact"/>
              <w:rPr>
                <w:sz w:val="20"/>
                <w:szCs w:val="20"/>
                <w:color w:val="auto"/>
              </w:rPr>
            </w:pPr>
            <w:r>
              <w:rPr>
                <w:rFonts w:ascii="Arial" w:cs="Arial" w:eastAsia="Arial" w:hAnsi="Arial"/>
                <w:sz w:val="14"/>
                <w:szCs w:val="14"/>
                <w:color w:val="auto"/>
              </w:rPr>
              <w:t>i2 Holdings Ltd.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jc w:val="center"/>
              <w:spacing w:after="0" w:line="138" w:lineRule="exact"/>
              <w:rPr>
                <w:sz w:val="20"/>
                <w:szCs w:val="20"/>
                <w:color w:val="auto"/>
              </w:rPr>
            </w:pPr>
            <w:r>
              <w:rPr>
                <w:rFonts w:ascii="Arial" w:cs="Arial" w:eastAsia="Arial" w:hAnsi="Arial"/>
                <w:sz w:val="14"/>
                <w:szCs w:val="14"/>
                <w:color w:val="auto"/>
                <w:w w:val="84"/>
              </w:rPr>
              <w:t>Aerospace and</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4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center"/>
              <w:spacing w:after="0" w:line="159" w:lineRule="exact"/>
              <w:rPr>
                <w:sz w:val="20"/>
                <w:szCs w:val="20"/>
                <w:color w:val="auto"/>
              </w:rPr>
            </w:pPr>
            <w:r>
              <w:rPr>
                <w:rFonts w:ascii="Arial" w:cs="Arial" w:eastAsia="Arial" w:hAnsi="Arial"/>
                <w:sz w:val="14"/>
                <w:szCs w:val="14"/>
                <w:color w:val="auto"/>
                <w:w w:val="84"/>
              </w:rPr>
              <w:t>Defense</w:t>
            </w:r>
          </w:p>
        </w:tc>
        <w:tc>
          <w:tcPr>
            <w:tcW w:w="340" w:type="dxa"/>
            <w:vAlign w:val="bottom"/>
          </w:tcPr>
          <w:p>
            <w:pPr>
              <w:spacing w:after="0"/>
              <w:rPr>
                <w:sz w:val="13"/>
                <w:szCs w:val="13"/>
                <w:color w:val="auto"/>
              </w:rPr>
            </w:pPr>
          </w:p>
        </w:tc>
        <w:tc>
          <w:tcPr>
            <w:tcW w:w="11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440,000</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440,000</w:t>
            </w:r>
          </w:p>
        </w:tc>
        <w:tc>
          <w:tcPr>
            <w:tcW w:w="12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1,545,062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(TZ Merger Sub, Inc.)</w:t>
            </w:r>
          </w:p>
        </w:tc>
        <w:tc>
          <w:tcPr>
            <w:tcW w:w="10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3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2,173</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UP Holdings Inc. (UP Acquisitions Sub Inc.)</w:t>
            </w:r>
          </w:p>
        </w:tc>
        <w:tc>
          <w:tcPr>
            <w:tcW w:w="10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340" w:type="dxa"/>
            <w:vAlign w:val="bottom"/>
          </w:tcPr>
          <w:p>
            <w:pPr>
              <w:spacing w:after="0"/>
              <w:rPr>
                <w:sz w:val="12"/>
                <w:szCs w:val="12"/>
                <w:color w:val="auto"/>
              </w:rPr>
            </w:pPr>
          </w:p>
        </w:tc>
        <w:tc>
          <w:tcPr>
            <w:tcW w:w="11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91,608</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916</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2,569,208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541,793</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6,659,360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8,464,883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Par</w:t>
            </w: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Debt—37.4%</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Burlington Coat Factory Warehouse Corp.</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05/28/2013</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52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5.06%</w:t>
            </w: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L+225</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7,896,473</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7,889,120</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5,401,187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Cohr Holdings, Inc.</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w:t>
            </w: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Education and</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01/31/2013</w:t>
            </w:r>
          </w:p>
        </w:tc>
        <w:tc>
          <w:tcPr>
            <w:tcW w:w="9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Childcare</w:t>
            </w:r>
          </w:p>
        </w:tc>
        <w:tc>
          <w:tcPr>
            <w:tcW w:w="1520" w:type="dxa"/>
            <w:vAlign w:val="bottom"/>
            <w:gridSpan w:val="3"/>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5.35%</w:t>
            </w:r>
          </w:p>
        </w:tc>
        <w:tc>
          <w:tcPr>
            <w:tcW w:w="10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L+250</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2,955,000</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w w:val="99"/>
              </w:rPr>
              <w:t>2,955,000</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1,484,888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tcPr>
          <w:p>
            <w:pPr>
              <w:spacing w:after="0" w:line="138" w:lineRule="exact"/>
              <w:rPr>
                <w:sz w:val="20"/>
                <w:szCs w:val="20"/>
                <w:color w:val="auto"/>
              </w:rPr>
            </w:pPr>
            <w:r>
              <w:rPr>
                <w:rFonts w:ascii="Arial" w:cs="Arial" w:eastAsia="Arial" w:hAnsi="Arial"/>
                <w:sz w:val="14"/>
                <w:szCs w:val="14"/>
                <w:color w:val="auto"/>
              </w:rPr>
              <w:t>EnviroSolutions, Inc.</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jc w:val="center"/>
              <w:spacing w:after="0" w:line="138" w:lineRule="exact"/>
              <w:rPr>
                <w:sz w:val="20"/>
                <w:szCs w:val="20"/>
                <w:color w:val="auto"/>
              </w:rPr>
            </w:pPr>
            <w:r>
              <w:rPr>
                <w:rFonts w:ascii="Arial" w:cs="Arial" w:eastAsia="Arial" w:hAnsi="Arial"/>
                <w:sz w:val="14"/>
                <w:szCs w:val="14"/>
                <w:color w:val="auto"/>
                <w:w w:val="89"/>
              </w:rPr>
              <w:t>Environmental</w:t>
            </w:r>
          </w:p>
        </w:tc>
        <w:tc>
          <w:tcPr>
            <w:tcW w:w="1520" w:type="dxa"/>
            <w:vAlign w:val="bottom"/>
            <w:gridSpan w:val="3"/>
            <w:vMerge w:val="restart"/>
          </w:tcPr>
          <w:p>
            <w:pPr>
              <w:jc w:val="right"/>
              <w:ind w:right="420"/>
              <w:spacing w:after="0"/>
              <w:rPr>
                <w:sz w:val="20"/>
                <w:szCs w:val="20"/>
                <w:color w:val="auto"/>
              </w:rPr>
            </w:pPr>
            <w:r>
              <w:rPr>
                <w:rFonts w:ascii="Arial" w:cs="Arial" w:eastAsia="Arial" w:hAnsi="Arial"/>
                <w:sz w:val="14"/>
                <w:szCs w:val="14"/>
                <w:color w:val="auto"/>
              </w:rPr>
              <w:t>12.04%</w:t>
            </w:r>
            <w:r>
              <w:rPr>
                <w:rFonts w:ascii="Arial" w:cs="Arial" w:eastAsia="Arial" w:hAnsi="Arial"/>
                <w:sz w:val="22"/>
                <w:szCs w:val="22"/>
                <w:color w:val="auto"/>
                <w:vertAlign w:val="superscript"/>
              </w:rPr>
              <w:t>(6)</w:t>
            </w: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L+825</w:t>
            </w:r>
            <w:r>
              <w:rPr>
                <w:rFonts w:ascii="Arial" w:cs="Arial" w:eastAsia="Arial" w:hAnsi="Arial"/>
                <w:sz w:val="22"/>
                <w:szCs w:val="22"/>
                <w:color w:val="auto"/>
                <w:vertAlign w:val="superscript"/>
              </w:rPr>
              <w:t>(8)</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08/07/2012</w:t>
            </w:r>
          </w:p>
        </w:tc>
        <w:tc>
          <w:tcPr>
            <w:tcW w:w="920" w:type="dxa"/>
            <w:vAlign w:val="bottom"/>
          </w:tcPr>
          <w:p>
            <w:pPr>
              <w:jc w:val="center"/>
              <w:spacing w:after="0" w:line="159" w:lineRule="exact"/>
              <w:rPr>
                <w:sz w:val="20"/>
                <w:szCs w:val="20"/>
                <w:color w:val="auto"/>
              </w:rPr>
            </w:pPr>
            <w:r>
              <w:rPr>
                <w:rFonts w:ascii="Arial" w:cs="Arial" w:eastAsia="Arial" w:hAnsi="Arial"/>
                <w:sz w:val="14"/>
                <w:szCs w:val="14"/>
                <w:color w:val="auto"/>
                <w:w w:val="85"/>
              </w:rPr>
              <w:t>Services</w:t>
            </w:r>
          </w:p>
        </w:tc>
        <w:tc>
          <w:tcPr>
            <w:tcW w:w="1520" w:type="dxa"/>
            <w:vAlign w:val="bottom"/>
            <w:gridSpan w:val="3"/>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14,014,177</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w w:val="88"/>
              </w:rPr>
              <w:t>12,965,204</w:t>
            </w:r>
          </w:p>
        </w:tc>
        <w:tc>
          <w:tcPr>
            <w:tcW w:w="12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94"/>
              </w:rPr>
              <w:t>12,192,334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EnviroSolutions, Inc.</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Environmental</w:t>
            </w: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08/07/2012</w:t>
            </w:r>
          </w:p>
        </w:tc>
        <w:tc>
          <w:tcPr>
            <w:tcW w:w="9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Services</w:t>
            </w:r>
          </w:p>
        </w:tc>
        <w:tc>
          <w:tcPr>
            <w:tcW w:w="1520" w:type="dxa"/>
            <w:vAlign w:val="bottom"/>
            <w:gridSpan w:val="3"/>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12.25%</w:t>
            </w:r>
          </w:p>
        </w:tc>
        <w:tc>
          <w:tcPr>
            <w:tcW w:w="10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P+725</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2,293</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2,121</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Gatehouse Media Operating, Inc.</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08/28/2014</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9"/>
              </w:rPr>
              <w:t>Media</w:t>
            </w:r>
          </w:p>
        </w:tc>
        <w:tc>
          <w:tcPr>
            <w:tcW w:w="152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4.81%</w:t>
            </w: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L+200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7,000,000</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7,000,000</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3,336,690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General Nutrition Centers, Inc.</w:t>
            </w:r>
          </w:p>
        </w:tc>
        <w:tc>
          <w:tcPr>
            <w:tcW w:w="10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09/16/2013</w:t>
            </w: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52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5.57%</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L+225</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3,410,095</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3,411,892</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2,821,854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2"/>
          </w:tcPr>
          <w:p>
            <w:pPr>
              <w:spacing w:after="0" w:line="138" w:lineRule="exact"/>
              <w:rPr>
                <w:sz w:val="20"/>
                <w:szCs w:val="20"/>
                <w:color w:val="auto"/>
              </w:rPr>
            </w:pPr>
            <w:r>
              <w:rPr>
                <w:rFonts w:ascii="Arial" w:cs="Arial" w:eastAsia="Arial" w:hAnsi="Arial"/>
                <w:sz w:val="14"/>
                <w:szCs w:val="14"/>
                <w:color w:val="auto"/>
              </w:rPr>
              <w:t>Greatwide Logistics Services, Inc.</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jc w:val="center"/>
              <w:spacing w:after="0" w:line="138" w:lineRule="exact"/>
              <w:rPr>
                <w:sz w:val="20"/>
                <w:szCs w:val="20"/>
                <w:color w:val="auto"/>
              </w:rPr>
            </w:pPr>
            <w:r>
              <w:rPr>
                <w:rFonts w:ascii="Arial" w:cs="Arial" w:eastAsia="Arial" w:hAnsi="Arial"/>
                <w:sz w:val="14"/>
                <w:szCs w:val="14"/>
                <w:color w:val="auto"/>
                <w:w w:val="89"/>
              </w:rPr>
              <w:t>Cargo</w:t>
            </w:r>
          </w:p>
        </w:tc>
        <w:tc>
          <w:tcPr>
            <w:tcW w:w="340" w:type="dxa"/>
            <w:vAlign w:val="bottom"/>
          </w:tcPr>
          <w:p>
            <w:pPr>
              <w:spacing w:after="0"/>
              <w:rPr>
                <w:sz w:val="11"/>
                <w:szCs w:val="11"/>
                <w:color w:val="auto"/>
              </w:rPr>
            </w:pPr>
          </w:p>
        </w:tc>
        <w:tc>
          <w:tcPr>
            <w:tcW w:w="1180" w:type="dxa"/>
            <w:vAlign w:val="bottom"/>
            <w:gridSpan w:val="2"/>
            <w:vMerge w:val="restart"/>
          </w:tcPr>
          <w:p>
            <w:pPr>
              <w:ind w:left="32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 xml:space="preserve"> (7)</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color w:val="auto"/>
              </w:rPr>
              <w:t>12/19/2013</w:t>
            </w:r>
          </w:p>
        </w:tc>
        <w:tc>
          <w:tcPr>
            <w:tcW w:w="920" w:type="dxa"/>
            <w:vAlign w:val="bottom"/>
          </w:tcPr>
          <w:p>
            <w:pPr>
              <w:jc w:val="center"/>
              <w:spacing w:after="0"/>
              <w:rPr>
                <w:sz w:val="20"/>
                <w:szCs w:val="20"/>
                <w:color w:val="auto"/>
              </w:rPr>
            </w:pPr>
            <w:r>
              <w:rPr>
                <w:rFonts w:ascii="Arial" w:cs="Arial" w:eastAsia="Arial" w:hAnsi="Arial"/>
                <w:sz w:val="14"/>
                <w:szCs w:val="14"/>
                <w:color w:val="auto"/>
                <w:w w:val="86"/>
              </w:rPr>
              <w:t>Transport</w:t>
            </w:r>
          </w:p>
        </w:tc>
        <w:tc>
          <w:tcPr>
            <w:tcW w:w="3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6,912,500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w w:val="99"/>
              </w:rPr>
              <w:t>6,912,500</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5,149,813</w:t>
            </w:r>
          </w:p>
        </w:tc>
        <w:tc>
          <w:tcPr>
            <w:tcW w:w="0" w:type="dxa"/>
            <w:vAlign w:val="bottom"/>
          </w:tcPr>
          <w:p>
            <w:pPr>
              <w:spacing w:after="0"/>
              <w:rPr>
                <w:sz w:val="1"/>
                <w:szCs w:val="1"/>
                <w:color w:val="auto"/>
              </w:rPr>
            </w:pP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right"/>
              <w:ind w:right="600"/>
              <w:spacing w:after="0" w:line="135" w:lineRule="exact"/>
              <w:rPr>
                <w:sz w:val="20"/>
                <w:szCs w:val="20"/>
                <w:color w:val="auto"/>
              </w:rPr>
            </w:pPr>
            <w:r>
              <w:rPr>
                <w:rFonts w:ascii="Arial" w:cs="Arial" w:eastAsia="Arial" w:hAnsi="Arial"/>
                <w:sz w:val="14"/>
                <w:szCs w:val="14"/>
                <w:b w:val="1"/>
                <w:bCs w:val="1"/>
                <w:color w:val="auto"/>
                <w:w w:val="98"/>
              </w:rPr>
              <w:t>Current</w:t>
            </w:r>
          </w:p>
        </w:tc>
        <w:tc>
          <w:tcPr>
            <w:tcW w:w="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0"/>
              </w:rPr>
              <w:t>Value</w:t>
            </w:r>
            <w:r>
              <w:rPr>
                <w:rFonts w:ascii="Arial" w:cs="Arial" w:eastAsia="Arial" w:hAnsi="Arial"/>
                <w:sz w:val="22"/>
                <w:szCs w:val="22"/>
                <w:b w:val="1"/>
                <w:bCs w:val="1"/>
                <w:color w:val="auto"/>
                <w:w w:val="90"/>
                <w:vertAlign w:val="superscript"/>
              </w:rPr>
              <w:t>(3)</w:t>
            </w:r>
          </w:p>
        </w:tc>
        <w:tc>
          <w:tcPr>
            <w:tcW w:w="0" w:type="dxa"/>
            <w:vAlign w:val="bottom"/>
          </w:tcPr>
          <w:p>
            <w:pPr>
              <w:spacing w:after="0"/>
              <w:rPr>
                <w:sz w:val="1"/>
                <w:szCs w:val="1"/>
                <w:color w:val="auto"/>
              </w:rPr>
            </w:pPr>
          </w:p>
        </w:tc>
      </w:tr>
      <w:tr>
        <w:trPr>
          <w:trHeight w:val="176"/>
        </w:trPr>
        <w:tc>
          <w:tcPr>
            <w:tcW w:w="36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Maturity</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20" w:type="dxa"/>
            <w:vAlign w:val="bottom"/>
          </w:tcPr>
          <w:p>
            <w:pPr>
              <w:spacing w:after="0"/>
              <w:rPr>
                <w:sz w:val="15"/>
                <w:szCs w:val="15"/>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4"/>
              </w:rPr>
              <w:t>Coupon</w:t>
            </w:r>
          </w:p>
        </w:tc>
        <w:tc>
          <w:tcPr>
            <w:tcW w:w="78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6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Debt—(Continued)</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Hanley- Wood, L.L.C.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03/08/2014</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4.83%</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L+225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8,932,500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8,932,500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6,327,185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Hughes Network Systems, L.L.C.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04/15/2014</w:t>
            </w: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3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5.31%</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L+250</w:t>
            </w:r>
          </w:p>
        </w:tc>
        <w:tc>
          <w:tcPr>
            <w:tcW w:w="3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5,000,000</w:t>
            </w:r>
          </w:p>
        </w:tc>
        <w:tc>
          <w:tcPr>
            <w:tcW w:w="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center"/>
              <w:spacing w:after="0" w:line="138" w:lineRule="exact"/>
              <w:rPr>
                <w:sz w:val="20"/>
                <w:szCs w:val="20"/>
                <w:color w:val="auto"/>
              </w:rPr>
            </w:pPr>
            <w:r>
              <w:rPr>
                <w:rFonts w:ascii="Arial" w:cs="Arial" w:eastAsia="Arial" w:hAnsi="Arial"/>
                <w:sz w:val="14"/>
                <w:szCs w:val="14"/>
                <w:color w:val="auto"/>
                <w:w w:val="87"/>
              </w:rPr>
              <w:t>Home and Office</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9"/>
              </w:rPr>
              <w:t>Furnishings,</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3"/>
              </w:rPr>
              <w:t>Housewares and</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8"/>
              </w:rPr>
              <w:t>Durable Consumer</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40" w:type="dxa"/>
            <w:vAlign w:val="bottom"/>
            <w:gridSpan w:val="3"/>
          </w:tcPr>
          <w:p>
            <w:pPr>
              <w:spacing w:after="0" w:line="159" w:lineRule="exact"/>
              <w:rPr>
                <w:sz w:val="20"/>
                <w:szCs w:val="20"/>
                <w:color w:val="auto"/>
              </w:rPr>
            </w:pPr>
            <w:r>
              <w:rPr>
                <w:rFonts w:ascii="Arial" w:cs="Arial" w:eastAsia="Arial" w:hAnsi="Arial"/>
                <w:sz w:val="14"/>
                <w:szCs w:val="14"/>
                <w:color w:val="auto"/>
              </w:rPr>
              <w:t>Jacuzzi Brands Corp.</w:t>
            </w: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02/07/2014</w:t>
            </w:r>
          </w:p>
        </w:tc>
        <w:tc>
          <w:tcPr>
            <w:tcW w:w="1360" w:type="dxa"/>
            <w:vAlign w:val="bottom"/>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1340" w:type="dxa"/>
            <w:vAlign w:val="bottom"/>
            <w:gridSpan w:val="3"/>
          </w:tcPr>
          <w:p>
            <w:pPr>
              <w:jc w:val="right"/>
              <w:ind w:right="440"/>
              <w:spacing w:after="0" w:line="159" w:lineRule="exact"/>
              <w:rPr>
                <w:sz w:val="20"/>
                <w:szCs w:val="20"/>
                <w:color w:val="auto"/>
              </w:rPr>
            </w:pPr>
            <w:r>
              <w:rPr>
                <w:rFonts w:ascii="Arial" w:cs="Arial" w:eastAsia="Arial" w:hAnsi="Arial"/>
                <w:sz w:val="14"/>
                <w:szCs w:val="14"/>
                <w:color w:val="auto"/>
              </w:rPr>
              <w:t>5.35%</w:t>
            </w:r>
          </w:p>
        </w:tc>
        <w:tc>
          <w:tcPr>
            <w:tcW w:w="780" w:type="dxa"/>
            <w:vAlign w:val="bottom"/>
          </w:tcPr>
          <w:p>
            <w:pPr>
              <w:jc w:val="center"/>
              <w:spacing w:after="0" w:line="159" w:lineRule="exact"/>
              <w:rPr>
                <w:sz w:val="20"/>
                <w:szCs w:val="20"/>
                <w:color w:val="auto"/>
              </w:rPr>
            </w:pPr>
            <w:r>
              <w:rPr>
                <w:rFonts w:ascii="Arial" w:cs="Arial" w:eastAsia="Arial" w:hAnsi="Arial"/>
                <w:sz w:val="14"/>
                <w:szCs w:val="14"/>
                <w:color w:val="auto"/>
                <w:w w:val="91"/>
              </w:rPr>
              <w:t>L+225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9,890,541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9,890,541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6,156,861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Levlad, L.L.C.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03/08/2014</w:t>
            </w: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3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5.46%</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L+225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4,564,563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4,564,563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2,639,837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Longview Power, L.L.C.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02/28/2014</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7"/>
              </w:rPr>
              <w:t>Utilities</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5.54%</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L+225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3,000,000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2,630,001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Home and Office</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Furnishings,</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Housewares and</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Durable Consumer</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Mattress Holding Corp.</w:t>
            </w:r>
          </w:p>
        </w:tc>
        <w:tc>
          <w:tcPr>
            <w:tcW w:w="9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01/18/2014</w:t>
            </w:r>
          </w:p>
        </w:tc>
        <w:tc>
          <w:tcPr>
            <w:tcW w:w="13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1340" w:type="dxa"/>
            <w:vAlign w:val="bottom"/>
            <w:gridSpan w:val="3"/>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5.96%</w:t>
            </w:r>
          </w:p>
        </w:tc>
        <w:tc>
          <w:tcPr>
            <w:tcW w:w="7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L+225</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3,950,100</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3,950,100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2,567,565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Mitchell International, Inc.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03/28/2014</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5.81%</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L+200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3,940,000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3,940,000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3,723,300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Home and Office</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Furnishings,</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Housewares and</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Durable Consumer</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National Bedding Co., L.L.C.</w:t>
            </w:r>
          </w:p>
        </w:tc>
        <w:tc>
          <w:tcPr>
            <w:tcW w:w="9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02/28/2013</w:t>
            </w:r>
          </w:p>
        </w:tc>
        <w:tc>
          <w:tcPr>
            <w:tcW w:w="13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1340" w:type="dxa"/>
            <w:vAlign w:val="bottom"/>
            <w:gridSpan w:val="3"/>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4.62%</w:t>
            </w:r>
          </w:p>
        </w:tc>
        <w:tc>
          <w:tcPr>
            <w:tcW w:w="7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L+200</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6,895,000</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6,900,583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5,274,675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02/01/2013</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5.07%</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L+225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4,925,000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4,925,000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3,558,313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Philosophy, Inc.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03/16/2014</w:t>
            </w: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3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5.71%</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L+200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1,474,667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1,474,667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1,194,480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05/04/2014</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5.81%</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1"/>
              </w:rPr>
              <w:t>L+300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4,924,167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4,924,167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4,825,683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Printing and</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Reader’s Digest Association, Inc.</w:t>
            </w:r>
          </w:p>
        </w:tc>
        <w:tc>
          <w:tcPr>
            <w:tcW w:w="9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03/02/2014</w:t>
            </w:r>
          </w:p>
        </w:tc>
        <w:tc>
          <w:tcPr>
            <w:tcW w:w="13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1340" w:type="dxa"/>
            <w:vAlign w:val="bottom"/>
            <w:gridSpan w:val="3"/>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4.71%</w:t>
            </w:r>
          </w:p>
        </w:tc>
        <w:tc>
          <w:tcPr>
            <w:tcW w:w="7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1"/>
              </w:rPr>
              <w:t>L+200</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985,000</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985,000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699,350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center"/>
              <w:spacing w:after="0" w:line="138" w:lineRule="exact"/>
              <w:rPr>
                <w:sz w:val="20"/>
                <w:szCs w:val="20"/>
                <w:color w:val="auto"/>
              </w:rPr>
            </w:pPr>
            <w:r>
              <w:rPr>
                <w:rFonts w:ascii="Arial" w:cs="Arial" w:eastAsia="Arial" w:hAnsi="Arial"/>
                <w:sz w:val="14"/>
                <w:szCs w:val="14"/>
                <w:color w:val="auto"/>
                <w:w w:val="91"/>
              </w:rPr>
              <w:t>Manufacturing /</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40" w:type="dxa"/>
            <w:vAlign w:val="bottom"/>
            <w:gridSpan w:val="3"/>
          </w:tcPr>
          <w:p>
            <w:pPr>
              <w:spacing w:after="0" w:line="159" w:lineRule="exact"/>
              <w:rPr>
                <w:sz w:val="20"/>
                <w:szCs w:val="20"/>
                <w:color w:val="auto"/>
              </w:rPr>
            </w:pPr>
            <w:r>
              <w:rPr>
                <w:rFonts w:ascii="Arial" w:cs="Arial" w:eastAsia="Arial" w:hAnsi="Arial"/>
                <w:sz w:val="14"/>
                <w:szCs w:val="14"/>
                <w:color w:val="auto"/>
              </w:rPr>
              <w:t>Rexnord , L.L.C.</w:t>
            </w: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07/19/2013</w:t>
            </w:r>
          </w:p>
        </w:tc>
        <w:tc>
          <w:tcPr>
            <w:tcW w:w="1360" w:type="dxa"/>
            <w:vAlign w:val="bottom"/>
          </w:tcPr>
          <w:p>
            <w:pPr>
              <w:jc w:val="center"/>
              <w:spacing w:after="0" w:line="159" w:lineRule="exact"/>
              <w:rPr>
                <w:sz w:val="20"/>
                <w:szCs w:val="20"/>
                <w:color w:val="auto"/>
              </w:rPr>
            </w:pPr>
            <w:r>
              <w:rPr>
                <w:rFonts w:ascii="Arial" w:cs="Arial" w:eastAsia="Arial" w:hAnsi="Arial"/>
                <w:sz w:val="14"/>
                <w:szCs w:val="14"/>
                <w:color w:val="auto"/>
                <w:w w:val="90"/>
              </w:rPr>
              <w:t>Basic Industry</w:t>
            </w:r>
          </w:p>
        </w:tc>
        <w:tc>
          <w:tcPr>
            <w:tcW w:w="1340" w:type="dxa"/>
            <w:vAlign w:val="bottom"/>
            <w:gridSpan w:val="3"/>
          </w:tcPr>
          <w:p>
            <w:pPr>
              <w:jc w:val="right"/>
              <w:ind w:right="440"/>
              <w:spacing w:after="0" w:line="159" w:lineRule="exact"/>
              <w:rPr>
                <w:sz w:val="20"/>
                <w:szCs w:val="20"/>
                <w:color w:val="auto"/>
              </w:rPr>
            </w:pPr>
            <w:r>
              <w:rPr>
                <w:rFonts w:ascii="Arial" w:cs="Arial" w:eastAsia="Arial" w:hAnsi="Arial"/>
                <w:sz w:val="14"/>
                <w:szCs w:val="14"/>
                <w:color w:val="auto"/>
              </w:rPr>
              <w:t>5.76%</w:t>
            </w:r>
          </w:p>
        </w:tc>
        <w:tc>
          <w:tcPr>
            <w:tcW w:w="780" w:type="dxa"/>
            <w:vAlign w:val="bottom"/>
          </w:tcPr>
          <w:p>
            <w:pPr>
              <w:jc w:val="center"/>
              <w:spacing w:after="0" w:line="159" w:lineRule="exact"/>
              <w:rPr>
                <w:sz w:val="20"/>
                <w:szCs w:val="20"/>
                <w:color w:val="auto"/>
              </w:rPr>
            </w:pPr>
            <w:r>
              <w:rPr>
                <w:rFonts w:ascii="Arial" w:cs="Arial" w:eastAsia="Arial" w:hAnsi="Arial"/>
                <w:sz w:val="14"/>
                <w:szCs w:val="14"/>
                <w:color w:val="auto"/>
                <w:w w:val="91"/>
              </w:rPr>
              <w:t>L+200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2,917,576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2,917,576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2,625,819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Sitel, L.L.C.</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01/30/2014</w:t>
            </w: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3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5.30%</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L+250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2,592,017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2,592,017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1,892,172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Sitel, L.L.C.</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01/30/2014</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3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6.50%</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7"/>
              </w:rPr>
              <w:t>P+150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90,311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90,311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65,927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106,271,980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2"/>
              </w:rPr>
              <w:t>105,222,862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78,844,929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4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w w:val="99"/>
              </w:rPr>
              <w:t>Investments in Non-Controlled, Non-Affiliated Portfolio</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gridSpan w:val="2"/>
          </w:tcPr>
          <w:p>
            <w:pPr>
              <w:ind w:left="200"/>
              <w:spacing w:after="0"/>
              <w:rPr>
                <w:sz w:val="20"/>
                <w:szCs w:val="20"/>
                <w:color w:val="auto"/>
              </w:rPr>
            </w:pPr>
            <w:r>
              <w:rPr>
                <w:rFonts w:ascii="Arial" w:cs="Arial" w:eastAsia="Arial" w:hAnsi="Arial"/>
                <w:sz w:val="14"/>
                <w:szCs w:val="14"/>
                <w:b w:val="1"/>
                <w:bCs w:val="1"/>
                <w:color w:val="auto"/>
              </w:rPr>
              <w:t>Companies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w w:val="92"/>
              </w:rPr>
              <w:t>427,481,745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w w:val="95"/>
              </w:rPr>
              <w:t>354,261,950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gridSpan w:val="4"/>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Investments in Non-Controlled, Affiliated Portfolio Companies—8.5%</w:t>
            </w:r>
            <w:r>
              <w:rPr>
                <w:rFonts w:ascii="Arial" w:cs="Arial" w:eastAsia="Arial" w:hAnsi="Arial"/>
                <w:sz w:val="17"/>
                <w:szCs w:val="17"/>
                <w:b w:val="1"/>
                <w:bCs w:val="1"/>
                <w:color w:val="auto"/>
                <w:vertAlign w:val="superscript"/>
              </w:rPr>
              <w:t>(1)(2)</w:t>
            </w:r>
          </w:p>
        </w:tc>
        <w:tc>
          <w:tcPr>
            <w:tcW w:w="1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 / Corporate Notes—2.1%</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Leisure,</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Amusement, Motion</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Pictures,</w:t>
            </w:r>
          </w:p>
        </w:tc>
        <w:tc>
          <w:tcPr>
            <w:tcW w:w="134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14.25%</w:t>
            </w:r>
            <w:r>
              <w:rPr>
                <w:rFonts w:ascii="Arial" w:cs="Arial" w:eastAsia="Arial" w:hAnsi="Arial"/>
                <w:sz w:val="22"/>
                <w:szCs w:val="22"/>
                <w:color w:val="auto"/>
                <w:vertAlign w:val="superscript"/>
              </w:rPr>
              <w:t>(6)</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Performance Holdings, Inc.</w:t>
            </w:r>
          </w:p>
        </w:tc>
        <w:tc>
          <w:tcPr>
            <w:tcW w:w="9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07/02/2014</w:t>
            </w:r>
          </w:p>
        </w:tc>
        <w:tc>
          <w:tcPr>
            <w:tcW w:w="13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1340" w:type="dxa"/>
            <w:vAlign w:val="bottom"/>
            <w:gridSpan w:val="3"/>
            <w:vMerge w:val="continue"/>
            <w:shd w:val="clear" w:color="auto" w:fill="CCEEFF"/>
          </w:tcPr>
          <w:p>
            <w:pPr>
              <w:spacing w:after="0"/>
              <w:rPr>
                <w:sz w:val="13"/>
                <w:szCs w:val="13"/>
                <w:color w:val="auto"/>
              </w:rPr>
            </w:pPr>
          </w:p>
        </w:tc>
        <w:tc>
          <w:tcPr>
            <w:tcW w:w="7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4,414,356</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4,192,261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4,414,356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Current</w:t>
            </w:r>
          </w:p>
        </w:tc>
        <w:tc>
          <w:tcPr>
            <w:tcW w:w="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22"/>
                <w:szCs w:val="22"/>
                <w:b w:val="1"/>
                <w:bCs w:val="1"/>
                <w:color w:val="auto"/>
                <w:w w:val="93"/>
                <w:vertAlign w:val="superscript"/>
              </w:rPr>
              <w:t>(3)</w:t>
            </w:r>
          </w:p>
        </w:tc>
        <w:tc>
          <w:tcPr>
            <w:tcW w:w="0" w:type="dxa"/>
            <w:vAlign w:val="bottom"/>
          </w:tcPr>
          <w:p>
            <w:pPr>
              <w:spacing w:after="0"/>
              <w:rPr>
                <w:sz w:val="1"/>
                <w:szCs w:val="1"/>
                <w:color w:val="auto"/>
              </w:rPr>
            </w:pPr>
          </w:p>
        </w:tc>
      </w:tr>
      <w:tr>
        <w:trPr>
          <w:trHeight w:val="176"/>
        </w:trPr>
        <w:tc>
          <w:tcPr>
            <w:tcW w:w="49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Maturity</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Coupon</w:t>
            </w:r>
          </w:p>
        </w:tc>
        <w:tc>
          <w:tcPr>
            <w:tcW w:w="68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Par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Second Lien Secured Debt—4.0%</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80" w:type="dxa"/>
            <w:vAlign w:val="bottom"/>
            <w:gridSpan w:val="2"/>
          </w:tcPr>
          <w:p>
            <w:pPr>
              <w:spacing w:after="0" w:line="138" w:lineRule="exact"/>
              <w:rPr>
                <w:sz w:val="20"/>
                <w:szCs w:val="20"/>
                <w:color w:val="auto"/>
              </w:rPr>
            </w:pPr>
            <w:r>
              <w:rPr>
                <w:rFonts w:ascii="Arial" w:cs="Arial" w:eastAsia="Arial" w:hAnsi="Arial"/>
                <w:sz w:val="14"/>
                <w:szCs w:val="14"/>
                <w:color w:val="auto"/>
              </w:rPr>
              <w:t>Performance, Inc.</w:t>
            </w:r>
          </w:p>
        </w:tc>
        <w:tc>
          <w:tcPr>
            <w:tcW w:w="86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w w:val="88"/>
              </w:rPr>
              <w:t>07/02/2013</w:t>
            </w:r>
          </w:p>
        </w:tc>
        <w:tc>
          <w:tcPr>
            <w:tcW w:w="820" w:type="dxa"/>
            <w:vAlign w:val="bottom"/>
          </w:tcPr>
          <w:p>
            <w:pPr>
              <w:jc w:val="center"/>
              <w:spacing w:after="0" w:line="138" w:lineRule="exact"/>
              <w:rPr>
                <w:sz w:val="20"/>
                <w:szCs w:val="20"/>
                <w:color w:val="auto"/>
              </w:rPr>
            </w:pPr>
            <w:r>
              <w:rPr>
                <w:rFonts w:ascii="Arial" w:cs="Arial" w:eastAsia="Arial" w:hAnsi="Arial"/>
                <w:sz w:val="14"/>
                <w:szCs w:val="14"/>
                <w:color w:val="auto"/>
                <w:w w:val="88"/>
              </w:rPr>
              <w:t>Leisure,</w:t>
            </w:r>
          </w:p>
        </w:tc>
        <w:tc>
          <w:tcPr>
            <w:tcW w:w="1060" w:type="dxa"/>
            <w:vAlign w:val="bottom"/>
            <w:gridSpan w:val="3"/>
          </w:tcPr>
          <w:p>
            <w:pPr>
              <w:jc w:val="right"/>
              <w:ind w:right="260"/>
              <w:spacing w:after="0" w:line="138" w:lineRule="exact"/>
              <w:rPr>
                <w:sz w:val="20"/>
                <w:szCs w:val="20"/>
                <w:color w:val="auto"/>
              </w:rPr>
            </w:pPr>
            <w:r>
              <w:rPr>
                <w:rFonts w:ascii="Arial" w:cs="Arial" w:eastAsia="Arial" w:hAnsi="Arial"/>
                <w:sz w:val="14"/>
                <w:szCs w:val="14"/>
                <w:color w:val="auto"/>
              </w:rPr>
              <w:t>8.55%</w:t>
            </w:r>
          </w:p>
        </w:tc>
        <w:tc>
          <w:tcPr>
            <w:tcW w:w="680" w:type="dxa"/>
            <w:vAlign w:val="bottom"/>
          </w:tcPr>
          <w:p>
            <w:pPr>
              <w:jc w:val="center"/>
              <w:spacing w:after="0" w:line="138" w:lineRule="exact"/>
              <w:rPr>
                <w:sz w:val="20"/>
                <w:szCs w:val="20"/>
                <w:color w:val="auto"/>
              </w:rPr>
            </w:pPr>
            <w:r>
              <w:rPr>
                <w:rFonts w:ascii="Arial" w:cs="Arial" w:eastAsia="Arial" w:hAnsi="Arial"/>
                <w:sz w:val="14"/>
                <w:szCs w:val="14"/>
                <w:color w:val="auto"/>
                <w:w w:val="91"/>
              </w:rPr>
              <w:t>L+575</w:t>
            </w:r>
          </w:p>
        </w:tc>
        <w:tc>
          <w:tcPr>
            <w:tcW w:w="3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w w:val="96"/>
              </w:rPr>
              <w:t>8,750,000</w:t>
            </w:r>
          </w:p>
        </w:tc>
        <w:tc>
          <w:tcPr>
            <w:tcW w:w="20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8,750,000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8,347,500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6"/>
              </w:rPr>
              <w:t>Amusement,</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5"/>
              </w:rPr>
              <w:t>Motion</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4"/>
              </w:rPr>
              <w:t>Pictures,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Equity/Partnership Interest</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—2.4%</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80" w:type="dxa"/>
            <w:vAlign w:val="bottom"/>
            <w:gridSpan w:val="2"/>
          </w:tcPr>
          <w:p>
            <w:pPr>
              <w:spacing w:after="0" w:line="138" w:lineRule="exact"/>
              <w:rPr>
                <w:sz w:val="20"/>
                <w:szCs w:val="20"/>
                <w:color w:val="auto"/>
              </w:rPr>
            </w:pPr>
            <w:r>
              <w:rPr>
                <w:rFonts w:ascii="Arial" w:cs="Arial" w:eastAsia="Arial" w:hAnsi="Arial"/>
                <w:sz w:val="14"/>
                <w:szCs w:val="14"/>
                <w:color w:val="auto"/>
              </w:rPr>
              <w:t>NCP-Performance (Performance Holdings, Inc.)</w:t>
            </w:r>
          </w:p>
        </w:tc>
        <w:tc>
          <w:tcPr>
            <w:tcW w:w="8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w:t>
            </w:r>
          </w:p>
        </w:tc>
        <w:tc>
          <w:tcPr>
            <w:tcW w:w="820" w:type="dxa"/>
            <w:vAlign w:val="bottom"/>
          </w:tcPr>
          <w:p>
            <w:pPr>
              <w:jc w:val="center"/>
              <w:spacing w:after="0" w:line="138" w:lineRule="exact"/>
              <w:rPr>
                <w:sz w:val="20"/>
                <w:szCs w:val="20"/>
                <w:color w:val="auto"/>
              </w:rPr>
            </w:pPr>
            <w:r>
              <w:rPr>
                <w:rFonts w:ascii="Arial" w:cs="Arial" w:eastAsia="Arial" w:hAnsi="Arial"/>
                <w:sz w:val="14"/>
                <w:szCs w:val="14"/>
                <w:color w:val="auto"/>
                <w:w w:val="88"/>
              </w:rPr>
              <w:t>Leisure,</w:t>
            </w:r>
          </w:p>
        </w:tc>
        <w:tc>
          <w:tcPr>
            <w:tcW w:w="200" w:type="dxa"/>
            <w:vAlign w:val="bottom"/>
          </w:tcPr>
          <w:p>
            <w:pPr>
              <w:spacing w:after="0"/>
              <w:rPr>
                <w:sz w:val="11"/>
                <w:szCs w:val="11"/>
                <w:color w:val="auto"/>
              </w:rPr>
            </w:pPr>
          </w:p>
        </w:tc>
        <w:tc>
          <w:tcPr>
            <w:tcW w:w="860" w:type="dxa"/>
            <w:vAlign w:val="bottom"/>
            <w:gridSpan w:val="2"/>
          </w:tcPr>
          <w:p>
            <w:pPr>
              <w:ind w:left="300"/>
              <w:spacing w:after="0" w:line="138" w:lineRule="exact"/>
              <w:rPr>
                <w:sz w:val="20"/>
                <w:szCs w:val="20"/>
                <w:color w:val="auto"/>
              </w:rPr>
            </w:pPr>
            <w:r>
              <w:rPr>
                <w:rFonts w:ascii="Arial" w:cs="Arial" w:eastAsia="Arial" w:hAnsi="Arial"/>
                <w:sz w:val="14"/>
                <w:szCs w:val="14"/>
                <w:color w:val="auto"/>
              </w:rPr>
              <w:t>—</w:t>
            </w:r>
          </w:p>
        </w:tc>
        <w:tc>
          <w:tcPr>
            <w:tcW w:w="680" w:type="dxa"/>
            <w:vAlign w:val="bottom"/>
          </w:tcPr>
          <w:p>
            <w:pPr>
              <w:ind w:left="480"/>
              <w:spacing w:after="0" w:line="13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37,500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3,750,000</w:t>
            </w:r>
          </w:p>
        </w:tc>
        <w:tc>
          <w:tcPr>
            <w:tcW w:w="1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5,124,014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6"/>
              </w:rPr>
              <w:t>Amusement,</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5"/>
              </w:rPr>
              <w:t>Motion</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4"/>
              </w:rPr>
              <w:t>Pictures,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16,692,261</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17,885,870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Investments—176.6%</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87"/>
              </w:rPr>
              <w:t>444,174,006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372,147,820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Par</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Equivalents—19.1%</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Money Market—Mutual Funds</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4"/>
              </w:rPr>
              <w:t>-</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5"/>
              </w:rPr>
              <w:t>40,249,201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40,249,201</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40,249,201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Equivalents</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40,249,201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40,249,201</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40,249,201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and Cash Equivalents—195.7%</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87"/>
              </w:rPr>
              <w:t>484,423,207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412,397,021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4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Liabilities in Excess of Other</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Assets—(95.7%)</w:t>
            </w: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9"/>
              </w:rPr>
              <w:t>(201,668,761)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gridSpan w:val="2"/>
          </w:tcPr>
          <w:p>
            <w:pPr>
              <w:ind w:left="480"/>
              <w:spacing w:after="0" w:line="155" w:lineRule="exact"/>
              <w:rPr>
                <w:sz w:val="20"/>
                <w:szCs w:val="20"/>
                <w:color w:val="auto"/>
              </w:rPr>
            </w:pPr>
            <w:r>
              <w:rPr>
                <w:rFonts w:ascii="Arial" w:cs="Arial" w:eastAsia="Arial" w:hAnsi="Arial"/>
                <w:sz w:val="14"/>
                <w:szCs w:val="14"/>
                <w:b w:val="1"/>
                <w:bCs w:val="1"/>
                <w:color w:val="auto"/>
              </w:rPr>
              <w:t>Net Assets—100.0%</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210,728,260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300" w:hanging="332"/>
        <w:spacing w:after="0" w:line="239" w:lineRule="auto"/>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Investment Company Act of 1940 (the “1940 Act”) “non-controlled” means we own less than 25% of a portfolio company’s voting securities.</w:t>
      </w:r>
    </w:p>
    <w:p>
      <w:pPr>
        <w:spacing w:after="0" w:line="57"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92"/>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91" w:lineRule="exact"/>
        <w:rPr>
          <w:rFonts w:ascii="Arial" w:cs="Arial" w:eastAsia="Arial" w:hAnsi="Arial"/>
          <w:sz w:val="12"/>
          <w:szCs w:val="12"/>
          <w:color w:val="auto"/>
        </w:rPr>
      </w:pPr>
    </w:p>
    <w:p>
      <w:pPr>
        <w:ind w:left="340" w:right="300" w:hanging="332"/>
        <w:spacing w:after="0" w:line="239" w:lineRule="auto"/>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Coupon payable in cash and/or payment-in-kind (“PIK”).</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Non-income producing.</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LIBOR floor applies.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PennantPark Investment was organized as a Maryland corporation on January 11, 2007. PennantPark Investment’s objective is to generate both current income and capital appreciation through debt and equity investments. The Company invests primarily in U.S. middle-market companies in the form of mezzanine debt, senior secured loans and equity investments.</w:t>
      </w:r>
    </w:p>
    <w:p>
      <w:pPr>
        <w:spacing w:after="0" w:line="14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PennantPark Investment Advisers, LLC (the “Investment Adviser” or “PennantPark Investment Advisers”)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by and among the Company and the underwriters, and elected to purchase 625,000 shares of common stock at a price of $15.00 per share, resulting in net proceeds of $8.8 million.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520" w:firstLine="456"/>
        <w:spacing w:after="0" w:line="256" w:lineRule="auto"/>
        <w:rPr>
          <w:sz w:val="20"/>
          <w:szCs w:val="20"/>
          <w:color w:val="auto"/>
        </w:rPr>
      </w:pPr>
      <w:r>
        <w:rPr>
          <w:rFonts w:ascii="Arial" w:cs="Arial" w:eastAsia="Arial" w:hAnsi="Arial"/>
          <w:sz w:val="18"/>
          <w:szCs w:val="18"/>
          <w:color w:val="auto"/>
        </w:rPr>
        <w:t>The accompanying financial statements are prepared in accordance with accounting principles generally accepted in the United States of America (“GAAP”). In the opinion of management, all adjustments, consisting solely of normal recurring accruals, considered necessary for the fair presentation of financial statements for the interim periods, have been included. The results of operations for interim periods are not necessarily indicative of results to be expected for the full year.</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Certain financial information normally included in annual financial statements, including certain financial statement footnotes, prepared in accordance with GAAP, is not required for interim reporting purposes and has been condensed or omitted herein. These financial statements should be read in conjunction with the Company’s financial statements and notes related thereto included in the Company’s Annual Report on Form 10-K for the year ended September 30, 2008, which was filed with the SEC on November 20, 2008.</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 of assets and liabilities at the date of the financial statements and the reported amounts of income and expenses during the reported period. Changes in the economic environment, financial markets and any other parameters used in determining these estimates could cause actual results to differ materially.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90" w:lineRule="exact"/>
        <w:rPr>
          <w:sz w:val="20"/>
          <w:szCs w:val="20"/>
          <w:color w:val="auto"/>
        </w:rPr>
      </w:pPr>
    </w:p>
    <w:p>
      <w:pPr>
        <w:ind w:left="900" w:right="20" w:hanging="446"/>
        <w:spacing w:after="0" w:line="290"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Security transactions are recorded on a trade-date basis.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We expect that there will not be readily available market values for most of the investments which are or will be in our portfolio, and we value such investments at fair value as determined in good faith by or under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90" w:lineRule="auto"/>
        <w:rPr>
          <w:sz w:val="20"/>
          <w:szCs w:val="20"/>
          <w:color w:val="auto"/>
        </w:rPr>
      </w:pPr>
      <w:r>
        <w:rPr>
          <w:rFonts w:ascii="Arial" w:cs="Arial" w:eastAsia="Arial" w:hAnsi="Arial"/>
          <w:sz w:val="16"/>
          <w:szCs w:val="16"/>
          <w:color w:val="auto"/>
        </w:rPr>
        <w:t>direction of our board of directors using a documented valuation policy, described further below, and a consistently applied valuation process. With respect to investments for which there is no readily available market value, valuation methods include, but are not limited to,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these differences could be material.</w:t>
      </w:r>
    </w:p>
    <w:p>
      <w:pPr>
        <w:spacing w:after="0" w:line="132"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With respect to investments for which market quotations are not readily available or are readily available but are deemed by our board of directors not reflective of the fair value of an investment, our board of directors undertakes a multi-step valuation process each quarter, as described below:</w:t>
      </w:r>
    </w:p>
    <w:p>
      <w:pPr>
        <w:spacing w:after="0" w:line="4" w:lineRule="exact"/>
        <w:rPr>
          <w:sz w:val="20"/>
          <w:szCs w:val="20"/>
          <w:color w:val="auto"/>
        </w:rPr>
      </w:pPr>
    </w:p>
    <w:p>
      <w:pPr>
        <w:ind w:left="900" w:right="480" w:hanging="446"/>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59" w:lineRule="exact"/>
        <w:rPr>
          <w:sz w:val="20"/>
          <w:szCs w:val="20"/>
          <w:color w:val="auto"/>
        </w:rPr>
      </w:pPr>
    </w:p>
    <w:p>
      <w:pPr>
        <w:ind w:left="900" w:right="60" w:hanging="446"/>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Investments of sufficient credit quality, purchased within 60 days of maturity are valued at cost plus accreted discount, or minus amortized premium, which approximates value.</w:t>
      </w:r>
    </w:p>
    <w:p>
      <w:pPr>
        <w:spacing w:after="0" w:line="50" w:lineRule="exact"/>
        <w:rPr>
          <w:rFonts w:ascii="Arial" w:cs="Arial" w:eastAsia="Arial" w:hAnsi="Arial"/>
          <w:sz w:val="18"/>
          <w:szCs w:val="18"/>
          <w:color w:val="auto"/>
        </w:rPr>
      </w:pPr>
    </w:p>
    <w:p>
      <w:pPr>
        <w:ind w:left="900" w:right="20" w:hanging="446"/>
        <w:spacing w:after="0" w:line="255"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(as defined below) payable values during the reporting period, including any reversal of previously recorded unrealized appreciation or depreciation, when gains or losses are realized.</w:t>
      </w:r>
    </w:p>
    <w:p>
      <w:pPr>
        <w:spacing w:after="0" w:line="61"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record interest income on an accrual basis to the extent that we expect to collect such amounts. For loans and debt securities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securities if we have reason to doubt our ability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20"/>
        <w:spacing w:after="0" w:line="306" w:lineRule="auto"/>
        <w:rPr>
          <w:sz w:val="20"/>
          <w:szCs w:val="20"/>
          <w:color w:val="auto"/>
        </w:rPr>
      </w:pPr>
      <w:r>
        <w:rPr>
          <w:rFonts w:ascii="Arial" w:cs="Arial" w:eastAsia="Arial" w:hAnsi="Arial"/>
          <w:sz w:val="16"/>
          <w:szCs w:val="16"/>
          <w:color w:val="auto"/>
        </w:rPr>
        <w:t>collect such interest. Loan origination fees, original issue discount and market discount or premium are capitalized, and we then accrete or amortize such amounts using the effective interest method as interest income. We record prepayment premiums on loans and debt securities as interest income. Dividend income, if any, is recognized on an accrual basis to the extent that we expect to collect such amounts.</w:t>
      </w:r>
    </w:p>
    <w:p>
      <w:pPr>
        <w:spacing w:after="0" w:line="39" w:lineRule="exact"/>
        <w:rPr>
          <w:sz w:val="20"/>
          <w:szCs w:val="20"/>
          <w:color w:val="auto"/>
        </w:rPr>
      </w:pPr>
    </w:p>
    <w:p>
      <w:pPr>
        <w:ind w:left="900" w:hanging="446"/>
        <w:spacing w:after="0" w:line="286"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Since May 1, 2007, PennantPark Investment has complied with the requirements of Subchapter M of the Internal Revenue Code of 1986 as amended (the “Code”), and expects to be subject to tax as a regulated investment company, or “RIC”. As a RIC, PennantPark Investment accounts for income taxes using the asset liability method prescribed by FASB Statement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corporate-level taxes in the future. The Company recognizes in its financial statements the effect of a tax position when it is more likely than not, based on the technical merits, that the position will be sustained upon examination. We did not have any uncertain tax positions that met the recognition or measurement criteria of FASB Interpretation No. 48, Accounting for Uncertainty in Income Taxes—an interpretation of FASB Statement No. 109 (“FIN 48”) nor did we have any unrecognized tax benefits as of September 30, 2008. Although we file federal and state tax returns, our major tax jurisdiction is federal. Our 2008 and 2007 federal tax years remain subject to examination by the Internal Revenue Service.</w:t>
      </w:r>
    </w:p>
    <w:p>
      <w:pPr>
        <w:spacing w:after="0" w:line="46" w:lineRule="exact"/>
        <w:rPr>
          <w:rFonts w:ascii="Arial" w:cs="Arial" w:eastAsia="Arial" w:hAnsi="Arial"/>
          <w:sz w:val="16"/>
          <w:szCs w:val="16"/>
          <w:color w:val="auto"/>
        </w:rPr>
      </w:pPr>
    </w:p>
    <w:p>
      <w:pPr>
        <w:ind w:left="900" w:right="20" w:hanging="446"/>
        <w:spacing w:after="0" w:line="259"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59" w:lineRule="exact"/>
        <w:rPr>
          <w:rFonts w:ascii="Arial" w:cs="Arial" w:eastAsia="Arial" w:hAnsi="Arial"/>
          <w:sz w:val="18"/>
          <w:szCs w:val="18"/>
          <w:color w:val="auto"/>
        </w:rPr>
      </w:pPr>
    </w:p>
    <w:p>
      <w:pPr>
        <w:jc w:val="both"/>
        <w:ind w:left="900" w:right="120" w:hanging="446"/>
        <w:spacing w:after="0" w:line="298"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31" w:lineRule="exact"/>
        <w:rPr>
          <w:rFonts w:ascii="Arial" w:cs="Arial" w:eastAsia="Arial" w:hAnsi="Arial"/>
          <w:sz w:val="16"/>
          <w:szCs w:val="16"/>
          <w:color w:val="auto"/>
        </w:rPr>
      </w:pPr>
    </w:p>
    <w:p>
      <w:pPr>
        <w:ind w:left="900" w:right="20" w:hanging="446"/>
        <w:spacing w:after="0" w:line="291"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In September 2006, the Financial Accounting Standards Board issued Statement of Financial Accounting Standards (“SFAS”) 157,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Measurements </w:t>
      </w:r>
      <w:r>
        <w:rPr>
          <w:rFonts w:ascii="Arial" w:cs="Arial" w:eastAsia="Arial" w:hAnsi="Arial"/>
          <w:sz w:val="16"/>
          <w:szCs w:val="16"/>
          <w:color w:val="auto"/>
        </w:rPr>
        <w:t>(“SFAS 157”), which clarifies the definition of fair value and requires companies to expand their disclosure about the use of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We adopted this statement on October 1, 2008. This adoption did not affect the Company’s financial position or its results of operations.</w:t>
      </w:r>
    </w:p>
    <w:p>
      <w:pPr>
        <w:spacing w:after="0" w:line="39" w:lineRule="exact"/>
        <w:rPr>
          <w:rFonts w:ascii="Arial" w:cs="Arial" w:eastAsia="Arial" w:hAnsi="Arial"/>
          <w:sz w:val="16"/>
          <w:szCs w:val="16"/>
          <w:color w:val="auto"/>
        </w:rPr>
      </w:pPr>
    </w:p>
    <w:p>
      <w:pPr>
        <w:ind w:left="900" w:hanging="446"/>
        <w:spacing w:after="0" w:line="253"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In February 2007, the FASB issued SFAS 159, </w:t>
      </w:r>
      <w:r>
        <w:rPr>
          <w:rFonts w:ascii="Arial" w:cs="Arial" w:eastAsia="Arial" w:hAnsi="Arial"/>
          <w:sz w:val="18"/>
          <w:szCs w:val="18"/>
          <w:i w:val="1"/>
          <w:iCs w:val="1"/>
          <w:color w:val="auto"/>
        </w:rPr>
        <w:t>The Fair Value Option for Financial Assets and Financial Liabilities</w:t>
      </w:r>
      <w:r>
        <w:rPr>
          <w:rFonts w:ascii="Arial" w:cs="Arial" w:eastAsia="Arial" w:hAnsi="Arial"/>
          <w:sz w:val="18"/>
          <w:szCs w:val="18"/>
          <w:color w:val="auto"/>
        </w:rPr>
        <w:t>—</w:t>
      </w:r>
      <w:r>
        <w:rPr>
          <w:rFonts w:ascii="Arial" w:cs="Arial" w:eastAsia="Arial" w:hAnsi="Arial"/>
          <w:sz w:val="18"/>
          <w:szCs w:val="18"/>
          <w:i w:val="1"/>
          <w:iCs w:val="1"/>
          <w:color w:val="auto"/>
        </w:rPr>
        <w:t>Including an Amendment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FASB 115 </w:t>
      </w:r>
      <w:r>
        <w:rPr>
          <w:rFonts w:ascii="Arial" w:cs="Arial" w:eastAsia="Arial" w:hAnsi="Arial"/>
          <w:sz w:val="18"/>
          <w:szCs w:val="18"/>
          <w:color w:val="auto"/>
        </w:rPr>
        <w:t>(“SFAS 159”). This statement permits an entity to elect to measure many financial instruments and certain other items at fair value. This</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adopted SFAS 159 on October 1, 2008 and have made an irrevocable election to apply the fair value option to our credit facility liability. The fair value option was elected for our credit facility to align the measurement attributes of both the assets and liabilities while mitigating volatility</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55" w:lineRule="auto"/>
        <w:rPr>
          <w:sz w:val="20"/>
          <w:szCs w:val="20"/>
          <w:color w:val="auto"/>
        </w:rPr>
      </w:pPr>
      <w:r>
        <w:rPr>
          <w:rFonts w:ascii="Arial" w:cs="Arial" w:eastAsia="Arial" w:hAnsi="Arial"/>
          <w:sz w:val="18"/>
          <w:szCs w:val="18"/>
          <w:color w:val="auto"/>
        </w:rPr>
        <w:t>in earnings from using different measurement attributes. Upon our adoption of SFAS 159 our net asset value increased by $41.8 million, or $1.99 per share, due to the fair value adjustment related to our credit facility. We have used a nationally recognized independent valuation service to measure the fair value of our credit facility in a manner consistent with the valuation process that our board of directors uses to value our investments. After adoption, subsequent changes in the fair value of our credit facility will be recorded in the Statement of Operations. We have not elected to apply SFAS 159 to any other financial assets or liabilities.</w:t>
      </w:r>
    </w:p>
    <w:p>
      <w:pPr>
        <w:spacing w:after="0" w:line="75" w:lineRule="exact"/>
        <w:rPr>
          <w:sz w:val="20"/>
          <w:szCs w:val="20"/>
          <w:color w:val="auto"/>
        </w:rPr>
      </w:pPr>
    </w:p>
    <w:p>
      <w:pPr>
        <w:ind w:left="900" w:right="40" w:hanging="446"/>
        <w:spacing w:after="0" w:line="253"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In April 2009, the FASB issued FASB Staff Position No. 157-4, </w:t>
      </w:r>
      <w:r>
        <w:rPr>
          <w:rFonts w:ascii="Arial" w:cs="Arial" w:eastAsia="Arial" w:hAnsi="Arial"/>
          <w:sz w:val="18"/>
          <w:szCs w:val="18"/>
          <w:i w:val="1"/>
          <w:iCs w:val="1"/>
          <w:color w:val="auto"/>
        </w:rPr>
        <w:t>Determining Fair Value When the Volume and Level of Activity for the Asset 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Liability Have Significantly Decreased and Identifying Transactions That Are Not Orderly </w:t>
      </w:r>
      <w:r>
        <w:rPr>
          <w:rFonts w:ascii="Arial" w:cs="Arial" w:eastAsia="Arial" w:hAnsi="Arial"/>
          <w:sz w:val="18"/>
          <w:szCs w:val="18"/>
          <w:color w:val="auto"/>
        </w:rPr>
        <w:t>(“FSP 157-4”), which provides further clarification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of SFAS 157 in markets that are not active. Previously issued FASB Staff Position No. 157-3, Determining Fair Value of a Financial Asset When the Market for That Asset Is Not Active, has been superseded by FSP157-4. FSP 157-4 provides additional guidance for determining when the volume and trading level of activity for an asset or liability has significantly decreased and for identifying circumstances that indicate a transaction is not orderly. FSP 157-4 is effective for interim and annual reporting periods ending after June 15, 2009. We adopted the provisions of FSP 157-4 for the quarter ending June 30, 2009 and the adoption of the provisions of FSP 157-4 did not have a material effect on the Company’s financial statements.</w:t>
      </w:r>
    </w:p>
    <w:p>
      <w:pPr>
        <w:spacing w:after="0" w:line="64"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Certain prior period amounts have been reclassified to conform to current period presentation.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PennantPark Investment has entered into an Investment Management Agreement with PennantPark Investment Advisers which commenced on April 17, 2007.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and/or temporary draws on the Revolving Credit Facility (“adjusted gross assets”), if any) (see note 8). Although the base management fee is 2.00% of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has equaled 2.00% since March 31, 2008 and is payable quarterly in arrears. The base management fee is calculated based on the average value of adjusted gross assets at the end of the two most recently completed calendar quarters, and appropriately adjusted for any share issuances or repurchases during the current calendar quarter. For the three and nine month periods ended June 30, 2009, the Investment Adviser earned a base management fee of $1.9 million and $5.5 million, respectively, from the Company. For the three and nine month periods ended June 30, 2008 the Investment Adviser received a net base management fee of $1.8 million and $4.8 million, respectively, from the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described below, and any interest expense and distribution paid on</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any issued and outstanding preferred stock, but excluding the incentive fee). Pre-Incentive Fee Net Investment Income includes, in the case of investments with deferred interest feature (such as original issue discount, debt instruments with pay-in-kind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105" w:lineRule="exact"/>
        <w:rPr>
          <w:sz w:val="20"/>
          <w:szCs w:val="20"/>
          <w:color w:val="auto"/>
        </w:rPr>
      </w:pPr>
    </w:p>
    <w:p>
      <w:pPr>
        <w:ind w:firstLine="464"/>
        <w:spacing w:after="0" w:line="294" w:lineRule="auto"/>
        <w:tabs>
          <w:tab w:leader="none" w:pos="705" w:val="left"/>
        </w:tabs>
        <w:numPr>
          <w:ilvl w:val="0"/>
          <w:numId w:val="98"/>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 (2)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commencing on March 31, 2008,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three and nine month periods ended June 30, 2009, the Investment Adviser earned an incentive fee of $1.4 million and $4.2 million, respectively, from the Company. For the three and nine month periods ended June 30, 2008, the Investment Adviser received an incentive fee of $1.0 million and $2.4 million, respectively, from the Company.</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which commenced on April 17, 2009, under which 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administrative services expenses in the statement of operations.</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For the three and nine month periods ended June 30, 2009, the Investment Adviser and the Administrator were reimbursed approximately $0.3 million and $1.4 million, respectively, from the Company for services described above. For the three and nine month periods ended June 30, 2008 the Investment Adviser and the Administrator were reimbursed approximately $0.5 million and $1.6 million, respectively, from the Company for services described above.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ASSET VALUE PER SHARE</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On June 30, 2009, PennantPark Investment’s total net assets and net asset value per share were $247.0 million and $11.72, respectively. On September 30, 2008, PennantPark Investment’s total net assets and net asset value per share were $210.7 million and $10.00, respectively.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CHANGE IN NET ASSETS PER COMMON SHARE FROM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increase/(decrease) in net assets resulting from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616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June 30, 2009</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June 30, 2008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2"/>
              </w:rPr>
              <w:t>June 30, 2009</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3"/>
              </w:rPr>
              <w:t>June 30, 2008</w:t>
            </w:r>
          </w:p>
        </w:tc>
        <w:tc>
          <w:tcPr>
            <w:tcW w:w="120" w:type="dxa"/>
            <w:vAlign w:val="bottom"/>
          </w:tcPr>
          <w:p>
            <w:pPr>
              <w:spacing w:after="0"/>
              <w:rPr>
                <w:sz w:val="12"/>
                <w:szCs w:val="12"/>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9"/>
              </w:rPr>
              <w:t>Numerator for net increase (decrease)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(819,771)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15,204,464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9,622,495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(29,660,865)</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21,068,772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21,068,772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21,068,772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21,068,772</w:t>
            </w:r>
          </w:p>
        </w:tc>
        <w:tc>
          <w:tcPr>
            <w:tcW w:w="120" w:type="dxa"/>
            <w:vAlign w:val="bottom"/>
          </w:tcPr>
          <w:p>
            <w:pPr>
              <w:spacing w:after="0"/>
              <w:rPr>
                <w:sz w:val="18"/>
                <w:szCs w:val="18"/>
                <w:color w:val="auto"/>
              </w:rPr>
            </w:pPr>
          </w:p>
        </w:tc>
      </w:tr>
      <w:tr>
        <w:trPr>
          <w:trHeight w:val="208"/>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7"/>
              </w:rPr>
              <w:t>Basic and diluted net increase (decrease) in net assets per share resulting from</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96" w:lineRule="exact"/>
        <w:rPr>
          <w:sz w:val="20"/>
          <w:szCs w:val="20"/>
          <w:color w:val="auto"/>
        </w:rPr>
      </w:pPr>
    </w:p>
    <w:p>
      <w:pPr>
        <w:jc w:val="both"/>
        <w:ind w:right="40" w:firstLine="456"/>
        <w:spacing w:after="0" w:line="332" w:lineRule="auto"/>
        <w:rPr>
          <w:sz w:val="20"/>
          <w:szCs w:val="20"/>
          <w:color w:val="auto"/>
        </w:rPr>
      </w:pPr>
      <w:r>
        <w:rPr>
          <w:rFonts w:ascii="Arial" w:cs="Arial" w:eastAsia="Arial" w:hAnsi="Arial"/>
          <w:sz w:val="16"/>
          <w:szCs w:val="16"/>
          <w:color w:val="auto"/>
        </w:rPr>
        <w:t>Purchases of long-term investments and PIK for the three and nine months ended June 30, 2009 totaled $33.4 million and $50.5 million, respectively. Sales and repayments of long-term investments for the three and nine months ended June 30, 2009 totaled $7.3 million and $12.9 million,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2009</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 2008</w:t>
            </w:r>
          </w:p>
        </w:tc>
      </w:tr>
      <w:tr>
        <w:trPr>
          <w:trHeight w:val="142"/>
        </w:trPr>
        <w:tc>
          <w:tcPr>
            <w:tcW w:w="11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78"/>
              <w:spacing w:after="0" w:line="142" w:lineRule="exact"/>
              <w:rPr>
                <w:sz w:val="20"/>
                <w:szCs w:val="20"/>
                <w:color w:val="auto"/>
              </w:rPr>
            </w:pPr>
            <w:r>
              <w:rPr>
                <w:rFonts w:ascii="Arial" w:cs="Arial" w:eastAsia="Arial" w:hAnsi="Arial"/>
                <w:sz w:val="11"/>
                <w:szCs w:val="11"/>
                <w:b w:val="1"/>
                <w:bCs w:val="1"/>
                <w:color w:val="auto"/>
              </w:rPr>
              <w:t>Cost</w:t>
            </w:r>
            <w:r>
              <w:rPr>
                <w:rFonts w:ascii="Arial" w:cs="Arial" w:eastAsia="Arial" w:hAnsi="Arial"/>
                <w:sz w:val="16"/>
                <w:szCs w:val="16"/>
                <w:b w:val="1"/>
                <w:bCs w:val="1"/>
                <w:color w:val="auto"/>
                <w:vertAlign w:val="superscript"/>
              </w:rPr>
              <w:t>(1)</w:t>
            </w:r>
          </w:p>
        </w:tc>
        <w:tc>
          <w:tcPr>
            <w:tcW w:w="3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89"/>
              </w:rPr>
              <w:t>Fair Value</w:t>
            </w:r>
          </w:p>
        </w:tc>
        <w:tc>
          <w:tcPr>
            <w:tcW w:w="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8"/>
              <w:spacing w:after="0" w:line="142" w:lineRule="exact"/>
              <w:rPr>
                <w:sz w:val="20"/>
                <w:szCs w:val="20"/>
                <w:color w:val="auto"/>
              </w:rPr>
            </w:pPr>
            <w:r>
              <w:rPr>
                <w:rFonts w:ascii="Arial" w:cs="Arial" w:eastAsia="Arial" w:hAnsi="Arial"/>
                <w:sz w:val="11"/>
                <w:szCs w:val="11"/>
                <w:b w:val="1"/>
                <w:bCs w:val="1"/>
                <w:color w:val="auto"/>
              </w:rPr>
              <w:t>Cost</w:t>
            </w:r>
            <w:r>
              <w:rPr>
                <w:rFonts w:ascii="Arial" w:cs="Arial" w:eastAsia="Arial" w:hAnsi="Arial"/>
                <w:sz w:val="16"/>
                <w:szCs w:val="16"/>
                <w:b w:val="1"/>
                <w:bCs w:val="1"/>
                <w:color w:val="auto"/>
                <w:vertAlign w:val="superscript"/>
              </w:rPr>
              <w:t>(1)</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r>
      <w:tr>
        <w:trPr>
          <w:trHeight w:val="210"/>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lien</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114,999,131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98,832,723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105,222,862</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78,844,929</w:t>
            </w:r>
          </w:p>
        </w:tc>
        <w:tc>
          <w:tcPr>
            <w:tcW w:w="20" w:type="dxa"/>
            <w:vAlign w:val="bottom"/>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141,753,215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111,218,950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132,155,221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104,242,000</w:t>
            </w:r>
          </w:p>
        </w:tc>
        <w:tc>
          <w:tcPr>
            <w:tcW w:w="2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174,318,523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156,034,050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187,087,744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166,173,175</w:t>
            </w:r>
          </w:p>
        </w:tc>
        <w:tc>
          <w:tcPr>
            <w:tcW w:w="20" w:type="dxa"/>
            <w:vAlign w:val="bottom"/>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Preferred equity</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9,573,076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10,259,189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9,298,819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9,298,819</w:t>
            </w:r>
          </w:p>
        </w:tc>
        <w:tc>
          <w:tcPr>
            <w:tcW w:w="2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12,198,272</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16,793,319</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10,409,360</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13,588,897</w:t>
            </w:r>
          </w:p>
        </w:tc>
        <w:tc>
          <w:tcPr>
            <w:tcW w:w="20" w:type="dxa"/>
            <w:vAlign w:val="bottom"/>
          </w:tcPr>
          <w:p>
            <w:pPr>
              <w:spacing w:after="0"/>
              <w:rPr>
                <w:sz w:val="18"/>
                <w:szCs w:val="18"/>
                <w:color w:val="auto"/>
              </w:rPr>
            </w:pPr>
          </w:p>
        </w:tc>
      </w:tr>
      <w:tr>
        <w:trPr>
          <w:trHeight w:val="221"/>
        </w:trPr>
        <w:tc>
          <w:tcPr>
            <w:tcW w:w="58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452,842,217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393,138,231</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444,174,006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372,147,820</w:t>
            </w:r>
          </w:p>
        </w:tc>
      </w:tr>
      <w:tr>
        <w:trPr>
          <w:trHeight w:val="218"/>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541,136</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541,136</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40,249,201</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40,249,201</w:t>
            </w:r>
          </w:p>
        </w:tc>
        <w:tc>
          <w:tcPr>
            <w:tcW w:w="20" w:type="dxa"/>
            <w:vAlign w:val="bottom"/>
          </w:tcPr>
          <w:p>
            <w:pPr>
              <w:spacing w:after="0"/>
              <w:rPr>
                <w:sz w:val="18"/>
                <w:szCs w:val="18"/>
                <w:color w:val="auto"/>
              </w:rPr>
            </w:pPr>
          </w:p>
        </w:tc>
      </w:tr>
      <w:tr>
        <w:trPr>
          <w:trHeight w:val="222"/>
        </w:trPr>
        <w:tc>
          <w:tcPr>
            <w:tcW w:w="58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453,383,353</w:t>
            </w:r>
          </w:p>
        </w:tc>
        <w:tc>
          <w:tcPr>
            <w:tcW w:w="34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393,679,367</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484,423,207</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412,397,021</w:t>
            </w:r>
          </w:p>
        </w:tc>
      </w:tr>
      <w:tr>
        <w:trPr>
          <w:trHeight w:val="20"/>
        </w:trPr>
        <w:tc>
          <w:tcPr>
            <w:tcW w:w="1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Original cost adjusted for the accretion of discounts and amortization of premiums on debt investments, if any.</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June 30, 2009 and September 30, 2008.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3880" w:type="dxa"/>
            <w:vAlign w:val="bottom"/>
          </w:tcPr>
          <w:p>
            <w:pPr>
              <w:spacing w:after="0"/>
              <w:rPr>
                <w:sz w:val="14"/>
                <w:szCs w:val="14"/>
                <w:color w:val="auto"/>
              </w:rPr>
            </w:pPr>
          </w:p>
        </w:tc>
        <w:tc>
          <w:tcPr>
            <w:tcW w:w="2180" w:type="dxa"/>
            <w:vAlign w:val="bottom"/>
            <w:gridSpan w:val="2"/>
          </w:tcPr>
          <w:p>
            <w:pPr>
              <w:jc w:val="right"/>
              <w:ind w:right="1380"/>
              <w:spacing w:after="0"/>
              <w:rPr>
                <w:sz w:val="20"/>
                <w:szCs w:val="20"/>
                <w:color w:val="auto"/>
              </w:rPr>
            </w:pPr>
            <w:r>
              <w:rPr>
                <w:rFonts w:ascii="Arial" w:cs="Arial" w:eastAsia="Arial" w:hAnsi="Arial"/>
                <w:sz w:val="14"/>
                <w:szCs w:val="14"/>
                <w:b w:val="1"/>
                <w:bCs w:val="1"/>
                <w:color w:val="auto"/>
                <w:w w:val="85"/>
              </w:rPr>
              <w:t>June 30, 2009</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September 30,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 and Rubber</w:t>
            </w:r>
          </w:p>
        </w:tc>
        <w:tc>
          <w:tcPr>
            <w:tcW w:w="60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11%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3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3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Energy/Utilities</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3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3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3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060" w:type="dxa"/>
            <w:vAlign w:val="bottom"/>
            <w:gridSpan w:val="3"/>
          </w:tcPr>
          <w:p>
            <w:pPr>
              <w:jc w:val="right"/>
              <w:ind w:right="4260"/>
              <w:spacing w:after="0"/>
              <w:rPr>
                <w:sz w:val="20"/>
                <w:szCs w:val="20"/>
                <w:color w:val="auto"/>
              </w:rPr>
            </w:pPr>
            <w:r>
              <w:rPr>
                <w:rFonts w:ascii="Arial" w:cs="Arial" w:eastAsia="Arial" w:hAnsi="Arial"/>
                <w:sz w:val="18"/>
                <w:szCs w:val="18"/>
                <w:color w:val="auto"/>
              </w:rPr>
              <w:t>F-42</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080" w:type="dxa"/>
            <w:vAlign w:val="bottom"/>
            <w:gridSpan w:val="2"/>
          </w:tcPr>
          <w:p>
            <w:pPr>
              <w:jc w:val="right"/>
              <w:ind w:right="1280"/>
              <w:spacing w:after="0"/>
              <w:rPr>
                <w:sz w:val="20"/>
                <w:szCs w:val="20"/>
                <w:color w:val="auto"/>
              </w:rPr>
            </w:pPr>
            <w:r>
              <w:rPr>
                <w:rFonts w:ascii="Arial" w:cs="Arial" w:eastAsia="Arial" w:hAnsi="Arial"/>
                <w:sz w:val="14"/>
                <w:szCs w:val="14"/>
                <w:b w:val="1"/>
                <w:bCs w:val="1"/>
                <w:color w:val="auto"/>
                <w:w w:val="85"/>
              </w:rPr>
              <w:t>June 30, 2009</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September 30,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Amusement, Motion Picture, Entertainment</w:t>
            </w:r>
          </w:p>
        </w:tc>
        <w:tc>
          <w:tcPr>
            <w:tcW w:w="208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4%</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2080" w:type="dxa"/>
            <w:vAlign w:val="bottom"/>
            <w:gridSpan w:val="2"/>
          </w:tcPr>
          <w:p>
            <w:pPr>
              <w:jc w:val="right"/>
              <w:ind w:right="1280"/>
              <w:spacing w:after="0"/>
              <w:rPr>
                <w:sz w:val="20"/>
                <w:szCs w:val="20"/>
                <w:color w:val="auto"/>
              </w:rPr>
            </w:pPr>
            <w:r>
              <w:rPr>
                <w:rFonts w:ascii="Arial" w:cs="Arial" w:eastAsia="Arial" w:hAnsi="Arial"/>
                <w:sz w:val="18"/>
                <w:szCs w:val="18"/>
                <w:color w:val="auto"/>
              </w:rPr>
              <w:t>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208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2080" w:type="dxa"/>
            <w:vAlign w:val="bottom"/>
            <w:gridSpan w:val="2"/>
          </w:tcPr>
          <w:p>
            <w:pPr>
              <w:jc w:val="right"/>
              <w:ind w:right="1280"/>
              <w:spacing w:after="0"/>
              <w:rPr>
                <w:sz w:val="20"/>
                <w:szCs w:val="20"/>
                <w:color w:val="auto"/>
              </w:rPr>
            </w:pPr>
            <w:r>
              <w:rPr>
                <w:rFonts w:ascii="Arial" w:cs="Arial" w:eastAsia="Arial" w:hAnsi="Arial"/>
                <w:sz w:val="18"/>
                <w:szCs w:val="18"/>
                <w:color w:val="auto"/>
              </w:rPr>
              <w:t>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208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Home and Office Furnishings, Housewares, and Durable Consumer Products</w:t>
            </w:r>
          </w:p>
        </w:tc>
        <w:tc>
          <w:tcPr>
            <w:tcW w:w="2080" w:type="dxa"/>
            <w:vAlign w:val="bottom"/>
            <w:gridSpan w:val="2"/>
          </w:tcPr>
          <w:p>
            <w:pPr>
              <w:jc w:val="right"/>
              <w:ind w:right="1280"/>
              <w:spacing w:after="0"/>
              <w:rPr>
                <w:sz w:val="20"/>
                <w:szCs w:val="20"/>
                <w:color w:val="auto"/>
              </w:rPr>
            </w:pPr>
            <w:r>
              <w:rPr>
                <w:rFonts w:ascii="Arial" w:cs="Arial" w:eastAsia="Arial" w:hAnsi="Arial"/>
                <w:sz w:val="18"/>
                <w:szCs w:val="18"/>
                <w:color w:val="auto"/>
              </w:rPr>
              <w:t>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208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2080" w:type="dxa"/>
            <w:vAlign w:val="bottom"/>
            <w:gridSpan w:val="2"/>
          </w:tcPr>
          <w:p>
            <w:pPr>
              <w:jc w:val="right"/>
              <w:ind w:right="128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Store</w:t>
            </w:r>
          </w:p>
        </w:tc>
        <w:tc>
          <w:tcPr>
            <w:tcW w:w="208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OF FINANCIAL INSTRUMENTS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Effective October 1, 2008, the Company adopted SFAS 157 for cash and cash equivalents, investments and long term credit facility. The Company realized no gain or loss as a result of the adoption of SFAS No. 157. SFAS 157 defines fair value as the price that the Company would receive upon selling an investment or pay to transfer a liability in an orderly transaction to a market participant in the principal or most advantageous market for the investment or liability. SFAS 157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the Company. Unobservable inputs are inputs that reflect the assumptions market participants would use in pricing an asset or liability developed based on the best information available in the circumstances.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SFAS No. 157 classifies the inputs used to measure these fair values into the following hierarchy: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 Inputs that are quoted prices (unadjusted) in active markets for identical assets or liabilities, accessible by the Company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that are quoted prices for similar assets or liabilities in active markets, or that are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Inputs that are unobservable for an asset or liability because they are based on the Company’s own assumptions about how market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would price the asset or liability.</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All of the Company’s investments and long term credit facility are classified as Level 3.</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to using the above inputs in cash and cash equivalents, investments and long term credit facility valuations, the Company employs the valuation policy approved by its board of directors that is consistent with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SFAS 157 (see Note 2). Consistent with this valuation policy, the Company evaluates the source of inputs, including any markets in which its investments are trading, in determining fair value.</w:t>
      </w:r>
    </w:p>
    <w:p>
      <w:pPr>
        <w:spacing w:after="0" w:line="13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In April 2009, the FASB issued FASB Staff Position No. 157-4, </w:t>
      </w:r>
      <w:r>
        <w:rPr>
          <w:rFonts w:ascii="Arial" w:cs="Arial" w:eastAsia="Arial" w:hAnsi="Arial"/>
          <w:sz w:val="16"/>
          <w:szCs w:val="16"/>
          <w:i w:val="1"/>
          <w:iCs w:val="1"/>
          <w:color w:val="auto"/>
        </w:rPr>
        <w:t>Determining Fair Value When the Volume and Level of Activity for the Asset or Liability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Have Significantly Decreased and Identifying Transactions That Are Not Orderly </w:t>
      </w:r>
      <w:r>
        <w:rPr>
          <w:rFonts w:ascii="Arial" w:cs="Arial" w:eastAsia="Arial" w:hAnsi="Arial"/>
          <w:sz w:val="16"/>
          <w:szCs w:val="16"/>
          <w:color w:val="auto"/>
        </w:rPr>
        <w:t>(“FSP No. 157-4”). FSP No. 157-4 made amendments to SFAS No. 157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additional guidance for estimating fair value in accordance with SFAS No. 157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the fair value is the price that would be received to sell an asset or paid to transfer a liability in an orderly transaction (that is, not a forced liquidation or distressed sale) between market participants at the measurement date under current market conditions. The guidance in FSP No. 157-4 is effective for periods ending after June 15, 2009; we adopted FSP No. 157-4 on June 30, 2009. The adoption of FSP No. 157-4 did not have a material impact on our financial statements.</w:t>
      </w:r>
    </w:p>
    <w:p>
      <w:pPr>
        <w:spacing w:after="0" w:line="120"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The Company’s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June 30, 2009, our cash and cash equivalents, investments and our long term credit facility were categorized as follows in the fair value hierarchy for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SFAS No. 157 purposes: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9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w w:val="88"/>
              </w:rPr>
              <w:t>Fair Value Measurement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5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Significant</w:t>
            </w:r>
          </w:p>
        </w:tc>
        <w:tc>
          <w:tcPr>
            <w:tcW w:w="5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 Active</w:t>
            </w: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54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Markets for</w:t>
            </w: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54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5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inputs</w:t>
            </w:r>
          </w:p>
        </w:tc>
        <w:tc>
          <w:tcPr>
            <w:tcW w:w="54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660" w:type="dxa"/>
            <w:vAlign w:val="bottom"/>
          </w:tcPr>
          <w:p>
            <w:pPr>
              <w:spacing w:after="0"/>
              <w:rPr>
                <w:sz w:val="14"/>
                <w:szCs w:val="14"/>
                <w:color w:val="auto"/>
              </w:rPr>
            </w:pPr>
          </w:p>
        </w:tc>
        <w:tc>
          <w:tcPr>
            <w:tcW w:w="16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(Level 1)</w:t>
            </w:r>
          </w:p>
        </w:tc>
        <w:tc>
          <w:tcPr>
            <w:tcW w:w="5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54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securities</w:t>
            </w:r>
          </w:p>
        </w:tc>
        <w:tc>
          <w:tcPr>
            <w:tcW w:w="33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$ 366,085,723</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$ 366,085,723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6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27,052,508</w:t>
            </w:r>
          </w:p>
        </w:tc>
        <w:tc>
          <w:tcPr>
            <w:tcW w:w="640" w:type="dxa"/>
            <w:vAlign w:val="bottom"/>
          </w:tcPr>
          <w:p>
            <w:pPr>
              <w:spacing w:after="0"/>
              <w:rPr>
                <w:sz w:val="19"/>
                <w:szCs w:val="19"/>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27,052,508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33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393,138,231</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393,138,231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6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541,136</w:t>
            </w:r>
          </w:p>
        </w:tc>
        <w:tc>
          <w:tcPr>
            <w:tcW w:w="640" w:type="dxa"/>
            <w:vAlign w:val="bottom"/>
          </w:tcPr>
          <w:p>
            <w:pPr>
              <w:spacing w:after="0"/>
              <w:rPr>
                <w:sz w:val="19"/>
                <w:szCs w:val="19"/>
                <w:color w:val="auto"/>
              </w:rPr>
            </w:pP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82"/>
              </w:rPr>
              <w:t>541,136</w:t>
            </w:r>
          </w:p>
        </w:tc>
        <w:tc>
          <w:tcPr>
            <w:tcW w:w="560" w:type="dxa"/>
            <w:vAlign w:val="bottom"/>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Cash Equivalents</w:t>
            </w:r>
          </w:p>
        </w:tc>
        <w:tc>
          <w:tcPr>
            <w:tcW w:w="33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393,679,367</w:t>
            </w: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2"/>
              </w:rPr>
              <w:t>541,136</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393,138,231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Long Term Credit Facility</w:t>
            </w:r>
          </w:p>
        </w:tc>
        <w:tc>
          <w:tcPr>
            <w:tcW w:w="3340" w:type="dxa"/>
            <w:vAlign w:val="bottom"/>
            <w:gridSpan w:val="3"/>
          </w:tcPr>
          <w:p>
            <w:pPr>
              <w:jc w:val="right"/>
              <w:ind w:right="580"/>
              <w:spacing w:after="0"/>
              <w:rPr>
                <w:sz w:val="20"/>
                <w:szCs w:val="20"/>
                <w:color w:val="auto"/>
              </w:rPr>
            </w:pPr>
            <w:r>
              <w:rPr>
                <w:rFonts w:ascii="Arial" w:cs="Arial" w:eastAsia="Arial" w:hAnsi="Arial"/>
                <w:sz w:val="18"/>
                <w:szCs w:val="18"/>
                <w:color w:val="auto"/>
              </w:rPr>
              <w:t>(134,057,558)</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color w:val="auto"/>
              </w:rPr>
              <w:t>(134,057,558)</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340" w:type="dxa"/>
            <w:vAlign w:val="bottom"/>
            <w:gridSpan w:val="3"/>
          </w:tcPr>
          <w:p>
            <w:pPr>
              <w:jc w:val="right"/>
              <w:ind w:right="1740"/>
              <w:spacing w:after="0"/>
              <w:rPr>
                <w:sz w:val="20"/>
                <w:szCs w:val="20"/>
                <w:color w:val="auto"/>
              </w:rPr>
            </w:pPr>
            <w:r>
              <w:rPr>
                <w:rFonts w:ascii="Arial" w:cs="Arial" w:eastAsia="Arial" w:hAnsi="Arial"/>
                <w:sz w:val="18"/>
                <w:szCs w:val="18"/>
                <w:color w:val="auto"/>
              </w:rPr>
              <w:t>F-44</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(Level 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7"/>
              </w:rPr>
              <w:t>Loan and debt</w:t>
            </w:r>
          </w:p>
        </w:tc>
        <w:tc>
          <w:tcPr>
            <w:tcW w:w="14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securities</w:t>
            </w:r>
          </w:p>
        </w:tc>
        <w:tc>
          <w:tcPr>
            <w:tcW w:w="14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1"/>
              </w:rPr>
              <w:t>securities</w:t>
            </w:r>
          </w:p>
        </w:tc>
        <w:tc>
          <w:tcPr>
            <w:tcW w:w="140" w:type="dxa"/>
            <w:vAlign w:val="bottom"/>
          </w:tcPr>
          <w:p>
            <w:pPr>
              <w:spacing w:after="0"/>
              <w:rPr>
                <w:sz w:val="14"/>
                <w:szCs w:val="1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349,260,104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22,887,716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372,147,820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Realized Gains (Losses)</w:t>
            </w:r>
          </w:p>
        </w:tc>
        <w:tc>
          <w:tcPr>
            <w:tcW w:w="10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(30,847,040)</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(30,847,040)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Appreciation / (Depreciation)</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10,220,577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2,101,623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12,322,200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Purchase, PIK and discount / amortization</w:t>
            </w:r>
          </w:p>
        </w:tc>
        <w:tc>
          <w:tcPr>
            <w:tcW w:w="10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50,326,080</w:t>
            </w:r>
          </w:p>
        </w:tc>
        <w:tc>
          <w:tcPr>
            <w:tcW w:w="1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2,063,169</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52,389,249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(12,873,998)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(12,873,998)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Transfers in and /or out of Level 3</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June 30, 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366,085,723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27,052,508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393,138,231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w w:val="98"/>
              </w:rPr>
              <w:t>Amount of total gains or losses for the period included in earnings attributable to the change 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4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rPr>
              <w:t>unrealized gains or losses relating to our Level 3 assets still held at the reporting date and</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w w:val="94"/>
              </w:rPr>
              <w:t>reported within the net change in unrealized gains or losses on investments in our Statement of</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rPr>
              <w:t>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(1,646,713)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3,424,565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1,777,852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(Level 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7"/>
              </w:rPr>
              <w:t>Long Term Credit</w:t>
            </w:r>
          </w:p>
        </w:tc>
      </w:tr>
      <w:tr>
        <w:trPr>
          <w:trHeight w:val="161"/>
        </w:trPr>
        <w:tc>
          <w:tcPr>
            <w:tcW w:w="20" w:type="dxa"/>
            <w:vAlign w:val="bottom"/>
          </w:tcPr>
          <w:p>
            <w:pPr>
              <w:spacing w:after="0"/>
              <w:rPr>
                <w:sz w:val="14"/>
                <w:szCs w:val="14"/>
                <w:color w:val="auto"/>
              </w:rPr>
            </w:pPr>
          </w:p>
        </w:tc>
        <w:tc>
          <w:tcPr>
            <w:tcW w:w="10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162,000,000</w:t>
            </w:r>
          </w:p>
        </w:tc>
      </w:tr>
      <w:tr>
        <w:trPr>
          <w:trHeight w:val="216"/>
        </w:trPr>
        <w:tc>
          <w:tcPr>
            <w:tcW w:w="20" w:type="dxa"/>
            <w:vAlign w:val="bottom"/>
          </w:tcPr>
          <w:p>
            <w:pPr>
              <w:spacing w:after="0"/>
              <w:rPr>
                <w:sz w:val="18"/>
                <w:szCs w:val="18"/>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w:t>
            </w: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(41,796,000)</w:t>
            </w: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unrealized gain included in earnings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(11,446,442)</w:t>
            </w:r>
          </w:p>
        </w:tc>
      </w:tr>
      <w:tr>
        <w:trPr>
          <w:trHeight w:val="216"/>
        </w:trPr>
        <w:tc>
          <w:tcPr>
            <w:tcW w:w="20" w:type="dxa"/>
            <w:vAlign w:val="bottom"/>
          </w:tcPr>
          <w:p>
            <w:pPr>
              <w:spacing w:after="0"/>
              <w:rPr>
                <w:sz w:val="18"/>
                <w:szCs w:val="18"/>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Borrowings</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59,200,000</w:t>
            </w: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(33,900,000)</w:t>
            </w:r>
          </w:p>
        </w:tc>
      </w:tr>
      <w:tr>
        <w:trPr>
          <w:trHeight w:val="223"/>
        </w:trPr>
        <w:tc>
          <w:tcPr>
            <w:tcW w:w="20" w:type="dxa"/>
            <w:vAlign w:val="bottom"/>
          </w:tcPr>
          <w:p>
            <w:pPr>
              <w:spacing w:after="0"/>
              <w:rPr>
                <w:sz w:val="19"/>
                <w:szCs w:val="19"/>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Transfers in and/or out of Level 3</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June 30, 2009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134,057,558</w:t>
            </w:r>
          </w:p>
        </w:tc>
      </w:tr>
    </w:tbl>
    <w:p>
      <w:pPr>
        <w:spacing w:after="0" w:line="15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The carrying value of the Company’s financial instruments approximates fair value. Effective October 1, 2008, the Company adopted Statement of Financial Accounting Standards No. 159, </w:t>
      </w:r>
      <w:r>
        <w:rPr>
          <w:rFonts w:ascii="Arial" w:cs="Arial" w:eastAsia="Arial" w:hAnsi="Arial"/>
          <w:sz w:val="16"/>
          <w:szCs w:val="16"/>
          <w:i w:val="1"/>
          <w:iCs w:val="1"/>
          <w:color w:val="auto"/>
        </w:rPr>
        <w:t>The Fair Value Option for Financial Assets and Liabilities</w:t>
      </w:r>
      <w:r>
        <w:rPr>
          <w:rFonts w:ascii="Arial" w:cs="Arial" w:eastAsia="Arial" w:hAnsi="Arial"/>
          <w:sz w:val="16"/>
          <w:szCs w:val="16"/>
          <w:color w:val="auto"/>
        </w:rPr>
        <w:t>, which provides companies with an option to report selected financial assets and liabilities at fair value, and made an irrevocable election to apply SFAS 159 to its credit facility. The Company elected to use the fair value option for the credit facility to align the measurement attributes of both the assets and liabilities while mitigating volatility in earnings from using different measurement attributes. SFAS 159 establishes presentation and disclosure requirements designed to facilitate comparisons between companies that choose different measurement attributes for similar types of assets and liabilities and to more easily understand the effect of the company’s choice to use fair value on its earnings. SFAS 159 also requires entities to display the fair value of the selected assets and liabilities on the face of the balance sheet and changes in fair value of the credit facility are recorded in the Statement of Operations. The Company has elected not to apply SFAS 159 to any other financial assets or liabilities. For the three months and nine months ended June 30, 2009, approximately $9.2 million was recorded as a change in unrealized appreciation and $11.4 million was recorded as a change in unrealized depreciation on the Credit facility in the Statement of Operations, respectively. The Company has used a nationally recognized independent valuation service to measure the fair value of its credit facility in a manner consistent with the valuation process that the board of directors uses to value investments.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about the eligible instrument(s) for which the Company elected the fair value option under SFAS 159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2009 and for which a transition adjustment was recorded as of October 1,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June 30, 2009</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Carrying Value on</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24"/>
              <w:spacing w:after="0"/>
              <w:rPr>
                <w:sz w:val="20"/>
                <w:szCs w:val="20"/>
                <w:color w:val="auto"/>
              </w:rPr>
            </w:pPr>
            <w:r>
              <w:rPr>
                <w:rFonts w:ascii="Arial" w:cs="Arial" w:eastAsia="Arial" w:hAnsi="Arial"/>
                <w:sz w:val="14"/>
                <w:szCs w:val="14"/>
                <w:b w:val="1"/>
                <w:bCs w:val="1"/>
                <w:color w:val="auto"/>
                <w:w w:val="88"/>
              </w:rPr>
              <w:t>Transition</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Carrying Value on</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vMerge w:val="continue"/>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40"/>
              <w:spacing w:after="0" w:line="148" w:lineRule="exact"/>
              <w:rPr>
                <w:sz w:val="20"/>
                <w:szCs w:val="20"/>
                <w:color w:val="auto"/>
              </w:rPr>
            </w:pPr>
            <w:r>
              <w:rPr>
                <w:rFonts w:ascii="Arial" w:cs="Arial" w:eastAsia="Arial" w:hAnsi="Arial"/>
                <w:sz w:val="14"/>
                <w:szCs w:val="14"/>
                <w:b w:val="1"/>
                <w:bCs w:val="1"/>
                <w:color w:val="auto"/>
                <w:w w:val="86"/>
              </w:rPr>
              <w:t>October 1, 2008</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4"/>
              <w:spacing w:after="0" w:line="148" w:lineRule="exact"/>
              <w:rPr>
                <w:sz w:val="20"/>
                <w:szCs w:val="20"/>
                <w:color w:val="auto"/>
              </w:rPr>
            </w:pPr>
            <w:r>
              <w:rPr>
                <w:rFonts w:ascii="Arial" w:cs="Arial" w:eastAsia="Arial" w:hAnsi="Arial"/>
                <w:sz w:val="14"/>
                <w:szCs w:val="14"/>
                <w:b w:val="1"/>
                <w:bCs w:val="1"/>
                <w:color w:val="auto"/>
                <w:w w:val="87"/>
              </w:rPr>
              <w:t>Adjustment to</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October 1, 2008</w:t>
            </w:r>
          </w:p>
        </w:tc>
        <w:tc>
          <w:tcPr>
            <w:tcW w:w="0" w:type="dxa"/>
            <w:vAlign w:val="bottom"/>
          </w:tcPr>
          <w:p>
            <w:pPr>
              <w:spacing w:after="0"/>
              <w:rPr>
                <w:sz w:val="1"/>
                <w:szCs w:val="1"/>
                <w:color w:val="auto"/>
              </w:rPr>
            </w:pPr>
          </w:p>
        </w:tc>
      </w:tr>
      <w:tr>
        <w:trPr>
          <w:trHeight w:val="129"/>
        </w:trPr>
        <w:tc>
          <w:tcPr>
            <w:tcW w:w="3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before adoption of</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24"/>
              <w:spacing w:after="0" w:line="129" w:lineRule="exact"/>
              <w:rPr>
                <w:sz w:val="20"/>
                <w:szCs w:val="20"/>
                <w:color w:val="auto"/>
              </w:rPr>
            </w:pPr>
            <w:r>
              <w:rPr>
                <w:rFonts w:ascii="Arial" w:cs="Arial" w:eastAsia="Arial" w:hAnsi="Arial"/>
                <w:sz w:val="14"/>
                <w:szCs w:val="14"/>
                <w:b w:val="1"/>
                <w:bCs w:val="1"/>
                <w:color w:val="auto"/>
                <w:w w:val="87"/>
              </w:rPr>
              <w:t>Retained</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after adoption of</w:t>
            </w: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89"/>
              </w:rPr>
              <w:t>Carrying Value</w:t>
            </w: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2"/>
              </w:rPr>
              <w:t>Fair Value</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6"/>
              </w:rPr>
              <w:t>SFAS 159</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6"/>
              </w:rPr>
              <w:t>Earnings</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6"/>
              </w:rPr>
              <w:t>SFAS 159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(long term)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134,057,558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134,057,558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162,000,000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41,796,000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120,204,000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Revolving Credit Facility (temporary draw)</w:t>
            </w:r>
            <w:r>
              <w:rPr>
                <w:rFonts w:ascii="Arial" w:cs="Arial" w:eastAsia="Arial" w:hAnsi="Arial"/>
                <w:sz w:val="11"/>
                <w:szCs w:val="11"/>
                <w:color w:val="auto"/>
              </w:rPr>
              <w:t>(1)</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40,000,000</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134,057,558</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134,057,558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41,796,000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160,204,000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Temporary draw may include credit facility borrowings at the end of each quarter to maximize investment flexibility (See note 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Pending investment in longer-term portfolio holdings, the Company may invest temporarily in U.S. Treasury Bills (of varying maturities), repurchase agreements, money markets or repo-like treasury securities. These temporary investments with maturities of 90 days or less are deemed cash equivalents and are included in the Schedule of Investments. At the end of each fiscal quarter, the Company may take proactive steps to preserve investment flexibility for the next quarter, which is dependent upon the composition of its total assets at quarter end. The Company may accomplish this in several ways, including purchasing U.S. Treasury Bills and closing out its positions on a net cash basis after quarter-end, temporarily drawing down on its Revolving Credit Facility or utilizing repurchase agreements or other balance sheet transactions as are deemed appropriate for this purpose. These amounts are excluded from adjusted gross assets for purposes of computing the management fee. U.S. Treasury Bills with maturities greater than 60 days from the time of purchase are marked to market in a manner consistent with PennantPark Investment’s valuation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REPURCHASE AGREEMENTS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PennantPark Investment may enter into repurchase agreements as part of its investment program. In these transactions, PennantPark Investment’s custodian takes possession of collateral pledged by the counterparty. The collateral is marked to market daily to ensure that the value, plus accrued interest, is at least equal to the repurchase price. In the event of default of the obligor to repurchase, PennantPark Investment would have a contractual right to liquidate the collateral and apply the proceeds in satisfaction of the underlying obligation. Under certain circumstances, including the event of default or bankruptcy by the counterparty to the agreement, realization and/or retention of the collateral or proceeds may be subject to legal proceedings. There were no repurchase agreements outstanding on June 30, 2009 or September 30, 2008.</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8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2"/>
          </w:tcPr>
          <w:p>
            <w:pPr>
              <w:jc w:val="right"/>
              <w:ind w:right="1620"/>
              <w:spacing w:after="0"/>
              <w:rPr>
                <w:sz w:val="20"/>
                <w:szCs w:val="20"/>
                <w:color w:val="auto"/>
              </w:rPr>
            </w:pPr>
            <w:r>
              <w:rPr>
                <w:rFonts w:ascii="Arial" w:cs="Arial" w:eastAsia="Arial" w:hAnsi="Arial"/>
                <w:sz w:val="14"/>
                <w:szCs w:val="14"/>
                <w:b w:val="1"/>
                <w:bCs w:val="1"/>
                <w:color w:val="auto"/>
                <w:w w:val="87"/>
              </w:rPr>
              <w:t>June 30, 2009</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2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14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adoption of fair value option (credit facility)</w:t>
            </w:r>
            <w:r>
              <w:rPr>
                <w:rFonts w:ascii="Arial" w:cs="Arial" w:eastAsia="Arial" w:hAnsi="Arial"/>
                <w:sz w:val="11"/>
                <w:szCs w:val="11"/>
                <w:color w:val="auto"/>
              </w:rPr>
              <w:t>(1)</w:t>
            </w:r>
          </w:p>
        </w:tc>
        <w:tc>
          <w:tcPr>
            <w:tcW w:w="1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20" w:type="dxa"/>
            <w:vAlign w:val="bottom"/>
            <w:gridSpan w:val="2"/>
          </w:tcPr>
          <w:p>
            <w:pPr>
              <w:spacing w:after="0"/>
              <w:rPr>
                <w:sz w:val="20"/>
                <w:szCs w:val="20"/>
                <w:color w:val="auto"/>
              </w:rPr>
            </w:pPr>
            <w:r>
              <w:rPr>
                <w:rFonts w:ascii="Arial" w:cs="Arial" w:eastAsia="Arial" w:hAnsi="Arial"/>
                <w:sz w:val="18"/>
                <w:szCs w:val="18"/>
                <w:color w:val="auto"/>
              </w:rPr>
              <w:t>Adjusted net asset value, beginning of period</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11.99</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investment income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Net realized and change in unrealized loss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2"/>
          </w:tcPr>
          <w:p>
            <w:pPr>
              <w:jc w:val="right"/>
              <w:ind w:right="1380"/>
              <w:spacing w:after="0"/>
              <w:rPr>
                <w:sz w:val="20"/>
                <w:szCs w:val="20"/>
                <w:color w:val="auto"/>
              </w:rPr>
            </w:pPr>
            <w:r>
              <w:rPr>
                <w:rFonts w:ascii="Arial" w:cs="Arial" w:eastAsia="Arial" w:hAnsi="Arial"/>
                <w:sz w:val="18"/>
                <w:szCs w:val="18"/>
                <w:color w:val="auto"/>
              </w:rPr>
              <w:t>(0.34)</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Dividends and distributions to stockholders</w:t>
            </w:r>
            <w:r>
              <w:rPr>
                <w:rFonts w:ascii="Arial" w:cs="Arial" w:eastAsia="Arial" w:hAnsi="Arial"/>
                <w:sz w:val="11"/>
                <w:szCs w:val="11"/>
                <w:color w:val="auto"/>
              </w:rPr>
              <w:t>(2)</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2"/>
          </w:tcPr>
          <w:p>
            <w:pPr>
              <w:jc w:val="right"/>
              <w:ind w:right="1380"/>
              <w:spacing w:after="0"/>
              <w:rPr>
                <w:sz w:val="20"/>
                <w:szCs w:val="20"/>
                <w:color w:val="auto"/>
              </w:rPr>
            </w:pPr>
            <w:r>
              <w:rPr>
                <w:rFonts w:ascii="Arial" w:cs="Arial" w:eastAsia="Arial" w:hAnsi="Arial"/>
                <w:sz w:val="18"/>
                <w:szCs w:val="18"/>
                <w:color w:val="auto"/>
              </w:rPr>
              <w:t>(0.72)</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Per Share Market value, end of period</w:t>
            </w:r>
          </w:p>
        </w:tc>
        <w:tc>
          <w:tcPr>
            <w:tcW w:w="12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7.10</w:t>
            </w:r>
          </w:p>
        </w:tc>
        <w:tc>
          <w:tcPr>
            <w:tcW w:w="14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10.88%*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21,068,772</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21,068,772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11"/>
                <w:szCs w:val="11"/>
                <w:color w:val="auto"/>
              </w:rPr>
              <w:t>(4)</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2"/>
          </w:tcPr>
          <w:p>
            <w:pPr>
              <w:jc w:val="right"/>
              <w:ind w:right="1120"/>
              <w:spacing w:after="0"/>
              <w:rPr>
                <w:sz w:val="20"/>
                <w:szCs w:val="20"/>
                <w:color w:val="auto"/>
              </w:rPr>
            </w:pPr>
            <w:r>
              <w:rPr>
                <w:rFonts w:ascii="Arial" w:cs="Arial" w:eastAsia="Arial" w:hAnsi="Arial"/>
                <w:sz w:val="18"/>
                <w:szCs w:val="18"/>
                <w:color w:val="auto"/>
              </w:rPr>
              <w:t>7.47%**</w:t>
            </w: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2.23%**</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Total expenses to average net assets</w:t>
            </w:r>
            <w:r>
              <w:rPr>
                <w:rFonts w:ascii="Arial" w:cs="Arial" w:eastAsia="Arial" w:hAnsi="Arial"/>
                <w:sz w:val="11"/>
                <w:szCs w:val="11"/>
                <w:color w:val="auto"/>
              </w:rPr>
              <w:t>(5)</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2"/>
          </w:tcPr>
          <w:p>
            <w:pPr>
              <w:jc w:val="right"/>
              <w:ind w:right="1120"/>
              <w:spacing w:after="0"/>
              <w:rPr>
                <w:sz w:val="20"/>
                <w:szCs w:val="20"/>
                <w:color w:val="auto"/>
              </w:rPr>
            </w:pPr>
            <w:r>
              <w:rPr>
                <w:rFonts w:ascii="Arial" w:cs="Arial" w:eastAsia="Arial" w:hAnsi="Arial"/>
                <w:sz w:val="18"/>
                <w:szCs w:val="18"/>
                <w:color w:val="auto"/>
              </w:rPr>
              <w:t>9.70%**</w:t>
            </w: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9.78%**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2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246,977,240</w:t>
            </w:r>
          </w:p>
        </w:tc>
        <w:tc>
          <w:tcPr>
            <w:tcW w:w="14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210,728,260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Average cost of debt outstanding</w:t>
            </w:r>
          </w:p>
        </w:tc>
        <w:tc>
          <w:tcPr>
            <w:tcW w:w="12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173,118,681</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119,472,732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Average cost of debt per share</w:t>
            </w:r>
          </w:p>
        </w:tc>
        <w:tc>
          <w:tcPr>
            <w:tcW w:w="12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8.22</w:t>
            </w:r>
          </w:p>
        </w:tc>
        <w:tc>
          <w:tcPr>
            <w:tcW w:w="14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4.58%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Annualized</w:t>
      </w:r>
    </w:p>
    <w:p>
      <w:pPr>
        <w:spacing w:after="0" w:line="90" w:lineRule="exact"/>
        <w:rPr>
          <w:sz w:val="20"/>
          <w:szCs w:val="20"/>
          <w:color w:val="auto"/>
        </w:rPr>
      </w:pPr>
    </w:p>
    <w:p>
      <w:pPr>
        <w:ind w:left="460" w:right="240" w:hanging="452"/>
        <w:spacing w:after="0" w:line="332" w:lineRule="auto"/>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On October 1, 2008, the Company adopted SFAS 159 and made an irrevocable election to apply the fair value option to our credit facility liability. Upon our adoption our Net Asset Value increased by $41.8 million, or $1.99 per share, due to the fair value adjustment related to our credit facility.</w:t>
      </w:r>
    </w:p>
    <w:p>
      <w:pPr>
        <w:spacing w:after="0" w:line="4" w:lineRule="exact"/>
        <w:rPr>
          <w:rFonts w:ascii="Arial" w:cs="Arial" w:eastAsia="Arial" w:hAnsi="Arial"/>
          <w:sz w:val="16"/>
          <w:szCs w:val="16"/>
          <w:color w:val="auto"/>
        </w:rPr>
      </w:pPr>
    </w:p>
    <w:p>
      <w:pPr>
        <w:ind w:left="460" w:right="120" w:hanging="452"/>
        <w:spacing w:after="0" w:line="268"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spacing w:after="0" w:line="50"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the Company’s dividend reinvestment plan.</w:t>
      </w:r>
    </w:p>
    <w:p>
      <w:pPr>
        <w:spacing w:after="0" w:line="50"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ratio of operating expenses to average net assets for the nine months ended June 30, 2009 before adoption of SFAS 159 was 9.39%, and for the fiscal year ended September 30, 2008, the ratio before management fee waiver was 6.47%</w:t>
      </w:r>
    </w:p>
    <w:p>
      <w:pPr>
        <w:spacing w:after="0" w:line="50"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ratio of total expenses to average net assets for the nine months ended June 30, 2009 before the adoption of SFAS 159 was 12.20%, and for the fiscal year ended September 30, 2008 the ratio before management fee waiver was 9.13%.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CREDIT FACILITY</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On June 25, 2007, PennantPark Investment entered into a Senior Secured Revolving Credit Agreement (the “Credit Agreement”, “Revolving Credit Facility”, or “credit facility”) among PennantPark Investment, various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lenders and SunTrust Bank, as administrative agent for the lenders. SunTrust Robinson Humphrey Capital Markets acted as the joint lead arranger and book-runner. As of June 30, 2009, there was $187.3 million in outstanding borrowings under the Credit Agreement with an average annual interest rate of 1.31%.</w:t>
      </w:r>
    </w:p>
    <w:p>
      <w:pPr>
        <w:spacing w:after="0" w:line="6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Under the Credit Agreement, the lenders agreed to extend credit to PennantPark Investment in an initial aggregate principal or face amount not exceeding $300,000,000 at any one time outstanding. The Credit Agreement is a five-year revolving facility (with a stated maturity date of June 25, 2012) and is secured by substantially all of the assets in PennantPark Investment’s portfolio. Pricing is set at 100 basis points over London Inter Bank Offer Rate.</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Credit Agreement contains customary affirmative and negative covenants, including the maintenance of a minimum stockholders’ equity, the maintenance of a ratio not less than 200% of our total assets less liabilities (other than indebtedness) to our total outstanding indebtedness, maintenance of a blended percentage of the values of our portfolio companies, and restrictions on certain payments and issuance of debt. For a complete list of such covenants, see our current report on Form 8-K, filed with the SEC on June 28, 2007.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or cash flows. Unfunded debt investments described in the statement of assets and liabilities represent unfunded delayed draws on investments in first lien secured debt.</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340"/>
          </w:cols>
          <w:pgMar w:left="240" w:top="459" w:right="31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326" w:lineRule="exact"/>
        <w:rPr>
          <w:sz w:val="20"/>
          <w:szCs w:val="20"/>
          <w:color w:val="auto"/>
        </w:rPr>
      </w:pPr>
    </w:p>
    <w:p>
      <w:pPr>
        <w:ind w:left="1380" w:hanging="1372"/>
        <w:spacing w:after="0"/>
        <w:tabs>
          <w:tab w:leader="none" w:pos="138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117"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The Index to Financial Statements on page F-1 of this Registration Statement is hereby incorporated by reference.</w:t>
      </w:r>
    </w:p>
    <w:p>
      <w:pPr>
        <w:spacing w:after="0" w:line="117" w:lineRule="exact"/>
        <w:rPr>
          <w:rFonts w:ascii="Arial" w:cs="Arial" w:eastAsia="Arial" w:hAnsi="Arial"/>
          <w:sz w:val="18"/>
          <w:szCs w:val="18"/>
          <w:color w:val="auto"/>
        </w:rPr>
      </w:pPr>
    </w:p>
    <w:p>
      <w:pPr>
        <w:ind w:left="1380" w:hanging="1372"/>
        <w:spacing w:after="0"/>
        <w:tabs>
          <w:tab w:leader="none" w:pos="138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1380" w:right="160" w:hanging="1372"/>
        <w:spacing w:after="0" w:line="268" w:lineRule="auto"/>
        <w:tabs>
          <w:tab w:leader="none" w:pos="1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Articles of Incorporation of the Registrant (Incorporated by reference to Exhibit 99(a) to the Registrant’s Pre-Effective Amendment No. 3 to the Registration Statement on Form N-2/A (File No. 333-140092), filed on April 5, 2007).</w:t>
      </w:r>
    </w:p>
    <w:p>
      <w:pPr>
        <w:spacing w:after="0" w:line="77" w:lineRule="exact"/>
        <w:rPr>
          <w:rFonts w:ascii="Arial" w:cs="Arial" w:eastAsia="Arial" w:hAnsi="Arial"/>
          <w:sz w:val="18"/>
          <w:szCs w:val="18"/>
          <w:color w:val="auto"/>
        </w:rPr>
      </w:pPr>
    </w:p>
    <w:p>
      <w:pPr>
        <w:ind w:left="1380" w:hanging="1372"/>
        <w:spacing w:after="0" w:line="268" w:lineRule="auto"/>
        <w:tabs>
          <w:tab w:leader="none" w:pos="1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Amended and Restated By-Laws of the Registrant (Incorporated by reference to Exhibit 3.2 to the Registrant’s Report on Form 10-K (File No. 814-00736), filed on December 13, 2007).</w:t>
      </w:r>
    </w:p>
    <w:p>
      <w:pPr>
        <w:sectPr>
          <w:pgSz w:w="11900" w:h="16838" w:orient="portrait"/>
          <w:cols w:equalWidth="0" w:num="1">
            <w:col w:w="11400"/>
          </w:cols>
          <w:pgMar w:left="240" w:top="460" w:right="259" w:bottom="1440" w:gutter="0" w:footer="0" w:header="0"/>
        </w:sectPr>
      </w:pP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(d)(1)*</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Specimen Stock Certificate.</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(d)(2)*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Subscription Certificate.</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(d)(3)*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Indenture.</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(d)(4)*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Subscription Agent Agreement.</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(d)(5)*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Warrant Agreement.</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Dividend Reinvestment Plan.</w:t>
      </w:r>
    </w:p>
    <w:p>
      <w:pPr>
        <w:spacing w:after="0" w:line="139"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Investment Management Agreement between the Registrant and PennantPark Investment Advisers, LLC.</w:t>
      </w:r>
    </w:p>
    <w:p>
      <w:pPr>
        <w:spacing w:after="0" w:line="151"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(h)(1)*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Underwriting Agreement for equity.</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(h)(2)*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Underwriting Agreement for debt.</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(j)(1)*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Custodian Agreement between the Registrant and PFPC Trust Company.</w:t>
      </w:r>
    </w:p>
    <w:p>
      <w:pPr>
        <w:spacing w:after="0" w:line="151"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(k)(1)*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Administration Agreement between the Registrant and PennantPark Investment Administration, LLC.</w:t>
      </w:r>
    </w:p>
    <w:p>
      <w:pPr>
        <w:spacing w:after="0" w:line="139"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(k)(2)*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Stock Transfer Agency Agreement between the Registrant and American Stock Transfer and Trust Company.</w:t>
      </w:r>
    </w:p>
    <w:p>
      <w:pPr>
        <w:spacing w:after="0" w:line="151"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(k)(3)*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Trademark License Agreement.</w:t>
      </w:r>
    </w:p>
    <w:p>
      <w:pPr>
        <w:spacing w:after="0" w:line="151"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(k)(4)</w:t>
      </w:r>
    </w:p>
    <w:p>
      <w:pPr>
        <w:spacing w:after="0" w:line="20" w:lineRule="exact"/>
        <w:rPr>
          <w:sz w:val="20"/>
          <w:szCs w:val="20"/>
          <w:color w:val="auto"/>
        </w:rPr>
      </w:pPr>
      <w:r>
        <w:rPr>
          <w:sz w:val="20"/>
          <w:szCs w:val="20"/>
          <w:color w:val="auto"/>
        </w:rPr>
        <w:br w:type="column"/>
      </w:r>
    </w:p>
    <w:p>
      <w:pPr>
        <w:ind w:right="620"/>
        <w:spacing w:after="0" w:line="268" w:lineRule="auto"/>
        <w:rPr>
          <w:sz w:val="20"/>
          <w:szCs w:val="20"/>
          <w:color w:val="auto"/>
        </w:rPr>
      </w:pPr>
      <w:r>
        <w:rPr>
          <w:rFonts w:ascii="Arial" w:cs="Arial" w:eastAsia="Arial" w:hAnsi="Arial"/>
          <w:sz w:val="18"/>
          <w:szCs w:val="18"/>
          <w:color w:val="auto"/>
        </w:rPr>
        <w:t>Senior Secured Revolving Credit Agreement between Registrant and various lenders (Incorporated by reference to Exhibit 99.2 to the Registrant’s Report on Form 8-K (File No. 814-00736), filed on June 28, 2007).</w:t>
      </w:r>
    </w:p>
    <w:p>
      <w:pPr>
        <w:spacing w:after="0" w:line="78"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(k)(5)*</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Arial" w:cs="Arial" w:eastAsia="Arial" w:hAnsi="Arial"/>
          <w:sz w:val="18"/>
          <w:szCs w:val="18"/>
          <w:color w:val="auto"/>
        </w:rPr>
        <w:t>Registration Rights Agreement among the Registrant and the purchasers in a private placement of 320,000 shares of common stock of the Registrant.</w:t>
      </w:r>
    </w:p>
    <w:p>
      <w:pPr>
        <w:spacing w:after="0" w:line="78"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Opinion and Consent of Venable LLP.</w:t>
      </w:r>
    </w:p>
    <w:p>
      <w:pPr>
        <w:spacing w:after="0" w:line="151"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(n)(1)**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Consent of Independent Registered Public Accounting Firm.</w:t>
      </w:r>
    </w:p>
    <w:p>
      <w:pPr>
        <w:spacing w:after="0" w:line="139"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(n)(2)**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Awareness Letter of Independent Registered Public Accounting Firm.</w:t>
      </w:r>
    </w:p>
    <w:p>
      <w:pPr>
        <w:spacing w:after="0" w:line="151"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89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780"/>
        <w:spacing w:after="0" w:line="268" w:lineRule="auto"/>
        <w:rPr>
          <w:sz w:val="20"/>
          <w:szCs w:val="20"/>
          <w:color w:val="auto"/>
        </w:rPr>
      </w:pPr>
      <w:r>
        <w:rPr>
          <w:rFonts w:ascii="Arial" w:cs="Arial" w:eastAsia="Arial" w:hAnsi="Arial"/>
          <w:sz w:val="18"/>
          <w:szCs w:val="18"/>
          <w:color w:val="auto"/>
        </w:rPr>
        <w:t>Joint Code of Ethics of the Registrant and PennantPark Investment Advisers, LLC (Incorporated by reference to Exhibit 14.1 to the Registrant’s Report on Form 10-K (File No. 814-00736), filed on December 13, 2007).</w:t>
      </w:r>
    </w:p>
    <w:p>
      <w:pPr>
        <w:spacing w:after="0" w:line="118"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ind w:right="9780" w:firstLine="8"/>
        <w:spacing w:after="0" w:line="431" w:lineRule="auto"/>
        <w:tabs>
          <w:tab w:leader="none" w:pos="44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Previously filed. ** Filed herewith.</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C-1</w:t>
      </w:r>
    </w:p>
    <w:p>
      <w:pPr>
        <w:sectPr>
          <w:pgSz w:w="11900" w:h="16838" w:orient="portrait"/>
          <w:cols w:equalWidth="0" w:num="1">
            <w:col w:w="11400"/>
          </w:cols>
          <w:pgMar w:left="240" w:top="460" w:right="259" w:bottom="1440" w:gutter="0" w:footer="0" w:header="0"/>
          <w:type w:val="continuous"/>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contained under the heading “Plan of Distribution” in this Registration Statement is hereby incorporated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following table sets forth the estimated expenses to be incurred by the Registrant in connection with the offering described in this registration statement: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4"/>
          </w:tcPr>
          <w:p>
            <w:pPr>
              <w:spacing w:after="0"/>
              <w:rPr>
                <w:sz w:val="20"/>
                <w:szCs w:val="20"/>
                <w:color w:val="auto"/>
              </w:rPr>
            </w:pPr>
            <w:r>
              <w:rPr>
                <w:rFonts w:ascii="Arial" w:cs="Arial" w:eastAsia="Arial" w:hAnsi="Arial"/>
                <w:sz w:val="18"/>
                <w:szCs w:val="18"/>
                <w:color w:val="auto"/>
              </w:rPr>
              <w:t>NASDAQ listing fee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4"/>
          </w:tcPr>
          <w:p>
            <w:pPr>
              <w:spacing w:after="0"/>
              <w:rPr>
                <w:sz w:val="20"/>
                <w:szCs w:val="20"/>
                <w:color w:val="auto"/>
              </w:rPr>
            </w:pPr>
            <w:r>
              <w:rPr>
                <w:rFonts w:ascii="Arial" w:cs="Arial" w:eastAsia="Arial" w:hAnsi="Arial"/>
                <w:sz w:val="18"/>
                <w:szCs w:val="18"/>
                <w:color w:val="auto"/>
              </w:rPr>
              <w:t>Printing (other than certificates)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4"/>
          </w:tcPr>
          <w:p>
            <w:pPr>
              <w:spacing w:after="0"/>
              <w:rPr>
                <w:sz w:val="20"/>
                <w:szCs w:val="20"/>
                <w:color w:val="auto"/>
              </w:rPr>
            </w:pPr>
            <w:r>
              <w:rPr>
                <w:rFonts w:ascii="Arial" w:cs="Arial" w:eastAsia="Arial" w:hAnsi="Arial"/>
                <w:sz w:val="18"/>
                <w:szCs w:val="18"/>
                <w:color w:val="auto"/>
              </w:rPr>
              <w:t>Accounting fees and expenses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40" w:type="dxa"/>
            <w:vAlign w:val="bottom"/>
            <w:gridSpan w:val="4"/>
            <w:vMerge w:val="restart"/>
          </w:tcPr>
          <w:p>
            <w:pPr>
              <w:ind w:left="460"/>
              <w:spacing w:after="0"/>
              <w:rPr>
                <w:sz w:val="20"/>
                <w:szCs w:val="20"/>
                <w:color w:val="auto"/>
              </w:rPr>
            </w:pPr>
            <w:r>
              <w:rPr>
                <w:rFonts w:ascii="Arial" w:cs="Arial" w:eastAsia="Arial" w:hAnsi="Arial"/>
                <w:sz w:val="18"/>
                <w:szCs w:val="18"/>
                <w:color w:val="auto"/>
              </w:rPr>
              <w:t>All of the expense set forth above shall be borne by the Registrant.</w:t>
            </w: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740" w:type="dxa"/>
            <w:vAlign w:val="bottom"/>
            <w:gridSpan w:val="4"/>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20" w:type="dxa"/>
            <w:vAlign w:val="bottom"/>
          </w:tcPr>
          <w:p>
            <w:pPr>
              <w:spacing w:after="0"/>
              <w:rPr>
                <w:sz w:val="20"/>
                <w:szCs w:val="20"/>
                <w:color w:val="auto"/>
              </w:rPr>
            </w:pPr>
            <w:r>
              <w:rPr>
                <w:rFonts w:ascii="Arial" w:cs="Arial" w:eastAsia="Arial" w:hAnsi="Arial"/>
                <w:sz w:val="18"/>
                <w:szCs w:val="18"/>
                <w:b w:val="1"/>
                <w:bCs w:val="1"/>
                <w:color w:val="auto"/>
              </w:rPr>
              <w:t>Item 28.</w:t>
            </w:r>
          </w:p>
        </w:tc>
        <w:tc>
          <w:tcPr>
            <w:tcW w:w="8920" w:type="dxa"/>
            <w:vAlign w:val="bottom"/>
            <w:gridSpan w:val="3"/>
          </w:tcPr>
          <w:p>
            <w:pPr>
              <w:ind w:left="220"/>
              <w:spacing w:after="0"/>
              <w:rPr>
                <w:sz w:val="20"/>
                <w:szCs w:val="20"/>
                <w:color w:val="auto"/>
              </w:rPr>
            </w:pPr>
            <w:r>
              <w:rPr>
                <w:rFonts w:ascii="Arial" w:cs="Arial" w:eastAsia="Arial" w:hAnsi="Arial"/>
                <w:sz w:val="18"/>
                <w:szCs w:val="18"/>
                <w:b w:val="1"/>
                <w:bCs w:val="1"/>
                <w:color w:val="auto"/>
              </w:rPr>
              <w:t>Persons controlled by or under common control with the registrant</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740" w:type="dxa"/>
            <w:vAlign w:val="bottom"/>
            <w:gridSpan w:val="4"/>
          </w:tcPr>
          <w:p>
            <w:pPr>
              <w:ind w:left="460"/>
              <w:spacing w:after="0"/>
              <w:rPr>
                <w:sz w:val="20"/>
                <w:szCs w:val="20"/>
                <w:color w:val="auto"/>
              </w:rPr>
            </w:pPr>
            <w:r>
              <w:rPr>
                <w:rFonts w:ascii="Arial" w:cs="Arial" w:eastAsia="Arial" w:hAnsi="Arial"/>
                <w:sz w:val="18"/>
                <w:szCs w:val="18"/>
                <w:color w:val="auto"/>
              </w:rPr>
              <w:t>Not Applicable.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2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8920" w:type="dxa"/>
            <w:vAlign w:val="bottom"/>
            <w:gridSpan w:val="3"/>
          </w:tcPr>
          <w:p>
            <w:pPr>
              <w:ind w:left="220"/>
              <w:spacing w:after="0"/>
              <w:rPr>
                <w:sz w:val="20"/>
                <w:szCs w:val="20"/>
                <w:color w:val="auto"/>
              </w:rPr>
            </w:pPr>
            <w:r>
              <w:rPr>
                <w:rFonts w:ascii="Arial" w:cs="Arial" w:eastAsia="Arial" w:hAnsi="Arial"/>
                <w:sz w:val="18"/>
                <w:szCs w:val="18"/>
                <w:b w:val="1"/>
                <w:bCs w:val="1"/>
                <w:color w:val="auto"/>
              </w:rPr>
              <w:t>Number of holders of shares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740" w:type="dxa"/>
            <w:vAlign w:val="bottom"/>
            <w:gridSpan w:val="4"/>
          </w:tcPr>
          <w:p>
            <w:pPr>
              <w:ind w:left="460"/>
              <w:spacing w:after="0"/>
              <w:rPr>
                <w:sz w:val="20"/>
                <w:szCs w:val="20"/>
                <w:color w:val="auto"/>
              </w:rPr>
            </w:pPr>
            <w:r>
              <w:rPr>
                <w:rFonts w:ascii="Arial" w:cs="Arial" w:eastAsia="Arial" w:hAnsi="Arial"/>
                <w:sz w:val="18"/>
                <w:szCs w:val="18"/>
                <w:color w:val="auto"/>
              </w:rPr>
              <w:t>As of August 31, 2009</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Class</w:t>
            </w:r>
          </w:p>
        </w:tc>
        <w:tc>
          <w:tcPr>
            <w:tcW w:w="6780" w:type="dxa"/>
            <w:vAlign w:val="bottom"/>
          </w:tcPr>
          <w:p>
            <w:pPr>
              <w:spacing w:after="0"/>
              <w:rPr>
                <w:sz w:val="24"/>
                <w:szCs w:val="24"/>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89"/>
              </w:rPr>
              <w:t>Number of Record Holders</w:t>
            </w:r>
          </w:p>
        </w:tc>
        <w:tc>
          <w:tcPr>
            <w:tcW w:w="0" w:type="dxa"/>
            <w:vAlign w:val="bottom"/>
          </w:tcPr>
          <w:p>
            <w:pPr>
              <w:spacing w:after="0"/>
              <w:rPr>
                <w:sz w:val="1"/>
                <w:szCs w:val="1"/>
                <w:color w:val="auto"/>
              </w:rPr>
            </w:pPr>
          </w:p>
        </w:tc>
      </w:tr>
      <w:tr>
        <w:trPr>
          <w:trHeight w:val="210"/>
        </w:trPr>
        <w:tc>
          <w:tcPr>
            <w:tcW w:w="820" w:type="dxa"/>
            <w:vAlign w:val="bottom"/>
            <w:shd w:val="clear" w:color="auto" w:fill="CCEEFF"/>
          </w:tcPr>
          <w:p>
            <w:pPr>
              <w:spacing w:after="0"/>
              <w:rPr>
                <w:sz w:val="18"/>
                <w:szCs w:val="18"/>
                <w:color w:val="auto"/>
              </w:rPr>
            </w:pPr>
          </w:p>
        </w:tc>
        <w:tc>
          <w:tcPr>
            <w:tcW w:w="8920" w:type="dxa"/>
            <w:vAlign w:val="bottom"/>
            <w:gridSpan w:val="3"/>
            <w:shd w:val="clear" w:color="auto" w:fill="CCEEFF"/>
          </w:tcPr>
          <w:p>
            <w:pPr>
              <w:jc w:val="center"/>
              <w:ind w:right="5440"/>
              <w:spacing w:after="0"/>
              <w:rPr>
                <w:sz w:val="20"/>
                <w:szCs w:val="20"/>
                <w:color w:val="auto"/>
              </w:rPr>
            </w:pPr>
            <w:r>
              <w:rPr>
                <w:rFonts w:ascii="Arial" w:cs="Arial" w:eastAsia="Arial" w:hAnsi="Arial"/>
                <w:sz w:val="18"/>
                <w:szCs w:val="18"/>
                <w:color w:val="auto"/>
                <w:w w:val="88"/>
              </w:rPr>
              <w:t>Common Stock, $0.001 par value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89"/>
              </w:rPr>
              <w:t>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information contained under the heading “Limitation on Liability of Directors and Officers; Indemnification and Advance of Expenses”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Adviser</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Adviser and its officers and directors is set forth in its Form ADV, as filed with the Securities and Exchange Commission (SEC File No. 801-67622), and is incorporated herein by reference.</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accounts, books and other documents required to be maintained by Section 31(a) of the 1940 Act, and the rules thereunder are maintained at the offices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84" w:lineRule="exact"/>
        <w:rPr>
          <w:sz w:val="20"/>
          <w:szCs w:val="20"/>
          <w:color w:val="auto"/>
        </w:rPr>
      </w:pPr>
    </w:p>
    <w:p>
      <w:pPr>
        <w:ind w:left="5580" w:right="2560" w:hanging="4677"/>
        <w:spacing w:after="0" w:line="440" w:lineRule="auto"/>
        <w:tabs>
          <w:tab w:leader="none" w:pos="114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 PennantPark Investment Corporation, 590 Madison Avenue, 15th Floor, New York, NY 10022 C-2</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Transfer Agent, American Stock Transfer and Trust Company, 59 Maiden Lane, New York, NY 10038;</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Custodian, PFPC Trust Company, 8800 Tinicum Boulevard, 4th Floor, Philadelphia, PA 19153;</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Adviser, PennantPark Investment Advisers, LLC, 590 Madison Avenue, 15th Floor, New York, NY 10022</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hereby undertakes:</w:t>
      </w:r>
    </w:p>
    <w:p>
      <w:pPr>
        <w:spacing w:after="0" w:line="90" w:lineRule="exact"/>
        <w:rPr>
          <w:sz w:val="20"/>
          <w:szCs w:val="20"/>
          <w:color w:val="auto"/>
        </w:rPr>
      </w:pPr>
    </w:p>
    <w:p>
      <w:pPr>
        <w:jc w:val="both"/>
        <w:ind w:left="460" w:right="180" w:firstLine="443"/>
        <w:spacing w:after="0" w:line="259"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suspend the offering of its units until it amends its prospectus if (a) subsequent to the effective date of its registration statement, the net asset value declines more than 10 percent from its net asset value as of the effective date of the Registration Statement or (b) the net asset value increases to an amount greater than its net proceeds as stated in the prospectus.</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the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920" w:firstLine="421"/>
        <w:spacing w:after="0" w:line="259" w:lineRule="auto"/>
        <w:tabs>
          <w:tab w:leader="none" w:pos="1598"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59" w:lineRule="exact"/>
        <w:rPr>
          <w:rFonts w:ascii="Arial" w:cs="Arial" w:eastAsia="Arial" w:hAnsi="Arial"/>
          <w:sz w:val="18"/>
          <w:szCs w:val="18"/>
          <w:color w:val="auto"/>
        </w:rPr>
      </w:pPr>
    </w:p>
    <w:p>
      <w:pPr>
        <w:ind w:left="920" w:right="300" w:firstLine="421"/>
        <w:spacing w:after="0" w:line="268" w:lineRule="auto"/>
        <w:tabs>
          <w:tab w:leader="none" w:pos="1647"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left="460" w:right="340" w:firstLine="443"/>
        <w:spacing w:after="0" w:line="259"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 and</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 and</w:t>
      </w:r>
    </w:p>
    <w:p>
      <w:pPr>
        <w:spacing w:after="0" w:line="50" w:lineRule="exact"/>
        <w:rPr>
          <w:rFonts w:ascii="Arial" w:cs="Arial" w:eastAsia="Arial" w:hAnsi="Arial"/>
          <w:sz w:val="18"/>
          <w:szCs w:val="18"/>
          <w:color w:val="auto"/>
        </w:rPr>
      </w:pPr>
    </w:p>
    <w:p>
      <w:pPr>
        <w:ind w:left="460" w:right="40" w:firstLine="443"/>
        <w:spacing w:after="0" w:line="290" w:lineRule="auto"/>
        <w:tabs>
          <w:tab w:leader="none" w:pos="114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7" w:lineRule="exact"/>
        <w:rPr>
          <w:rFonts w:ascii="Arial" w:cs="Arial" w:eastAsia="Arial" w:hAnsi="Arial"/>
          <w:sz w:val="16"/>
          <w:szCs w:val="16"/>
          <w:color w:val="auto"/>
        </w:rPr>
      </w:pPr>
    </w:p>
    <w:p>
      <w:pPr>
        <w:jc w:val="both"/>
        <w:ind w:left="460" w:firstLine="443"/>
        <w:spacing w:after="0" w:line="306" w:lineRule="auto"/>
        <w:tabs>
          <w:tab w:leader="none" w:pos="114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purchaser by means of any of the following communications, the undersigned Registrant will be a seller to the purchaser and will be considered to offer or sell such securities to the purchaser:</w:t>
      </w:r>
    </w:p>
    <w:p>
      <w:pPr>
        <w:spacing w:after="0" w:line="51" w:lineRule="exact"/>
        <w:rPr>
          <w:sz w:val="20"/>
          <w:szCs w:val="20"/>
          <w:color w:val="auto"/>
        </w:rPr>
      </w:pPr>
    </w:p>
    <w:p>
      <w:pPr>
        <w:ind w:left="920" w:right="340" w:firstLine="421"/>
        <w:spacing w:after="0" w:line="268" w:lineRule="auto"/>
        <w:tabs>
          <w:tab w:leader="none" w:pos="1549"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497 under the Securities Act;</w:t>
      </w:r>
    </w:p>
    <w:p>
      <w:pPr>
        <w:spacing w:after="0" w:line="50" w:lineRule="exact"/>
        <w:rPr>
          <w:rFonts w:ascii="Arial" w:cs="Arial" w:eastAsia="Arial" w:hAnsi="Arial"/>
          <w:sz w:val="18"/>
          <w:szCs w:val="18"/>
          <w:color w:val="auto"/>
        </w:rPr>
      </w:pPr>
    </w:p>
    <w:p>
      <w:pPr>
        <w:ind w:left="920" w:right="380" w:firstLine="421"/>
        <w:spacing w:after="0" w:line="332" w:lineRule="auto"/>
        <w:tabs>
          <w:tab w:leader="none" w:pos="1598"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4" w:lineRule="exact"/>
        <w:rPr>
          <w:rFonts w:ascii="Arial" w:cs="Arial" w:eastAsia="Arial" w:hAnsi="Arial"/>
          <w:sz w:val="16"/>
          <w:szCs w:val="16"/>
          <w:color w:val="auto"/>
        </w:rPr>
      </w:pPr>
    </w:p>
    <w:p>
      <w:pPr>
        <w:ind w:left="1640" w:hanging="299"/>
        <w:spacing w:after="0"/>
        <w:tabs>
          <w:tab w:leader="none" w:pos="16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90" w:lineRule="exact"/>
        <w:rPr>
          <w:rFonts w:ascii="Arial" w:cs="Arial" w:eastAsia="Arial" w:hAnsi="Arial"/>
          <w:sz w:val="18"/>
          <w:szCs w:val="18"/>
          <w:color w:val="auto"/>
        </w:rPr>
      </w:pPr>
    </w:p>
    <w:p>
      <w:pPr>
        <w:ind w:left="460" w:firstLine="443"/>
        <w:spacing w:after="0" w:line="254" w:lineRule="auto"/>
        <w:tabs>
          <w:tab w:leader="none" w:pos="11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file a post-effective amendment to the registration statement, and to suspend any offers or sales pursuant the registration statement until such post-effective amendment has been declared effective under the 1993 Act, in the event the shares of the Registrant are trading below its net asset value and either (i) the Registrant receives, or has been advised by its independent registered accounting firm that it will receive, an audit report reflecting substantial doubt regarding the Registrant’s ability to continue as a going concern or (ii) the Registrant has concluded that a material adverse change has occurred in its financial position or results of operations that has caused the financial statements and other disclosures on the basis of which the offering would be made to be materially misleading.</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the Registrant has duly caused this amendment no. 2 to the Registration Statement to be signed on its behalf by the undersigned, thereunto duly authorized, in the City of New York, and State of New York, on the 21</w:t>
      </w:r>
      <w:r>
        <w:rPr>
          <w:rFonts w:ascii="Arial" w:cs="Arial" w:eastAsia="Arial" w:hAnsi="Arial"/>
          <w:sz w:val="10"/>
          <w:szCs w:val="10"/>
          <w:color w:val="auto"/>
        </w:rPr>
        <w:t>st</w:t>
      </w:r>
      <w:r>
        <w:rPr>
          <w:rFonts w:ascii="Arial" w:cs="Arial" w:eastAsia="Arial" w:hAnsi="Arial"/>
          <w:sz w:val="16"/>
          <w:szCs w:val="16"/>
          <w:color w:val="auto"/>
        </w:rPr>
        <w:t xml:space="preserve"> day of September, 2009.</w:t>
      </w:r>
    </w:p>
    <w:p>
      <w:pPr>
        <w:spacing w:after="0" w:line="38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r>
      <w:tr>
        <w:trPr>
          <w:trHeight w:val="131"/>
        </w:trPr>
        <w:tc>
          <w:tcPr>
            <w:tcW w:w="380" w:type="dxa"/>
            <w:vAlign w:val="bottom"/>
          </w:tcPr>
          <w:p>
            <w:pPr>
              <w:spacing w:after="0" w:line="131" w:lineRule="exact"/>
              <w:rPr>
                <w:sz w:val="20"/>
                <w:szCs w:val="20"/>
                <w:color w:val="auto"/>
              </w:rPr>
            </w:pPr>
            <w:r>
              <w:rPr>
                <w:rFonts w:ascii="Arial" w:cs="Arial" w:eastAsia="Arial" w:hAnsi="Arial"/>
                <w:sz w:val="14"/>
                <w:szCs w:val="14"/>
                <w:b w:val="1"/>
                <w:bCs w:val="1"/>
                <w:color w:val="auto"/>
                <w:w w:val="84"/>
              </w:rPr>
              <w:t>Name:</w:t>
            </w:r>
          </w:p>
        </w:tc>
        <w:tc>
          <w:tcPr>
            <w:tcW w:w="41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1"/>
              </w:rPr>
              <w:t>Arthur H. Penn</w:t>
            </w:r>
          </w:p>
        </w:tc>
      </w:tr>
      <w:tr>
        <w:trPr>
          <w:trHeight w:val="174"/>
        </w:trPr>
        <w:tc>
          <w:tcPr>
            <w:tcW w:w="38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 and Chairman of the Board</w:t>
            </w:r>
          </w:p>
        </w:tc>
      </w:tr>
    </w:tbl>
    <w:p>
      <w:pPr>
        <w:spacing w:after="0" w:line="14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amendment no. 2 to the Registration Statement has been signed by the following persons in the capacities set forth below on the 21</w:t>
      </w:r>
      <w:r>
        <w:rPr>
          <w:rFonts w:ascii="Arial" w:cs="Arial" w:eastAsia="Arial" w:hAnsi="Arial"/>
          <w:sz w:val="11"/>
          <w:szCs w:val="11"/>
          <w:color w:val="auto"/>
        </w:rPr>
        <w:t>st</w:t>
      </w:r>
      <w:r>
        <w:rPr>
          <w:rFonts w:ascii="Arial" w:cs="Arial" w:eastAsia="Arial" w:hAnsi="Arial"/>
          <w:sz w:val="18"/>
          <w:szCs w:val="18"/>
          <w:color w:val="auto"/>
        </w:rPr>
        <w:t xml:space="preserve"> day of September, 2009.</w:t>
      </w:r>
    </w:p>
    <w:p>
      <w:pPr>
        <w:spacing w:after="0" w:line="209" w:lineRule="exact"/>
        <w:rPr>
          <w:sz w:val="20"/>
          <w:szCs w:val="20"/>
          <w:color w:val="auto"/>
        </w:rPr>
      </w:pPr>
    </w:p>
    <w:p>
      <w:pPr>
        <w:ind w:left="2360"/>
        <w:spacing w:after="0"/>
        <w:tabs>
          <w:tab w:leader="none" w:pos="836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tcPr>
          <w:p>
            <w:pPr>
              <w:jc w:val="right"/>
              <w:ind w:right="1787"/>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c>
          <w:tcPr>
            <w:tcW w:w="6100" w:type="dxa"/>
            <w:vAlign w:val="bottom"/>
          </w:tcPr>
          <w:p>
            <w:pPr>
              <w:jc w:val="center"/>
              <w:ind w:left="752"/>
              <w:spacing w:after="0"/>
              <w:rPr>
                <w:sz w:val="20"/>
                <w:szCs w:val="20"/>
                <w:color w:val="auto"/>
              </w:rPr>
            </w:pPr>
            <w:r>
              <w:rPr>
                <w:rFonts w:ascii="Arial" w:cs="Arial" w:eastAsia="Arial" w:hAnsi="Arial"/>
                <w:sz w:val="18"/>
                <w:szCs w:val="18"/>
                <w:color w:val="auto"/>
                <w:w w:val="90"/>
              </w:rPr>
              <w:t>Chairman of the Board of Directors and Chief Executive Officer (Principal</w:t>
            </w:r>
          </w:p>
        </w:tc>
      </w:tr>
      <w:tr>
        <w:trPr>
          <w:trHeight w:val="202"/>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0" w:type="dxa"/>
            <w:vAlign w:val="bottom"/>
          </w:tcPr>
          <w:p>
            <w:pPr>
              <w:jc w:val="center"/>
              <w:ind w:right="367"/>
              <w:spacing w:after="0"/>
              <w:rPr>
                <w:sz w:val="20"/>
                <w:szCs w:val="20"/>
                <w:color w:val="auto"/>
              </w:rPr>
            </w:pPr>
            <w:r>
              <w:rPr>
                <w:rFonts w:ascii="Arial" w:cs="Arial" w:eastAsia="Arial" w:hAnsi="Arial"/>
                <w:sz w:val="14"/>
                <w:szCs w:val="14"/>
                <w:b w:val="1"/>
                <w:bCs w:val="1"/>
                <w:color w:val="auto"/>
                <w:w w:val="93"/>
              </w:rPr>
              <w:t>Arthur H. Penn</w:t>
            </w:r>
          </w:p>
        </w:tc>
        <w:tc>
          <w:tcPr>
            <w:tcW w:w="6100" w:type="dxa"/>
            <w:vAlign w:val="bottom"/>
          </w:tcPr>
          <w:p>
            <w:pPr>
              <w:jc w:val="center"/>
              <w:ind w:left="772"/>
              <w:spacing w:after="0" w:line="202" w:lineRule="exact"/>
              <w:rPr>
                <w:sz w:val="20"/>
                <w:szCs w:val="20"/>
                <w:color w:val="auto"/>
              </w:rPr>
            </w:pPr>
            <w:r>
              <w:rPr>
                <w:rFonts w:ascii="Arial" w:cs="Arial" w:eastAsia="Arial" w:hAnsi="Arial"/>
                <w:sz w:val="18"/>
                <w:szCs w:val="18"/>
                <w:color w:val="auto"/>
                <w:w w:val="92"/>
              </w:rPr>
              <w:t>Executive Officer)</w:t>
            </w:r>
          </w:p>
        </w:tc>
      </w:tr>
      <w:tr>
        <w:trPr>
          <w:trHeight w:val="426"/>
        </w:trPr>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jc w:val="right"/>
              <w:ind w:right="1987"/>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VIV</w:t>
            </w:r>
            <w:r>
              <w:rPr>
                <w:rFonts w:ascii="Arial" w:cs="Arial" w:eastAsia="Arial" w:hAnsi="Arial"/>
                <w:sz w:val="18"/>
                <w:szCs w:val="18"/>
                <w:color w:val="auto"/>
              </w:rPr>
              <w:t xml:space="preserve"> E</w:t>
            </w:r>
            <w:r>
              <w:rPr>
                <w:rFonts w:ascii="Arial" w:cs="Arial" w:eastAsia="Arial" w:hAnsi="Arial"/>
                <w:sz w:val="14"/>
                <w:szCs w:val="14"/>
                <w:color w:val="auto"/>
              </w:rPr>
              <w:t>FRAT</w:t>
            </w:r>
          </w:p>
        </w:tc>
        <w:tc>
          <w:tcPr>
            <w:tcW w:w="6100" w:type="dxa"/>
            <w:vAlign w:val="bottom"/>
          </w:tcPr>
          <w:p>
            <w:pPr>
              <w:jc w:val="center"/>
              <w:ind w:left="772"/>
              <w:spacing w:after="0"/>
              <w:rPr>
                <w:sz w:val="20"/>
                <w:szCs w:val="20"/>
                <w:color w:val="auto"/>
              </w:rPr>
            </w:pPr>
            <w:r>
              <w:rPr>
                <w:rFonts w:ascii="Arial" w:cs="Arial" w:eastAsia="Arial" w:hAnsi="Arial"/>
                <w:sz w:val="18"/>
                <w:szCs w:val="18"/>
                <w:color w:val="auto"/>
                <w:w w:val="90"/>
              </w:rPr>
              <w:t>Chief Financial Officer and Treasurer (Principal Financial and Accounting</w:t>
            </w:r>
          </w:p>
        </w:tc>
      </w:tr>
      <w:tr>
        <w:trPr>
          <w:trHeight w:val="202"/>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0" w:type="dxa"/>
            <w:vAlign w:val="bottom"/>
          </w:tcPr>
          <w:p>
            <w:pPr>
              <w:jc w:val="center"/>
              <w:ind w:right="367"/>
              <w:spacing w:after="0"/>
              <w:rPr>
                <w:sz w:val="20"/>
                <w:szCs w:val="20"/>
                <w:color w:val="auto"/>
              </w:rPr>
            </w:pPr>
            <w:r>
              <w:rPr>
                <w:rFonts w:ascii="Arial" w:cs="Arial" w:eastAsia="Arial" w:hAnsi="Arial"/>
                <w:sz w:val="14"/>
                <w:szCs w:val="14"/>
                <w:b w:val="1"/>
                <w:bCs w:val="1"/>
                <w:color w:val="auto"/>
                <w:w w:val="91"/>
              </w:rPr>
              <w:t>Aviv Efrat</w:t>
            </w:r>
          </w:p>
        </w:tc>
        <w:tc>
          <w:tcPr>
            <w:tcW w:w="6100" w:type="dxa"/>
            <w:vAlign w:val="bottom"/>
          </w:tcPr>
          <w:p>
            <w:pPr>
              <w:jc w:val="center"/>
              <w:ind w:left="772"/>
              <w:spacing w:after="0" w:line="202" w:lineRule="exact"/>
              <w:rPr>
                <w:sz w:val="20"/>
                <w:szCs w:val="20"/>
                <w:color w:val="auto"/>
              </w:rPr>
            </w:pPr>
            <w:r>
              <w:rPr>
                <w:rFonts w:ascii="Arial" w:cs="Arial" w:eastAsia="Arial" w:hAnsi="Arial"/>
                <w:sz w:val="18"/>
                <w:szCs w:val="18"/>
                <w:color w:val="auto"/>
                <w:w w:val="94"/>
              </w:rPr>
              <w:t>Officer)</w:t>
            </w:r>
          </w:p>
        </w:tc>
      </w:tr>
      <w:tr>
        <w:trPr>
          <w:trHeight w:val="426"/>
        </w:trPr>
        <w:tc>
          <w:tcPr>
            <w:tcW w:w="5040" w:type="dxa"/>
            <w:vAlign w:val="bottom"/>
            <w:gridSpan w:val="3"/>
          </w:tcPr>
          <w:p>
            <w:pPr>
              <w:jc w:val="right"/>
              <w:ind w:right="2287"/>
              <w:spacing w:after="0"/>
              <w:rPr>
                <w:sz w:val="20"/>
                <w:szCs w:val="20"/>
                <w:color w:val="auto"/>
              </w:rPr>
            </w:pPr>
            <w:r>
              <w:rPr>
                <w:rFonts w:ascii="Arial" w:cs="Arial" w:eastAsia="Arial" w:hAnsi="Arial"/>
                <w:sz w:val="18"/>
                <w:szCs w:val="18"/>
                <w:color w:val="auto"/>
              </w:rPr>
              <w:t>*</w:t>
            </w:r>
          </w:p>
        </w:tc>
        <w:tc>
          <w:tcPr>
            <w:tcW w:w="6100" w:type="dxa"/>
            <w:vAlign w:val="bottom"/>
          </w:tcPr>
          <w:p>
            <w:pPr>
              <w:spacing w:after="0"/>
              <w:rPr>
                <w:sz w:val="24"/>
                <w:szCs w:val="24"/>
                <w:color w:val="auto"/>
              </w:rPr>
            </w:pPr>
          </w:p>
        </w:tc>
      </w:tr>
      <w:tr>
        <w:trPr>
          <w:trHeight w:val="238"/>
        </w:trPr>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tcBorders>
              <w:top w:val="single" w:sz="8" w:color="auto"/>
            </w:tcBorders>
          </w:tcPr>
          <w:p>
            <w:pPr>
              <w:jc w:val="center"/>
              <w:ind w:right="367"/>
              <w:spacing w:after="0"/>
              <w:rPr>
                <w:sz w:val="20"/>
                <w:szCs w:val="20"/>
                <w:color w:val="auto"/>
              </w:rPr>
            </w:pPr>
            <w:r>
              <w:rPr>
                <w:rFonts w:ascii="Arial" w:cs="Arial" w:eastAsia="Arial" w:hAnsi="Arial"/>
                <w:sz w:val="14"/>
                <w:szCs w:val="14"/>
                <w:b w:val="1"/>
                <w:bCs w:val="1"/>
                <w:color w:val="auto"/>
                <w:w w:val="89"/>
              </w:rPr>
              <w:t>Adam K. Bernstein</w:t>
            </w:r>
          </w:p>
        </w:tc>
        <w:tc>
          <w:tcPr>
            <w:tcW w:w="610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r>
      <w:tr>
        <w:trPr>
          <w:trHeight w:val="417"/>
        </w:trPr>
        <w:tc>
          <w:tcPr>
            <w:tcW w:w="504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6100" w:type="dxa"/>
            <w:vAlign w:val="bottom"/>
          </w:tcPr>
          <w:p>
            <w:pPr>
              <w:spacing w:after="0"/>
              <w:rPr>
                <w:sz w:val="24"/>
                <w:szCs w:val="24"/>
                <w:color w:val="auto"/>
              </w:rPr>
            </w:pPr>
          </w:p>
        </w:tc>
      </w:tr>
      <w:tr>
        <w:trPr>
          <w:trHeight w:val="238"/>
        </w:trPr>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600" w:type="dxa"/>
            <w:vAlign w:val="bottom"/>
            <w:tcBorders>
              <w:top w:val="single" w:sz="8" w:color="auto"/>
            </w:tcBorders>
          </w:tcPr>
          <w:p>
            <w:pPr>
              <w:jc w:val="center"/>
              <w:ind w:right="367"/>
              <w:spacing w:after="0"/>
              <w:rPr>
                <w:sz w:val="20"/>
                <w:szCs w:val="20"/>
                <w:color w:val="auto"/>
              </w:rPr>
            </w:pPr>
            <w:r>
              <w:rPr>
                <w:rFonts w:ascii="Arial" w:cs="Arial" w:eastAsia="Arial" w:hAnsi="Arial"/>
                <w:sz w:val="14"/>
                <w:szCs w:val="14"/>
                <w:b w:val="1"/>
                <w:bCs w:val="1"/>
                <w:color w:val="auto"/>
                <w:w w:val="85"/>
              </w:rPr>
              <w:t>Jeffrey Flug</w:t>
            </w:r>
          </w:p>
        </w:tc>
        <w:tc>
          <w:tcPr>
            <w:tcW w:w="610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r>
      <w:tr>
        <w:trPr>
          <w:trHeight w:val="417"/>
        </w:trPr>
        <w:tc>
          <w:tcPr>
            <w:tcW w:w="5040" w:type="dxa"/>
            <w:vAlign w:val="bottom"/>
            <w:gridSpan w:val="3"/>
          </w:tcPr>
          <w:p>
            <w:pPr>
              <w:jc w:val="right"/>
              <w:ind w:right="2287"/>
              <w:spacing w:after="0"/>
              <w:rPr>
                <w:sz w:val="20"/>
                <w:szCs w:val="20"/>
                <w:color w:val="auto"/>
              </w:rPr>
            </w:pPr>
            <w:r>
              <w:rPr>
                <w:rFonts w:ascii="Arial" w:cs="Arial" w:eastAsia="Arial" w:hAnsi="Arial"/>
                <w:sz w:val="18"/>
                <w:szCs w:val="18"/>
                <w:color w:val="auto"/>
              </w:rPr>
              <w:t>*</w:t>
            </w:r>
          </w:p>
        </w:tc>
        <w:tc>
          <w:tcPr>
            <w:tcW w:w="6100" w:type="dxa"/>
            <w:vAlign w:val="bottom"/>
          </w:tcPr>
          <w:p>
            <w:pPr>
              <w:spacing w:after="0"/>
              <w:rPr>
                <w:sz w:val="24"/>
                <w:szCs w:val="24"/>
                <w:color w:val="auto"/>
              </w:rPr>
            </w:pPr>
          </w:p>
        </w:tc>
      </w:tr>
      <w:tr>
        <w:trPr>
          <w:trHeight w:val="238"/>
        </w:trPr>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tcBorders>
              <w:top w:val="single" w:sz="8" w:color="auto"/>
            </w:tcBorders>
          </w:tcPr>
          <w:p>
            <w:pPr>
              <w:jc w:val="center"/>
              <w:ind w:right="367"/>
              <w:spacing w:after="0"/>
              <w:rPr>
                <w:sz w:val="20"/>
                <w:szCs w:val="20"/>
                <w:color w:val="auto"/>
              </w:rPr>
            </w:pPr>
            <w:r>
              <w:rPr>
                <w:rFonts w:ascii="Arial" w:cs="Arial" w:eastAsia="Arial" w:hAnsi="Arial"/>
                <w:sz w:val="14"/>
                <w:szCs w:val="14"/>
                <w:b w:val="1"/>
                <w:bCs w:val="1"/>
                <w:color w:val="auto"/>
                <w:w w:val="88"/>
              </w:rPr>
              <w:t>Marshall Brozost</w:t>
            </w:r>
          </w:p>
        </w:tc>
        <w:tc>
          <w:tcPr>
            <w:tcW w:w="610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r>
      <w:tr>
        <w:trPr>
          <w:trHeight w:val="417"/>
        </w:trPr>
        <w:tc>
          <w:tcPr>
            <w:tcW w:w="5040" w:type="dxa"/>
            <w:vAlign w:val="bottom"/>
            <w:gridSpan w:val="3"/>
          </w:tcPr>
          <w:p>
            <w:pPr>
              <w:jc w:val="right"/>
              <w:ind w:right="2287"/>
              <w:spacing w:after="0"/>
              <w:rPr>
                <w:sz w:val="20"/>
                <w:szCs w:val="20"/>
                <w:color w:val="auto"/>
              </w:rPr>
            </w:pPr>
            <w:r>
              <w:rPr>
                <w:rFonts w:ascii="Arial" w:cs="Arial" w:eastAsia="Arial" w:hAnsi="Arial"/>
                <w:sz w:val="18"/>
                <w:szCs w:val="18"/>
                <w:color w:val="auto"/>
              </w:rPr>
              <w:t>*</w:t>
            </w:r>
          </w:p>
        </w:tc>
        <w:tc>
          <w:tcPr>
            <w:tcW w:w="6100" w:type="dxa"/>
            <w:vAlign w:val="bottom"/>
          </w:tcPr>
          <w:p>
            <w:pPr>
              <w:spacing w:after="0"/>
              <w:rPr>
                <w:sz w:val="24"/>
                <w:szCs w:val="24"/>
                <w:color w:val="auto"/>
              </w:rPr>
            </w:pPr>
          </w:p>
        </w:tc>
      </w:tr>
      <w:tr>
        <w:trPr>
          <w:trHeight w:val="238"/>
        </w:trPr>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tcBorders>
              <w:top w:val="single" w:sz="8" w:color="auto"/>
            </w:tcBorders>
          </w:tcPr>
          <w:p>
            <w:pPr>
              <w:jc w:val="center"/>
              <w:ind w:right="367"/>
              <w:spacing w:after="0"/>
              <w:rPr>
                <w:sz w:val="20"/>
                <w:szCs w:val="20"/>
                <w:color w:val="auto"/>
              </w:rPr>
            </w:pPr>
            <w:r>
              <w:rPr>
                <w:rFonts w:ascii="Arial" w:cs="Arial" w:eastAsia="Arial" w:hAnsi="Arial"/>
                <w:sz w:val="14"/>
                <w:szCs w:val="14"/>
                <w:b w:val="1"/>
                <w:bCs w:val="1"/>
                <w:color w:val="auto"/>
                <w:w w:val="88"/>
              </w:rPr>
              <w:t>Samuel L. Katz</w:t>
            </w:r>
          </w:p>
        </w:tc>
        <w:tc>
          <w:tcPr>
            <w:tcW w:w="610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r>
    </w:tbl>
    <w:p>
      <w:pPr>
        <w:spacing w:after="0" w:line="181" w:lineRule="exact"/>
        <w:rPr>
          <w:sz w:val="20"/>
          <w:szCs w:val="20"/>
          <w:color w:val="auto"/>
        </w:rPr>
      </w:pPr>
    </w:p>
    <w:p>
      <w:pPr>
        <w:ind w:left="5580" w:right="1660" w:hanging="5572"/>
        <w:spacing w:after="0" w:line="440" w:lineRule="auto"/>
        <w:tabs>
          <w:tab w:leader="none" w:pos="45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Signed by Aviv Efrat on behalf of those identified pursuant to his designation as an attorney-in-fact signed by each on April 1, 2008. C-5</w:t>
      </w:r>
    </w:p>
    <w:p>
      <w:pPr>
        <w:sectPr>
          <w:pgSz w:w="11900" w:h="16838" w:orient="portrait"/>
          <w:cols w:equalWidth="0" w:num="1">
            <w:col w:w="11420"/>
          </w:cols>
          <w:pgMar w:left="240" w:top="460"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(n)(1)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consent to the use of our reports dated November 20, 2008 for the PennantPark Investment Corporation included herein and to the references to our firm under the headings “Selected Financial Data”, “Senior Securities”, and “Independent Registered Public Accounting Firm” in Post-Effective Amendment No. 2 to the Registration Statement on Form N-2.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603375" cy="3600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6033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21, 2009</w:t>
      </w:r>
    </w:p>
    <w:p>
      <w:pPr>
        <w:sectPr>
          <w:pgSz w:w="11900" w:h="16838" w:orient="portrait"/>
          <w:cols w:equalWidth="0" w:num="1">
            <w:col w:w="11420"/>
          </w:cols>
          <w:pgMar w:left="240" w:top="125"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(n)(2)</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Awareness Letter of Independent Registered Public Accounting Firm</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 Securities Act Registration No. 333-150033 and Investment Company Act of 1940 File No. 814-00736.</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With respect to the amendment to the subject registration statement, we acknowledge our awareness of the use therein of our report dated August 5, 2009 related to our review of interim financial information.</w:t>
      </w:r>
    </w:p>
    <w:p>
      <w:pPr>
        <w:spacing w:after="0" w:line="132"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603375" cy="3600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6033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21, 2009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1)"/>
      <w:numFmt w:val="decimal"/>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1)"/>
      <w:numFmt w:val="decimal"/>
      <w:start w:val="1"/>
    </w:lvl>
  </w:abstractNum>
  <w:abstractNum w:abstractNumId="5">
    <w:nsid w:val="47398C89"/>
    <w:multiLevelType w:val="hybridMultilevel"/>
    <w:lvl w:ilvl="0">
      <w:lvlJc w:val="left"/>
      <w:lvlText w:val="(%1)"/>
      <w:numFmt w:val="decimal"/>
      <w:start w:val="7"/>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1)"/>
      <w:numFmt w:val="decimal"/>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1)"/>
      <w:numFmt w:val="decimal"/>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1)"/>
      <w:numFmt w:val="decimal"/>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1)"/>
      <w:numFmt w:val="decimal"/>
      <w:start w:val="1"/>
    </w:lvl>
  </w:abstractNum>
  <w:abstractNum w:abstractNumId="21">
    <w:nsid w:val="4AD084E9"/>
    <w:multiLevelType w:val="hybridMultilevel"/>
    <w:lvl w:ilvl="0">
      <w:lvlJc w:val="left"/>
      <w:lvlText w:val="%1)"/>
      <w:numFmt w:val="decimal"/>
      <w:start w:val="1"/>
    </w:lvl>
  </w:abstractNum>
  <w:abstractNum w:abstractNumId="22">
    <w:nsid w:val="1F48EAA1"/>
    <w:multiLevelType w:val="hybridMultilevel"/>
    <w:lvl w:ilvl="0">
      <w:lvlJc w:val="left"/>
      <w:lvlText w:val="%1)"/>
      <w:numFmt w:val="decimal"/>
      <w:start w:val="4"/>
    </w:lvl>
  </w:abstractNum>
  <w:abstractNum w:abstractNumId="23">
    <w:nsid w:val="1381823A"/>
    <w:multiLevelType w:val="hybridMultilevel"/>
    <w:lvl w:ilvl="0">
      <w:lvlJc w:val="left"/>
      <w:lvlText w:val="(%1)"/>
      <w:numFmt w:val="lowerLetter"/>
      <w:start w:val="6"/>
    </w:lvl>
  </w:abstractNum>
  <w:abstractNum w:abstractNumId="24">
    <w:nsid w:val="5DB70AE5"/>
    <w:multiLevelType w:val="hybridMultilevel"/>
    <w:lvl w:ilvl="0">
      <w:lvlJc w:val="left"/>
      <w:lvlText w:val="(%1)"/>
      <w:numFmt w:val="decimal"/>
      <w:start w:val="1"/>
    </w:lvl>
  </w:abstractNum>
  <w:abstractNum w:abstractNumId="25">
    <w:nsid w:val="100F8FCA"/>
    <w:multiLevelType w:val="hybridMultilevel"/>
    <w:lvl w:ilvl="0">
      <w:lvlJc w:val="left"/>
      <w:lvlText w:val="(%1)"/>
      <w:numFmt w:val="decimal"/>
      <w:start w:val="1"/>
    </w:lvl>
  </w:abstractNum>
  <w:abstractNum w:abstractNumId="26">
    <w:nsid w:val="6590700B"/>
    <w:multiLevelType w:val="hybridMultilevel"/>
    <w:lvl w:ilvl="0">
      <w:lvlJc w:val="left"/>
      <w:lvlText w:val="(%1)"/>
      <w:numFmt w:val="decimal"/>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1)"/>
      <w:numFmt w:val="decimal"/>
      <w:start w:val="1"/>
    </w:lvl>
  </w:abstractNum>
  <w:abstractNum w:abstractNumId="33">
    <w:nsid w:val="168E121F"/>
    <w:multiLevelType w:val="hybridMultilevel"/>
    <w:lvl w:ilvl="0">
      <w:lvlJc w:val="left"/>
      <w:lvlText w:val="%1)"/>
      <w:numFmt w:val="decimal"/>
      <w:start w:val="3"/>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1)"/>
      <w:numFmt w:val="decimal"/>
      <w:start w:val="1"/>
    </w:lvl>
  </w:abstractNum>
  <w:abstractNum w:abstractNumId="36">
    <w:nsid w:val="5DC79EA8"/>
    <w:multiLevelType w:val="hybridMultilevel"/>
    <w:lvl w:ilvl="0">
      <w:lvlJc w:val="left"/>
      <w:lvlText w:val="(%1)"/>
      <w:numFmt w:val="decimal"/>
      <w:start w:val="1"/>
    </w:lvl>
  </w:abstractNum>
  <w:abstractNum w:abstractNumId="37">
    <w:nsid w:val="540A471C"/>
    <w:multiLevelType w:val="hybridMultilevel"/>
    <w:lvl w:ilvl="0">
      <w:lvlJc w:val="left"/>
      <w:lvlText w:val="(%1)"/>
      <w:numFmt w:val="decimal"/>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1)"/>
      <w:numFmt w:val="decimal"/>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
      <w:numFmt w:val="bullet"/>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
      <w:numFmt w:val="bullet"/>
      <w:start w:val="1"/>
    </w:lvl>
    <w:lvl w:ilvl="1">
      <w:lvlJc w:val="left"/>
      <w:lvlText w:val="="/>
      <w:numFmt w:val="bullet"/>
      <w:start w:val="1"/>
    </w:lvl>
  </w:abstractNum>
  <w:abstractNum w:abstractNumId="45">
    <w:nsid w:val="8F2B15E"/>
    <w:multiLevelType w:val="hybridMultilevel"/>
    <w:lvl w:ilvl="0">
      <w:lvlJc w:val="left"/>
      <w:lvlText w:val="(%1)"/>
      <w:numFmt w:val="decimal"/>
      <w:start w:val="1"/>
    </w:lvl>
  </w:abstractNum>
  <w:abstractNum w:abstractNumId="46">
    <w:nsid w:val="1A32234B"/>
    <w:multiLevelType w:val="hybridMultilevel"/>
    <w:lvl w:ilvl="0">
      <w:lvlJc w:val="left"/>
      <w:lvlText w:val="•"/>
      <w:numFmt w:val="bullet"/>
      <w:start w:val="1"/>
    </w:lvl>
  </w:abstractNum>
  <w:abstractNum w:abstractNumId="47">
    <w:nsid w:val="3B0FD379"/>
    <w:multiLevelType w:val="hybridMultilevel"/>
    <w:lvl w:ilvl="0">
      <w:lvlJc w:val="left"/>
      <w:lvlText w:val="•"/>
      <w:numFmt w:val="bullet"/>
      <w:start w:val="1"/>
    </w:lvl>
  </w:abstractNum>
  <w:abstractNum w:abstractNumId="48">
    <w:nsid w:val="68EB2F63"/>
    <w:multiLevelType w:val="hybridMultilevel"/>
    <w:lvl w:ilvl="0">
      <w:lvlJc w:val="left"/>
      <w:lvlText w:val="•"/>
      <w:numFmt w:val="bullet"/>
      <w:start w:val="1"/>
    </w:lvl>
  </w:abstractNum>
  <w:abstractNum w:abstractNumId="49">
    <w:nsid w:val="4962813B"/>
    <w:multiLevelType w:val="hybridMultilevel"/>
    <w:lvl w:ilvl="0">
      <w:lvlJc w:val="left"/>
      <w:lvlText w:val="•"/>
      <w:numFmt w:val="bullet"/>
      <w:start w:val="1"/>
    </w:lvl>
  </w:abstractNum>
  <w:abstractNum w:abstractNumId="50">
    <w:nsid w:val="60B6DF70"/>
    <w:multiLevelType w:val="hybridMultilevel"/>
    <w:lvl w:ilvl="0">
      <w:lvlJc w:val="left"/>
      <w:lvlText w:val="•"/>
      <w:numFmt w:val="bullet"/>
      <w:start w:val="1"/>
    </w:lvl>
  </w:abstractNum>
  <w:abstractNum w:abstractNumId="51">
    <w:nsid w:val="6A5EE64"/>
    <w:multiLevelType w:val="hybridMultilevel"/>
    <w:lvl w:ilvl="0">
      <w:lvlJc w:val="left"/>
      <w:lvlText w:val="•"/>
      <w:numFmt w:val="bullet"/>
      <w:start w:val="1"/>
    </w:lvl>
  </w:abstractNum>
  <w:abstractNum w:abstractNumId="52">
    <w:nsid w:val="14330624"/>
    <w:multiLevelType w:val="hybridMultilevel"/>
    <w:lvl w:ilvl="0">
      <w:lvlJc w:val="left"/>
      <w:lvlText w:val="•"/>
      <w:numFmt w:val="bullet"/>
      <w:start w:val="1"/>
    </w:lvl>
  </w:abstractNum>
  <w:abstractNum w:abstractNumId="53">
    <w:nsid w:val="7FFFCA11"/>
    <w:multiLevelType w:val="hybridMultilevel"/>
    <w:lvl w:ilvl="0">
      <w:lvlJc w:val="left"/>
      <w:lvlText w:val="•"/>
      <w:numFmt w:val="bullet"/>
      <w:start w:val="1"/>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
      <w:numFmt w:val="bullet"/>
      <w:start w:val="1"/>
    </w:lvl>
  </w:abstractNum>
  <w:abstractNum w:abstractNumId="57">
    <w:nsid w:val="7FB7E0AA"/>
    <w:multiLevelType w:val="hybridMultilevel"/>
    <w:lvl w:ilvl="0">
      <w:lvlJc w:val="left"/>
      <w:lvlText w:val="•"/>
      <w:numFmt w:val="bullet"/>
      <w:start w:val="1"/>
    </w:lvl>
  </w:abstractNum>
  <w:abstractNum w:abstractNumId="58">
    <w:nsid w:val="6EB5BD4"/>
    <w:multiLevelType w:val="hybridMultilevel"/>
    <w:lvl w:ilvl="0">
      <w:lvlJc w:val="left"/>
      <w:lvlText w:val="•"/>
      <w:numFmt w:val="bullet"/>
      <w:start w:val="1"/>
    </w:lvl>
  </w:abstractNum>
  <w:abstractNum w:abstractNumId="59">
    <w:nsid w:val="6F6DD9AC"/>
    <w:multiLevelType w:val="hybridMultilevel"/>
    <w:lvl w:ilvl="0">
      <w:lvlJc w:val="left"/>
      <w:lvlText w:val="•"/>
      <w:numFmt w:val="bullet"/>
      <w:start w:val="1"/>
    </w:lvl>
  </w:abstractNum>
  <w:abstractNum w:abstractNumId="60">
    <w:nsid w:val="94211F2"/>
    <w:multiLevelType w:val="hybridMultilevel"/>
    <w:lvl w:ilvl="0">
      <w:lvlJc w:val="left"/>
      <w:lvlText w:val="•"/>
      <w:numFmt w:val="bullet"/>
      <w:start w:val="1"/>
    </w:lvl>
  </w:abstractNum>
  <w:abstractNum w:abstractNumId="61">
    <w:nsid w:val="885E1B"/>
    <w:multiLevelType w:val="hybridMultilevel"/>
    <w:lvl w:ilvl="0">
      <w:lvlJc w:val="left"/>
      <w:lvlText w:val="•"/>
      <w:numFmt w:val="bullet"/>
      <w:start w:val="1"/>
    </w:lvl>
  </w:abstractNum>
  <w:abstractNum w:abstractNumId="62">
    <w:nsid w:val="76272110"/>
    <w:multiLevelType w:val="hybridMultilevel"/>
    <w:lvl w:ilvl="0">
      <w:lvlJc w:val="left"/>
      <w:lvlText w:val="•"/>
      <w:numFmt w:val="bullet"/>
      <w:start w:val="1"/>
    </w:lvl>
  </w:abstractNum>
  <w:abstractNum w:abstractNumId="63">
    <w:nsid w:val="4C04A8AF"/>
    <w:multiLevelType w:val="hybridMultilevel"/>
    <w:lvl w:ilvl="0">
      <w:lvlJc w:val="left"/>
      <w:lvlText w:val="•"/>
      <w:numFmt w:val="bullet"/>
      <w:start w:val="1"/>
    </w:lvl>
  </w:abstractNum>
  <w:abstractNum w:abstractNumId="64">
    <w:nsid w:val="1716703B"/>
    <w:multiLevelType w:val="hybridMultilevel"/>
    <w:lvl w:ilvl="0">
      <w:lvlJc w:val="left"/>
      <w:lvlText w:val="•"/>
      <w:numFmt w:val="bullet"/>
      <w:start w:val="1"/>
    </w:lvl>
  </w:abstractNum>
  <w:abstractNum w:abstractNumId="65">
    <w:nsid w:val="14E17E33"/>
    <w:multiLevelType w:val="hybridMultilevel"/>
    <w:lvl w:ilvl="0">
      <w:lvlJc w:val="left"/>
      <w:lvlText w:val="•"/>
      <w:numFmt w:val="bullet"/>
      <w:start w:val="1"/>
    </w:lvl>
  </w:abstractNum>
  <w:abstractNum w:abstractNumId="66">
    <w:nsid w:val="3222E7CD"/>
    <w:multiLevelType w:val="hybridMultilevel"/>
    <w:lvl w:ilvl="0">
      <w:lvlJc w:val="left"/>
      <w:lvlText w:val="•"/>
      <w:numFmt w:val="bullet"/>
      <w:start w:val="1"/>
    </w:lvl>
  </w:abstractNum>
  <w:abstractNum w:abstractNumId="67">
    <w:nsid w:val="74DE0EE3"/>
    <w:multiLevelType w:val="hybridMultilevel"/>
    <w:lvl w:ilvl="0">
      <w:lvlJc w:val="left"/>
      <w:lvlText w:val="•"/>
      <w:numFmt w:val="bullet"/>
      <w:start w:val="1"/>
    </w:lvl>
  </w:abstractNum>
  <w:abstractNum w:abstractNumId="68">
    <w:nsid w:val="68EBC550"/>
    <w:multiLevelType w:val="hybridMultilevel"/>
    <w:lvl w:ilvl="0">
      <w:lvlJc w:val="left"/>
      <w:lvlText w:val="•"/>
      <w:numFmt w:val="bullet"/>
      <w:start w:val="1"/>
    </w:lvl>
  </w:abstractNum>
  <w:abstractNum w:abstractNumId="69">
    <w:nsid w:val="2DF6D648"/>
    <w:multiLevelType w:val="hybridMultilevel"/>
    <w:lvl w:ilvl="0">
      <w:lvlJc w:val="left"/>
      <w:lvlText w:val="•"/>
      <w:numFmt w:val="bullet"/>
      <w:start w:val="1"/>
    </w:lvl>
  </w:abstractNum>
  <w:abstractNum w:abstractNumId="70">
    <w:nsid w:val="46B7D447"/>
    <w:multiLevelType w:val="hybridMultilevel"/>
    <w:lvl w:ilvl="0">
      <w:lvlJc w:val="left"/>
      <w:lvlText w:val="•"/>
      <w:numFmt w:val="bullet"/>
      <w:start w:val="1"/>
    </w:lvl>
  </w:abstractNum>
  <w:abstractNum w:abstractNumId="71">
    <w:nsid w:val="4A2AC315"/>
    <w:multiLevelType w:val="hybridMultilevel"/>
    <w:lvl w:ilvl="0">
      <w:lvlJc w:val="left"/>
      <w:lvlText w:val="(%1)"/>
      <w:numFmt w:val="decimal"/>
      <w:start w:val="1"/>
    </w:lvl>
    <w:lvl w:ilvl="1">
      <w:lvlJc w:val="left"/>
      <w:lvlText w:val="(%2)"/>
      <w:numFmt w:val="lowerLetter"/>
      <w:start w:val="1"/>
    </w:lvl>
  </w:abstractNum>
  <w:abstractNum w:abstractNumId="72">
    <w:nsid w:val="39EE015C"/>
    <w:multiLevelType w:val="hybridMultilevel"/>
    <w:lvl w:ilvl="0">
      <w:lvlJc w:val="left"/>
      <w:lvlText w:val="(%1)"/>
      <w:numFmt w:val="decimal"/>
      <w:start w:val="4"/>
    </w:lvl>
  </w:abstractNum>
  <w:abstractNum w:abstractNumId="73">
    <w:nsid w:val="57FC4FBB"/>
    <w:multiLevelType w:val="hybridMultilevel"/>
    <w:lvl w:ilvl="0">
      <w:lvlJc w:val="left"/>
      <w:lvlText w:val="•"/>
      <w:numFmt w:val="bullet"/>
      <w:start w:val="1"/>
    </w:lvl>
  </w:abstractNum>
  <w:abstractNum w:abstractNumId="74">
    <w:nsid w:val="CC1016F"/>
    <w:multiLevelType w:val="hybridMultilevel"/>
    <w:lvl w:ilvl="0">
      <w:lvlJc w:val="left"/>
      <w:lvlText w:val="•"/>
      <w:numFmt w:val="bullet"/>
      <w:start w:val="1"/>
    </w:lvl>
  </w:abstractNum>
  <w:abstractNum w:abstractNumId="75">
    <w:nsid w:val="43F18422"/>
    <w:multiLevelType w:val="hybridMultilevel"/>
    <w:lvl w:ilvl="0">
      <w:lvlJc w:val="left"/>
      <w:lvlText w:val="•"/>
      <w:numFmt w:val="bullet"/>
      <w:start w:val="1"/>
    </w:lvl>
  </w:abstractNum>
  <w:abstractNum w:abstractNumId="76">
    <w:nsid w:val="60EF0119"/>
    <w:multiLevelType w:val="hybridMultilevel"/>
    <w:lvl w:ilvl="0">
      <w:lvlJc w:val="left"/>
      <w:lvlText w:val="•"/>
      <w:numFmt w:val="bullet"/>
      <w:start w:val="1"/>
    </w:lvl>
  </w:abstractNum>
  <w:abstractNum w:abstractNumId="77">
    <w:nsid w:val="26F324BA"/>
    <w:multiLevelType w:val="hybridMultilevel"/>
    <w:lvl w:ilvl="0">
      <w:lvlJc w:val="left"/>
      <w:lvlText w:val="•"/>
      <w:numFmt w:val="bullet"/>
      <w:start w:val="1"/>
    </w:lvl>
  </w:abstractNum>
  <w:abstractNum w:abstractNumId="78">
    <w:nsid w:val="7F01579B"/>
    <w:multiLevelType w:val="hybridMultilevel"/>
    <w:lvl w:ilvl="0">
      <w:lvlJc w:val="left"/>
      <w:lvlText w:val="•"/>
      <w:numFmt w:val="bullet"/>
      <w:start w:val="1"/>
    </w:lvl>
  </w:abstractNum>
  <w:abstractNum w:abstractNumId="79">
    <w:nsid w:val="49DA307D"/>
    <w:multiLevelType w:val="hybridMultilevel"/>
    <w:lvl w:ilvl="0">
      <w:lvlJc w:val="left"/>
      <w:lvlText w:val="(%1)"/>
      <w:numFmt w:val="decimal"/>
      <w:start w:val="1"/>
    </w:lvl>
  </w:abstractNum>
  <w:abstractNum w:abstractNumId="80">
    <w:nsid w:val="7055A5F5"/>
    <w:multiLevelType w:val="hybridMultilevel"/>
    <w:lvl w:ilvl="0">
      <w:lvlJc w:val="left"/>
      <w:lvlText w:val="(%1)"/>
      <w:numFmt w:val="decimal"/>
      <w:start w:val="1"/>
    </w:lvl>
  </w:abstractNum>
  <w:abstractNum w:abstractNumId="81">
    <w:nsid w:val="5FB8370B"/>
    <w:multiLevelType w:val="hybridMultilevel"/>
    <w:lvl w:ilvl="0">
      <w:lvlJc w:val="left"/>
      <w:lvlText w:val="(%1)"/>
      <w:numFmt w:val="lowerLetter"/>
      <w:start w:val="1"/>
    </w:lvl>
  </w:abstractNum>
  <w:abstractNum w:abstractNumId="82">
    <w:nsid w:val="50801EE1"/>
    <w:multiLevelType w:val="hybridMultilevel"/>
    <w:lvl w:ilvl="0">
      <w:lvlJc w:val="left"/>
      <w:lvlText w:val="(%1)"/>
      <w:numFmt w:val="lowerRoman"/>
      <w:start w:val="1"/>
    </w:lvl>
  </w:abstractNum>
  <w:abstractNum w:abstractNumId="83">
    <w:nsid w:val="488AC1A"/>
    <w:multiLevelType w:val="hybridMultilevel"/>
    <w:lvl w:ilvl="0">
      <w:lvlJc w:val="left"/>
      <w:lvlText w:val="(%1)"/>
      <w:numFmt w:val="lowerLetter"/>
      <w:start w:val="2"/>
    </w:lvl>
  </w:abstractNum>
  <w:abstractNum w:abstractNumId="84">
    <w:nsid w:val="5FB8011C"/>
    <w:multiLevelType w:val="hybridMultilevel"/>
    <w:lvl w:ilvl="0">
      <w:lvlJc w:val="left"/>
      <w:lvlText w:val="(%1)"/>
      <w:numFmt w:val="lowerLetter"/>
      <w:start w:val="5"/>
    </w:lvl>
  </w:abstractNum>
  <w:abstractNum w:abstractNumId="85">
    <w:nsid w:val="6AA78F7F"/>
    <w:multiLevelType w:val="hybridMultilevel"/>
    <w:lvl w:ilvl="0">
      <w:lvlJc w:val="left"/>
      <w:lvlText w:val="%1"/>
      <w:numFmt w:val="decimal"/>
      <w:start w:val="1"/>
    </w:lvl>
    <w:lvl w:ilvl="1">
      <w:lvlJc w:val="left"/>
      <w:lvlText w:val="(%2)"/>
      <w:numFmt w:val="lowerLetter"/>
      <w:start w:val="10"/>
    </w:lvl>
  </w:abstractNum>
  <w:abstractNum w:abstractNumId="86">
    <w:nsid w:val="7672BD23"/>
    <w:multiLevelType w:val="hybridMultilevel"/>
    <w:lvl w:ilvl="0">
      <w:lvlJc w:val="left"/>
      <w:lvlText w:val="%1."/>
      <w:numFmt w:val="decimal"/>
      <w:start w:val="3"/>
    </w:lvl>
    <w:lvl w:ilvl="1">
      <w:lvlJc w:val="left"/>
      <w:lvlText w:val="%2"/>
      <w:numFmt w:val="lowerLetter"/>
      <w:start w:val="1"/>
    </w:lvl>
  </w:abstractNum>
  <w:abstractNum w:abstractNumId="87">
    <w:nsid w:val="6FC75AF8"/>
    <w:multiLevelType w:val="hybridMultilevel"/>
    <w:lvl w:ilvl="0">
      <w:lvlJc w:val="left"/>
      <w:lvlText w:val="(%1)"/>
      <w:numFmt w:val="decimal"/>
      <w:start w:val="1"/>
    </w:lvl>
  </w:abstractNum>
  <w:abstractNum w:abstractNumId="88">
    <w:nsid w:val="6A5F7029"/>
    <w:multiLevelType w:val="hybridMultilevel"/>
    <w:lvl w:ilvl="0">
      <w:lvlJc w:val="left"/>
      <w:lvlText w:val="*"/>
      <w:numFmt w:val="bullet"/>
      <w:start w:val="1"/>
    </w:lvl>
  </w:abstractNum>
  <w:abstractNum w:abstractNumId="89">
    <w:nsid w:val="7D5E18F8"/>
    <w:multiLevelType w:val="hybridMultilevel"/>
    <w:lvl w:ilvl="0">
      <w:lvlJc w:val="left"/>
      <w:lvlText w:val="(%1)"/>
      <w:numFmt w:val="decimal"/>
      <w:start w:val="1"/>
    </w:lvl>
  </w:abstractNum>
  <w:abstractNum w:abstractNumId="90">
    <w:nsid w:val="5F3534A4"/>
    <w:multiLevelType w:val="hybridMultilevel"/>
    <w:lvl w:ilvl="0">
      <w:lvlJc w:val="left"/>
      <w:lvlText w:val="(%1)"/>
      <w:numFmt w:val="decimal"/>
      <w:start w:val="1"/>
    </w:lvl>
  </w:abstractNum>
  <w:abstractNum w:abstractNumId="91">
    <w:nsid w:val="73A1821B"/>
    <w:multiLevelType w:val="hybridMultilevel"/>
    <w:lvl w:ilvl="0">
      <w:lvlJc w:val="left"/>
      <w:lvlText w:val="(%1)"/>
      <w:numFmt w:val="decimal"/>
      <w:start w:val="1"/>
    </w:lvl>
  </w:abstractNum>
  <w:abstractNum w:abstractNumId="92">
    <w:nsid w:val="7DE67713"/>
    <w:multiLevelType w:val="hybridMultilevel"/>
    <w:lvl w:ilvl="0">
      <w:lvlJc w:val="left"/>
      <w:lvlText w:val="(%1)"/>
      <w:numFmt w:val="lowerLetter"/>
      <w:start w:val="1"/>
    </w:lvl>
  </w:abstractNum>
  <w:abstractNum w:abstractNumId="93">
    <w:nsid w:val="555C55B5"/>
    <w:multiLevelType w:val="hybridMultilevel"/>
    <w:lvl w:ilvl="0">
      <w:lvlJc w:val="left"/>
      <w:lvlText w:val="%1)"/>
      <w:numFmt w:val="decimal"/>
      <w:start w:val="1"/>
    </w:lvl>
  </w:abstractNum>
  <w:abstractNum w:abstractNumId="94">
    <w:nsid w:val="3FA62ACA"/>
    <w:multiLevelType w:val="hybridMultilevel"/>
    <w:lvl w:ilvl="0">
      <w:lvlJc w:val="left"/>
      <w:lvlText w:val="(%1)"/>
      <w:numFmt w:val="lowerLetter"/>
      <w:start w:val="2"/>
    </w:lvl>
  </w:abstractNum>
  <w:abstractNum w:abstractNumId="95">
    <w:nsid w:val="14FCE74E"/>
    <w:multiLevelType w:val="hybridMultilevel"/>
    <w:lvl w:ilvl="0">
      <w:lvlJc w:val="left"/>
      <w:lvlText w:val="(%1)"/>
      <w:numFmt w:val="lowerLetter"/>
      <w:start w:val="5"/>
    </w:lvl>
  </w:abstractNum>
  <w:abstractNum w:abstractNumId="96">
    <w:nsid w:val="6A3DD3E8"/>
    <w:multiLevelType w:val="hybridMultilevel"/>
    <w:lvl w:ilvl="0">
      <w:lvlJc w:val="left"/>
      <w:lvlText w:val="(%1)"/>
      <w:numFmt w:val="lowerLetter"/>
      <w:start w:val="10"/>
    </w:lvl>
  </w:abstractNum>
  <w:abstractNum w:abstractNumId="97">
    <w:nsid w:val="71C91298"/>
    <w:multiLevelType w:val="hybridMultilevel"/>
    <w:lvl w:ilvl="0">
      <w:lvlJc w:val="left"/>
      <w:lvlText w:val="(%1)"/>
      <w:numFmt w:val="decimal"/>
      <w:start w:val="1"/>
    </w:lvl>
  </w:abstractNum>
  <w:abstractNum w:abstractNumId="98">
    <w:nsid w:val="9DAF632"/>
    <w:multiLevelType w:val="hybridMultilevel"/>
    <w:lvl w:ilvl="0">
      <w:lvlJc w:val="left"/>
      <w:lvlText w:val="(%1)"/>
      <w:numFmt w:val="decimal"/>
      <w:start w:val="1"/>
    </w:lvl>
  </w:abstractNum>
  <w:abstractNum w:abstractNumId="99">
    <w:nsid w:val="53299938"/>
    <w:multiLevelType w:val="hybridMultilevel"/>
    <w:lvl w:ilvl="0">
      <w:lvlJc w:val="left"/>
      <w:lvlText w:val="(%1)"/>
      <w:numFmt w:val="decimal"/>
      <w:start w:val="1"/>
    </w:lvl>
  </w:abstractNum>
  <w:abstractNum w:abstractNumId="100">
    <w:nsid w:val="1FBFE8E0"/>
    <w:multiLevelType w:val="hybridMultilevel"/>
    <w:lvl w:ilvl="0">
      <w:lvlJc w:val="left"/>
      <w:lvlText w:val="*"/>
      <w:numFmt w:val="bullet"/>
      <w:start w:val="1"/>
    </w:lvl>
  </w:abstractNum>
  <w:abstractNum w:abstractNumId="101">
    <w:nsid w:val="5092CA79"/>
    <w:multiLevelType w:val="hybridMultilevel"/>
    <w:lvl w:ilvl="0">
      <w:lvlJc w:val="left"/>
      <w:lvlText w:val="(%1)"/>
      <w:numFmt w:val="decimal"/>
      <w:start w:val="1"/>
    </w:lvl>
  </w:abstractNum>
  <w:abstractNum w:abstractNumId="102">
    <w:nsid w:val="1D545C4D"/>
    <w:multiLevelType w:val="hybridMultilevel"/>
    <w:lvl w:ilvl="0">
      <w:lvlJc w:val="left"/>
      <w:lvlText w:val="%1."/>
      <w:numFmt w:val="decimal"/>
      <w:start w:val="1"/>
    </w:lvl>
  </w:abstractNum>
  <w:abstractNum w:abstractNumId="103">
    <w:nsid w:val="59ADEA3D"/>
    <w:multiLevelType w:val="hybridMultilevel"/>
    <w:lvl w:ilvl="0">
      <w:lvlJc w:val="left"/>
      <w:lvlText w:val="(%1)"/>
      <w:numFmt w:val="lowerLetter"/>
      <w:start w:val="1"/>
    </w:lvl>
  </w:abstractNum>
  <w:abstractNum w:abstractNumId="104">
    <w:nsid w:val="288F1A34"/>
    <w:multiLevelType w:val="hybridMultilevel"/>
    <w:lvl w:ilvl="0">
      <w:lvlJc w:val="left"/>
      <w:lvlText w:val="*"/>
      <w:numFmt w:val="bullet"/>
      <w:start w:val="1"/>
    </w:lvl>
  </w:abstractNum>
  <w:abstractNum w:abstractNumId="105">
    <w:nsid w:val="2A155DBC"/>
    <w:multiLevelType w:val="hybridMultilevel"/>
    <w:lvl w:ilvl="0">
      <w:lvlJc w:val="left"/>
      <w:lvlText w:val="(%1)"/>
      <w:numFmt w:val="decimal"/>
      <w:start w:val="1"/>
    </w:lvl>
  </w:abstractNum>
  <w:abstractNum w:abstractNumId="106">
    <w:nsid w:val="1D9F6E5F"/>
    <w:multiLevelType w:val="hybridMultilevel"/>
    <w:lvl w:ilvl="0">
      <w:lvlJc w:val="left"/>
      <w:lvlText w:val="(%1)"/>
      <w:numFmt w:val="decimal"/>
      <w:start w:val="2"/>
    </w:lvl>
  </w:abstractNum>
  <w:abstractNum w:abstractNumId="107">
    <w:nsid w:val="97E1B4E"/>
    <w:multiLevelType w:val="hybridMultilevel"/>
    <w:lvl w:ilvl="0">
      <w:lvlJc w:val="left"/>
      <w:lvlText w:val="(%1)"/>
      <w:numFmt w:val="decimal"/>
      <w:start w:val="1"/>
    </w:lvl>
    <w:lvl w:ilvl="1">
      <w:lvlJc w:val="left"/>
      <w:lvlText w:val="(%2)"/>
      <w:numFmt w:val="lowerRoman"/>
      <w:start w:val="1"/>
    </w:lvl>
  </w:abstractNum>
  <w:abstractNum w:abstractNumId="108">
    <w:nsid w:val="51088277"/>
    <w:multiLevelType w:val="hybridMultilevel"/>
    <w:lvl w:ilvl="0">
      <w:lvlJc w:val="left"/>
      <w:lvlText w:val="%1"/>
      <w:numFmt w:val="decimal"/>
      <w:start w:val="1"/>
    </w:lvl>
    <w:lvl w:ilvl="1">
      <w:lvlJc w:val="left"/>
      <w:lvlText w:val="(%2)"/>
      <w:numFmt w:val="lowerRoman"/>
      <w:start w:val="1"/>
    </w:lvl>
  </w:abstractNum>
  <w:abstractNum w:abstractNumId="109">
    <w:nsid w:val="1CA0C5FA"/>
    <w:multiLevelType w:val="hybridMultilevel"/>
    <w:lvl w:ilvl="0">
      <w:lvlJc w:val="left"/>
      <w:lvlText w:val="(%1)"/>
      <w:numFmt w:val="decimal"/>
      <w:start w:val="7"/>
    </w:lvl>
    <w:lvl w:ilvl="1">
      <w:lvlJc w:val="left"/>
      <w:lvlText w:val="%2"/>
      <w:numFmt w:val="lowerRoman"/>
      <w:start w:val="1"/>
    </w:lvl>
  </w:abstractNum>
  <w:abstractNum w:abstractNumId="110">
    <w:nsid w:val="53584BC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2019-12-11T03:45:37Z</dcterms:created>
  <dcterms:modified xsi:type="dcterms:W3CDTF">2019-12-11T03:45:37Z</dcterms:modified>
</cp:coreProperties>
</file>