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4,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4, 2021, PennantPark Investment Corporation, or the Company, issued a press release announcing its financial results for the third fiscal quarter ended June 30, 2021.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June 30, 2021, including “Item 2. Management's Discussion and Analysis of Financial Condition and Results of Operations – COVID-19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August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900" w:type="dxa"/>
            <w:vAlign w:val="bottom"/>
            <w:gridSpan w:val="3"/>
          </w:tcPr>
          <w:p>
            <w:pPr>
              <w:ind w:left="19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4, 2021</w:t>
            </w:r>
          </w:p>
        </w:tc>
        <w:tc>
          <w:tcPr>
            <w:tcW w:w="4900" w:type="dxa"/>
            <w:vAlign w:val="bottom"/>
            <w:gridSpan w:val="3"/>
          </w:tcPr>
          <w:p>
            <w:pPr>
              <w:ind w:left="1960"/>
              <w:spacing w:after="0"/>
              <w:rPr>
                <w:sz w:val="20"/>
                <w:szCs w:val="20"/>
                <w:color w:val="auto"/>
              </w:rPr>
            </w:pPr>
            <w:r>
              <w:rPr>
                <w:rFonts w:ascii="Arial" w:cs="Arial" w:eastAsia="Arial" w:hAnsi="Arial"/>
                <w:sz w:val="18"/>
                <w:szCs w:val="18"/>
                <w:color w:val="auto"/>
              </w:rPr>
              <w:t>By: /s/ Richard Cheung</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2021</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NEW YORK, Aug. 04, 2021 (GLOBE NEWSWIRE) -- PennantPark Investment Corporation (NASDAQ: PNNT) announced today financial results for the third fiscal quarter ended June 30,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34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1"/>
        </w:trPr>
        <w:tc>
          <w:tcPr>
            <w:tcW w:w="7340" w:type="dxa"/>
            <w:vAlign w:val="bottom"/>
          </w:tcPr>
          <w:p>
            <w:pPr>
              <w:ind w:left="20"/>
              <w:spacing w:after="0"/>
              <w:rPr>
                <w:sz w:val="20"/>
                <w:szCs w:val="20"/>
                <w:color w:val="auto"/>
              </w:rPr>
            </w:pPr>
            <w:r>
              <w:rPr>
                <w:rFonts w:ascii="Arial" w:cs="Arial" w:eastAsia="Arial" w:hAnsi="Arial"/>
                <w:sz w:val="22"/>
                <w:szCs w:val="22"/>
                <w:color w:val="auto"/>
              </w:rPr>
              <w:t>Quarter ended June 30, 2021</w:t>
            </w:r>
          </w:p>
        </w:tc>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4"/>
        </w:trPr>
        <w:tc>
          <w:tcPr>
            <w:tcW w:w="7340" w:type="dxa"/>
            <w:vAlign w:val="bottom"/>
          </w:tcPr>
          <w:p>
            <w:pPr>
              <w:ind w:left="20"/>
              <w:spacing w:after="0"/>
              <w:rPr>
                <w:sz w:val="20"/>
                <w:szCs w:val="20"/>
                <w:color w:val="auto"/>
              </w:rPr>
            </w:pPr>
            <w:r>
              <w:rPr>
                <w:rFonts w:ascii="Arial" w:cs="Arial" w:eastAsia="Arial" w:hAnsi="Arial"/>
                <w:sz w:val="22"/>
                <w:szCs w:val="22"/>
                <w:color w:val="auto"/>
              </w:rPr>
              <w:t>($ in millions, except per share amounts)</w:t>
            </w:r>
          </w:p>
        </w:tc>
        <w:tc>
          <w:tcPr>
            <w:tcW w:w="27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40"/>
        </w:trPr>
        <w:tc>
          <w:tcPr>
            <w:tcW w:w="734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0"/>
        </w:trPr>
        <w:tc>
          <w:tcPr>
            <w:tcW w:w="7340" w:type="dxa"/>
            <w:vAlign w:val="bottom"/>
          </w:tcPr>
          <w:p>
            <w:pPr>
              <w:ind w:left="14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1,148.2</w:t>
            </w:r>
          </w:p>
        </w:tc>
      </w:tr>
      <w:tr>
        <w:trPr>
          <w:trHeight w:val="270"/>
        </w:trPr>
        <w:tc>
          <w:tcPr>
            <w:tcW w:w="7340" w:type="dxa"/>
            <w:vAlign w:val="bottom"/>
          </w:tcPr>
          <w:p>
            <w:pPr>
              <w:ind w:left="140"/>
              <w:spacing w:after="0"/>
              <w:rPr>
                <w:sz w:val="20"/>
                <w:szCs w:val="20"/>
                <w:color w:val="auto"/>
              </w:rPr>
            </w:pPr>
            <w:r>
              <w:rPr>
                <w:rFonts w:ascii="Arial" w:cs="Arial" w:eastAsia="Arial" w:hAnsi="Arial"/>
                <w:sz w:val="22"/>
                <w:szCs w:val="22"/>
                <w:color w:val="auto"/>
              </w:rPr>
              <w:t>PSLF investment portfolio</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386.2</w:t>
            </w:r>
          </w:p>
        </w:tc>
      </w:tr>
      <w:tr>
        <w:trPr>
          <w:trHeight w:val="270"/>
        </w:trPr>
        <w:tc>
          <w:tcPr>
            <w:tcW w:w="7340" w:type="dxa"/>
            <w:vAlign w:val="bottom"/>
          </w:tcPr>
          <w:p>
            <w:pPr>
              <w:ind w:left="140"/>
              <w:spacing w:after="0"/>
              <w:rPr>
                <w:sz w:val="20"/>
                <w:szCs w:val="20"/>
                <w:color w:val="auto"/>
              </w:rPr>
            </w:pPr>
            <w:r>
              <w:rPr>
                <w:rFonts w:ascii="Arial" w:cs="Arial" w:eastAsia="Arial" w:hAnsi="Arial"/>
                <w:sz w:val="22"/>
                <w:szCs w:val="22"/>
                <w:color w:val="auto"/>
              </w:rPr>
              <w:t>Net assets</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643.1</w:t>
            </w:r>
          </w:p>
        </w:tc>
      </w:tr>
      <w:tr>
        <w:trPr>
          <w:trHeight w:val="270"/>
        </w:trPr>
        <w:tc>
          <w:tcPr>
            <w:tcW w:w="7340" w:type="dxa"/>
            <w:vAlign w:val="bottom"/>
          </w:tcPr>
          <w:p>
            <w:pPr>
              <w:ind w:left="140"/>
              <w:spacing w:after="0"/>
              <w:rPr>
                <w:sz w:val="20"/>
                <w:szCs w:val="20"/>
                <w:color w:val="auto"/>
              </w:rPr>
            </w:pPr>
            <w:r>
              <w:rPr>
                <w:rFonts w:ascii="Arial" w:cs="Arial" w:eastAsia="Arial" w:hAnsi="Arial"/>
                <w:sz w:val="22"/>
                <w:szCs w:val="22"/>
                <w:color w:val="auto"/>
              </w:rPr>
              <w:t>GAAP net asset value per share</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9.59</w:t>
            </w:r>
          </w:p>
        </w:tc>
      </w:tr>
      <w:tr>
        <w:trPr>
          <w:trHeight w:val="274"/>
        </w:trPr>
        <w:tc>
          <w:tcPr>
            <w:tcW w:w="7340" w:type="dxa"/>
            <w:vAlign w:val="bottom"/>
          </w:tcPr>
          <w:p>
            <w:pPr>
              <w:ind w:left="140"/>
              <w:spacing w:after="0"/>
              <w:rPr>
                <w:sz w:val="20"/>
                <w:szCs w:val="20"/>
                <w:color w:val="auto"/>
              </w:rPr>
            </w:pPr>
            <w:r>
              <w:rPr>
                <w:rFonts w:ascii="Arial" w:cs="Arial" w:eastAsia="Arial" w:hAnsi="Arial"/>
                <w:sz w:val="22"/>
                <w:szCs w:val="22"/>
                <w:color w:val="auto"/>
              </w:rPr>
              <w:t>Quarterly increase in GAAP net asset value per share</w:t>
            </w:r>
          </w:p>
        </w:tc>
        <w:tc>
          <w:tcPr>
            <w:tcW w:w="27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7"/>
        </w:trPr>
        <w:tc>
          <w:tcPr>
            <w:tcW w:w="7340" w:type="dxa"/>
            <w:vAlign w:val="bottom"/>
          </w:tcPr>
          <w:p>
            <w:pPr>
              <w:ind w:left="14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9.58</w:t>
            </w:r>
          </w:p>
        </w:tc>
      </w:tr>
      <w:tr>
        <w:trPr>
          <w:trHeight w:val="471"/>
        </w:trPr>
        <w:tc>
          <w:tcPr>
            <w:tcW w:w="7340" w:type="dxa"/>
            <w:vAlign w:val="bottom"/>
          </w:tcPr>
          <w:p>
            <w:pPr>
              <w:ind w:left="140"/>
              <w:spacing w:after="0"/>
              <w:rPr>
                <w:sz w:val="20"/>
                <w:szCs w:val="20"/>
                <w:color w:val="auto"/>
              </w:rPr>
            </w:pPr>
            <w:r>
              <w:rPr>
                <w:rFonts w:ascii="Arial" w:cs="Arial" w:eastAsia="Arial" w:hAnsi="Arial"/>
                <w:sz w:val="22"/>
                <w:szCs w:val="22"/>
                <w:color w:val="auto"/>
              </w:rPr>
              <w:t xml:space="preserve">Quarterly increase in adjusted net asset value per share </w:t>
            </w:r>
            <w:r>
              <w:rPr>
                <w:rFonts w:ascii="Arial" w:cs="Arial" w:eastAsia="Arial" w:hAnsi="Arial"/>
                <w:sz w:val="35"/>
                <w:szCs w:val="35"/>
                <w:color w:val="auto"/>
                <w:vertAlign w:val="superscript"/>
              </w:rPr>
              <w:t>(2)</w:t>
            </w:r>
          </w:p>
        </w:tc>
        <w:tc>
          <w:tcPr>
            <w:tcW w:w="2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86"/>
        </w:trPr>
        <w:tc>
          <w:tcPr>
            <w:tcW w:w="7340" w:type="dxa"/>
            <w:vAlign w:val="bottom"/>
          </w:tcPr>
          <w:p>
            <w:pPr>
              <w:ind w:left="280"/>
              <w:spacing w:after="0"/>
              <w:rPr>
                <w:sz w:val="20"/>
                <w:szCs w:val="20"/>
                <w:color w:val="auto"/>
              </w:rPr>
            </w:pPr>
            <w:r>
              <w:rPr>
                <w:rFonts w:ascii="Arial" w:cs="Arial" w:eastAsia="Arial" w:hAnsi="Arial"/>
                <w:sz w:val="22"/>
                <w:szCs w:val="22"/>
                <w:color w:val="auto"/>
              </w:rPr>
              <w:t>Credit Facility</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213.5</w:t>
            </w:r>
          </w:p>
        </w:tc>
      </w:tr>
      <w:tr>
        <w:trPr>
          <w:trHeight w:val="270"/>
        </w:trPr>
        <w:tc>
          <w:tcPr>
            <w:tcW w:w="7340" w:type="dxa"/>
            <w:vAlign w:val="bottom"/>
          </w:tcPr>
          <w:p>
            <w:pPr>
              <w:ind w:left="280"/>
              <w:spacing w:after="0"/>
              <w:rPr>
                <w:sz w:val="20"/>
                <w:szCs w:val="20"/>
                <w:color w:val="auto"/>
              </w:rPr>
            </w:pPr>
            <w:r>
              <w:rPr>
                <w:rFonts w:ascii="Arial" w:cs="Arial" w:eastAsia="Arial" w:hAnsi="Arial"/>
                <w:sz w:val="22"/>
                <w:szCs w:val="22"/>
                <w:color w:val="auto"/>
              </w:rPr>
              <w:t>2024 Notes</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84.3</w:t>
            </w:r>
          </w:p>
        </w:tc>
      </w:tr>
      <w:tr>
        <w:trPr>
          <w:trHeight w:val="270"/>
        </w:trPr>
        <w:tc>
          <w:tcPr>
            <w:tcW w:w="7340" w:type="dxa"/>
            <w:vAlign w:val="bottom"/>
          </w:tcPr>
          <w:p>
            <w:pPr>
              <w:ind w:left="280"/>
              <w:spacing w:after="0"/>
              <w:rPr>
                <w:sz w:val="20"/>
                <w:szCs w:val="20"/>
                <w:color w:val="auto"/>
              </w:rPr>
            </w:pPr>
            <w:r>
              <w:rPr>
                <w:rFonts w:ascii="Arial" w:cs="Arial" w:eastAsia="Arial" w:hAnsi="Arial"/>
                <w:sz w:val="22"/>
                <w:szCs w:val="22"/>
                <w:color w:val="auto"/>
              </w:rPr>
              <w:t>2026 Notes</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145.6</w:t>
            </w:r>
          </w:p>
        </w:tc>
      </w:tr>
      <w:tr>
        <w:trPr>
          <w:trHeight w:val="270"/>
        </w:trPr>
        <w:tc>
          <w:tcPr>
            <w:tcW w:w="7340" w:type="dxa"/>
            <w:vAlign w:val="bottom"/>
          </w:tcPr>
          <w:p>
            <w:pPr>
              <w:ind w:left="280"/>
              <w:spacing w:after="0"/>
              <w:rPr>
                <w:sz w:val="20"/>
                <w:szCs w:val="20"/>
                <w:color w:val="auto"/>
              </w:rPr>
            </w:pPr>
            <w:r>
              <w:rPr>
                <w:rFonts w:ascii="Arial" w:cs="Arial" w:eastAsia="Arial" w:hAnsi="Arial"/>
                <w:sz w:val="22"/>
                <w:szCs w:val="22"/>
                <w:color w:val="auto"/>
              </w:rPr>
              <w:t>SBA Debentures</w:t>
            </w:r>
          </w:p>
        </w:tc>
        <w:tc>
          <w:tcPr>
            <w:tcW w:w="274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62.1</w:t>
            </w:r>
          </w:p>
        </w:tc>
      </w:tr>
      <w:tr>
        <w:trPr>
          <w:trHeight w:val="274"/>
        </w:trPr>
        <w:tc>
          <w:tcPr>
            <w:tcW w:w="7340" w:type="dxa"/>
            <w:vAlign w:val="bottom"/>
          </w:tcPr>
          <w:p>
            <w:pPr>
              <w:ind w:left="140"/>
              <w:spacing w:after="0"/>
              <w:rPr>
                <w:sz w:val="20"/>
                <w:szCs w:val="20"/>
                <w:color w:val="auto"/>
              </w:rPr>
            </w:pPr>
            <w:r>
              <w:rPr>
                <w:rFonts w:ascii="Arial" w:cs="Arial" w:eastAsia="Arial" w:hAnsi="Arial"/>
                <w:sz w:val="22"/>
                <w:szCs w:val="22"/>
                <w:color w:val="auto"/>
              </w:rPr>
              <w:t>Regulatory Debt to Equity</w:t>
            </w:r>
          </w:p>
        </w:tc>
        <w:tc>
          <w:tcPr>
            <w:tcW w:w="27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0.70x</w:t>
            </w:r>
          </w:p>
        </w:tc>
      </w:tr>
      <w:tr>
        <w:trPr>
          <w:trHeight w:val="327"/>
        </w:trPr>
        <w:tc>
          <w:tcPr>
            <w:tcW w:w="7340" w:type="dxa"/>
            <w:vAlign w:val="bottom"/>
          </w:tcPr>
          <w:p>
            <w:pPr>
              <w:ind w:left="14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2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0.68x</w:t>
            </w:r>
          </w:p>
        </w:tc>
      </w:tr>
      <w:tr>
        <w:trPr>
          <w:trHeight w:val="471"/>
        </w:trPr>
        <w:tc>
          <w:tcPr>
            <w:tcW w:w="7340" w:type="dxa"/>
            <w:vAlign w:val="bottom"/>
          </w:tcPr>
          <w:p>
            <w:pPr>
              <w:ind w:left="14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2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0.76x</w:t>
            </w:r>
          </w:p>
        </w:tc>
      </w:tr>
      <w:tr>
        <w:trPr>
          <w:trHeight w:val="390"/>
        </w:trPr>
        <w:tc>
          <w:tcPr>
            <w:tcW w:w="7340" w:type="dxa"/>
            <w:vAlign w:val="bottom"/>
          </w:tcPr>
          <w:p>
            <w:pPr>
              <w:ind w:left="140"/>
              <w:spacing w:after="0"/>
              <w:rPr>
                <w:sz w:val="20"/>
                <w:szCs w:val="20"/>
                <w:color w:val="auto"/>
              </w:rPr>
            </w:pPr>
            <w:r>
              <w:rPr>
                <w:rFonts w:ascii="Arial" w:cs="Arial" w:eastAsia="Arial" w:hAnsi="Arial"/>
                <w:sz w:val="22"/>
                <w:szCs w:val="22"/>
                <w:color w:val="auto"/>
              </w:rPr>
              <w:t>Yield on debt investments at quarter-end</w:t>
            </w:r>
          </w:p>
        </w:tc>
        <w:tc>
          <w:tcPr>
            <w:tcW w:w="2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940" w:type="dxa"/>
            <w:vAlign w:val="bottom"/>
          </w:tcPr>
          <w:p>
            <w:pPr>
              <w:spacing w:after="0"/>
              <w:rPr>
                <w:sz w:val="20"/>
                <w:szCs w:val="20"/>
                <w:color w:val="auto"/>
              </w:rPr>
            </w:pPr>
            <w:r>
              <w:rPr>
                <w:rFonts w:ascii="Arial" w:cs="Arial" w:eastAsia="Arial" w:hAnsi="Arial"/>
                <w:sz w:val="22"/>
                <w:szCs w:val="22"/>
                <w:color w:val="auto"/>
              </w:rPr>
              <w:t>Operating Results:</w:t>
            </w:r>
          </w:p>
        </w:tc>
        <w:tc>
          <w:tcPr>
            <w:tcW w:w="31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694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318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20"/>
        </w:trPr>
        <w:tc>
          <w:tcPr>
            <w:tcW w:w="694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(5)</w:t>
            </w:r>
          </w:p>
        </w:tc>
        <w:tc>
          <w:tcPr>
            <w:tcW w:w="318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0.14</w:t>
            </w:r>
          </w:p>
        </w:tc>
      </w:tr>
      <w:tr>
        <w:trPr>
          <w:trHeight w:val="270"/>
        </w:trPr>
        <w:tc>
          <w:tcPr>
            <w:tcW w:w="6940" w:type="dxa"/>
            <w:vAlign w:val="bottom"/>
          </w:tcPr>
          <w:p>
            <w:pPr>
              <w:ind w:left="120"/>
              <w:spacing w:after="0"/>
              <w:rPr>
                <w:sz w:val="20"/>
                <w:szCs w:val="20"/>
                <w:color w:val="auto"/>
              </w:rPr>
            </w:pPr>
            <w:r>
              <w:rPr>
                <w:rFonts w:ascii="Arial" w:cs="Arial" w:eastAsia="Arial" w:hAnsi="Arial"/>
                <w:sz w:val="22"/>
                <w:szCs w:val="22"/>
                <w:color w:val="auto"/>
              </w:rPr>
              <w:t>Net investment income per share (GAAP)</w:t>
            </w:r>
          </w:p>
        </w:tc>
        <w:tc>
          <w:tcPr>
            <w:tcW w:w="318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0.12</w:t>
            </w:r>
          </w:p>
        </w:tc>
      </w:tr>
      <w:tr>
        <w:trPr>
          <w:trHeight w:val="274"/>
        </w:trPr>
        <w:tc>
          <w:tcPr>
            <w:tcW w:w="694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318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0.12</w:t>
            </w:r>
          </w:p>
        </w:tc>
      </w:tr>
      <w:tr>
        <w:trPr>
          <w:trHeight w:val="536"/>
        </w:trPr>
        <w:tc>
          <w:tcPr>
            <w:tcW w:w="6940" w:type="dxa"/>
            <w:vAlign w:val="bottom"/>
          </w:tcPr>
          <w:p>
            <w:pPr>
              <w:spacing w:after="0"/>
              <w:rPr>
                <w:sz w:val="20"/>
                <w:szCs w:val="20"/>
                <w:color w:val="auto"/>
              </w:rPr>
            </w:pPr>
            <w:r>
              <w:rPr>
                <w:rFonts w:ascii="Arial" w:cs="Arial" w:eastAsia="Arial" w:hAnsi="Arial"/>
                <w:sz w:val="22"/>
                <w:szCs w:val="22"/>
                <w:color w:val="auto"/>
              </w:rPr>
              <w:t>Portfolio Activity:</w:t>
            </w:r>
          </w:p>
        </w:tc>
        <w:tc>
          <w:tcPr>
            <w:tcW w:w="3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94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318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133.4</w:t>
            </w:r>
          </w:p>
        </w:tc>
      </w:tr>
      <w:tr>
        <w:trPr>
          <w:trHeight w:val="274"/>
        </w:trPr>
        <w:tc>
          <w:tcPr>
            <w:tcW w:w="694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318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191.0</w:t>
            </w:r>
          </w:p>
        </w:tc>
      </w:tr>
      <w:tr>
        <w:trPr>
          <w:trHeight w:val="536"/>
        </w:trPr>
        <w:tc>
          <w:tcPr>
            <w:tcW w:w="694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3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0"/>
        </w:trPr>
        <w:tc>
          <w:tcPr>
            <w:tcW w:w="694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3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4"/>
        </w:trPr>
        <w:tc>
          <w:tcPr>
            <w:tcW w:w="694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3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86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220" w:lineRule="exact"/>
        <w:rPr>
          <w:sz w:val="20"/>
          <w:szCs w:val="20"/>
          <w:color w:val="auto"/>
        </w:rPr>
      </w:pPr>
    </w:p>
    <w:p>
      <w:pPr>
        <w:ind w:left="480" w:right="20" w:hanging="459"/>
        <w:spacing w:after="0" w:line="24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22"/>
          <w:szCs w:val="22"/>
          <w:color w:val="auto"/>
        </w:rPr>
        <w:t>Includes investments in PennantPark Senior Loan Fund, LLC, or PSLF, an unconsolidated joint venture, totaling $105.0 million, at fair value.</w:t>
      </w:r>
    </w:p>
    <w:p>
      <w:pPr>
        <w:jc w:val="both"/>
        <w:ind w:left="480" w:right="20" w:hanging="459"/>
        <w:spacing w:after="0" w:line="23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$1.1 million unrealized loss on our multi-currency, senior secured revolving credit facility with Truist Bank, as amended, or the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5" w:lineRule="exact"/>
        <w:rPr>
          <w:rFonts w:ascii="Arial" w:cs="Arial" w:eastAsia="Arial" w:hAnsi="Arial"/>
          <w:sz w:val="18"/>
          <w:szCs w:val="18"/>
          <w:color w:val="auto"/>
        </w:rPr>
      </w:pPr>
    </w:p>
    <w:p>
      <w:pPr>
        <w:jc w:val="both"/>
        <w:ind w:left="480" w:right="20" w:hanging="459"/>
        <w:spacing w:after="0" w:line="323"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net of $14.2 million of cash and cash equivalents.</w:t>
      </w:r>
    </w:p>
    <w:p>
      <w:pPr>
        <w:sectPr>
          <w:pgSz w:w="11900" w:h="16838" w:orient="portrait"/>
          <w:cols w:equalWidth="0" w:num="1">
            <w:col w:w="11240"/>
          </w:cols>
          <w:pgMar w:left="320" w:top="112" w:right="339" w:bottom="0" w:gutter="0" w:footer="0" w:header="0"/>
        </w:sectPr>
      </w:pPr>
    </w:p>
    <w:bookmarkStart w:id="4" w:name="page5"/>
    <w:bookmarkEnd w:id="4"/>
    <w:p>
      <w:pPr>
        <w:spacing w:after="0" w:line="86" w:lineRule="exact"/>
        <w:rPr>
          <w:sz w:val="20"/>
          <w:szCs w:val="20"/>
          <w:color w:val="auto"/>
        </w:rPr>
      </w:pPr>
    </w:p>
    <w:p>
      <w:pPr>
        <w:ind w:left="480" w:right="20"/>
        <w:spacing w:after="0" w:line="245" w:lineRule="auto"/>
        <w:rPr>
          <w:sz w:val="20"/>
          <w:szCs w:val="20"/>
          <w:color w:val="auto"/>
        </w:rPr>
      </w:pPr>
      <w:r>
        <w:rPr>
          <w:rFonts w:ascii="Arial" w:cs="Arial" w:eastAsia="Arial" w:hAnsi="Arial"/>
          <w:sz w:val="22"/>
          <w:szCs w:val="22"/>
          <w:color w:val="auto"/>
        </w:rPr>
        <w:t>The presentation of this additional information is not meant to be considered in isolation or as a substitute for financial results prepared in accordance with GAAP.</w:t>
      </w:r>
    </w:p>
    <w:p>
      <w:pPr>
        <w:spacing w:after="0" w:line="2" w:lineRule="exact"/>
        <w:rPr>
          <w:sz w:val="20"/>
          <w:szCs w:val="20"/>
          <w:color w:val="auto"/>
        </w:rPr>
      </w:pPr>
    </w:p>
    <w:p>
      <w:pPr>
        <w:jc w:val="both"/>
        <w:ind w:left="480" w:right="20" w:hanging="459"/>
        <w:spacing w:after="0" w:line="23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including the impact of the $1.1 million unrealized loss on the Credit Facility, Small Business Act, or SBA, debentures and net of $14.2 million of cash and cash equivalents. The presentation of this additional information is not meant to be considered in isolation or as a substitute for financial results prepared in accordance with GAAP.</w:t>
      </w:r>
    </w:p>
    <w:p>
      <w:pPr>
        <w:spacing w:after="0" w:line="3" w:lineRule="exact"/>
        <w:rPr>
          <w:rFonts w:ascii="Arial" w:cs="Arial" w:eastAsia="Arial" w:hAnsi="Arial"/>
          <w:sz w:val="18"/>
          <w:szCs w:val="18"/>
          <w:color w:val="auto"/>
        </w:rPr>
      </w:pPr>
    </w:p>
    <w:p>
      <w:pPr>
        <w:jc w:val="both"/>
        <w:ind w:left="480" w:right="20" w:hanging="459"/>
        <w:spacing w:after="0" w:line="23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22"/>
          <w:szCs w:val="22"/>
          <w:color w:val="auto"/>
        </w:rPr>
        <w:t>Core net investment income per share is a non-GAAP financial measure. The Company believes that core net investment income per share provides useful information to investors and management because it reflects the Company’s financial performance excluding $1.1 million of expenses related to the early repayment of SBA debentures. The presentation of this additional information is not meant to be considered in isolation or as a substitute for financial results prepared in accordance with GAAP.</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12:00 P.M. ET ON AUGUST 5, 2021</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12:00 p.m. (Eastern Time) on Thursday, August 5, 2021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#2597721 or PennantPark Investment Corporation. An archived replay of the call will be available through August 20, 2021 by calling toll-free (888) 203-1112. International callers please dial (719) 457-0820. For all phone replays, please reference conference ID #2597721.</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are pleased with the substantial increase in net asset value this past quarter due to material appreciation in the value of several equity investments,” said Arthur Penn, Chairman and CEO. “We believe that we can generate increased income over time as we grow the PNNT and PSLF balance sheets and by rotating equity positions into debt instruments. We are making substantial progress on the exit of those equity investments. Additionally, we have been actively investing in new loans since the most recent quarter end and the outlook in our view for continued growth is excellent.”</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June 30, 2021, our portfolio totaled $1,148.2 million, which consisted of $472.6 million of first lien secured debt, $159.3 million of second lien secured debt, $119.7 million of subordinated debt (including $64.2 million in PSLF) and $396.6 million of preferred and common equity (including $40.9 million in PSLF). Our debt portfolio consisted of 91% variable-rate investments. As of June 30, 2021, we did not have any portfolio companies on non-accrual. Overall, the portfolio had net unrealized appreciation of $26.6 million as of June 30, 2021. Our overall portfolio consisted of 86 companies with an average investment size of $13.4 million, had a weighted average yield on interest bearing debt investments of 9.2% and was invested 41% in first lien secured debt, 14% in second lien secured debt, 10% in subordinated debt (including 6% in PSLF) and 35% in preferred and common equity (including 4% in PSLF). As of June 30, 2021, all of the investments held by PSLF were first lien secured debt.</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of September 30, 2020, our portfolio totaled $1,081.8 million, which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2021, we invested $133.4 million in seven new and nine existing portfolio companies with a weighted average yield on debt investments of 7.9%. Sales and repayments of investments for the three months ended June 30, 2021 totaled $191.0 million. For the nine months ended June 30, 2021, we invested $276.4 million in 14 new and 32 existing portfolio companies with a weighted average yield on debt investments of 8.4%. Sales and repayments of investments for the nine months ended June 30, 2021 totaled $358.6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2020, we invested $11.7 million in one new and 12 existing portfolio companies with a weighted average yield on debt investments of 6.8%. Sales and repayments of investments for the three months ended June 30, 2020 totaled $66.5 million. For the nine months ended June 30, 2020, we invested $292.2 million in 22 new and 51 existing portfolio companies with a weighted average yield on debt investments of 8.5%. Sales and repayments of investments for the nine months ended June 30, 2020 totaled $114.1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Loan Fund, LLC</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June 30, 2021, PSLF’s portfolio totaled $386.2 million, consisted of 43 companies with an average investment size of $9.0 million and had a weighted average yield on debt investments of 7.2%.</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2020, PSLF’s portfolio totaled $353.4 million, consisted of 37 companies with an average investment size of $9.6 million and had a weighted average yield on debt investments of 7.3%.</w:t>
      </w:r>
    </w:p>
    <w:p>
      <w:pPr>
        <w:sectPr>
          <w:pgSz w:w="11900" w:h="16924" w:orient="portrait"/>
          <w:cols w:equalWidth="0" w:num="1">
            <w:col w:w="11240"/>
          </w:cols>
          <w:pgMar w:left="320" w:top="118" w:right="339" w:bottom="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22"/>
          <w:szCs w:val="22"/>
          <w:color w:val="auto"/>
        </w:rPr>
        <w:t>For the three months ended June 30, 2021, PSLF invested $54.1 million (of which $54.1 million was purchased from the Company) in six new and two existing portfolio companies with a weighted average yield on debt investments of 7.1%. PSLF’s sales and repayments of investments for the same period totaled $50.9 million. For the nine months ended June 30, 2021, PSLF invested $117.8 million (of which $91.9 million was purchased from the Company) in 12 new and eight existing portfolio companies with a weighted average yield on debt investments of 7.3%. PSLF’s sales and repayments of investments for the same period totaled $91.6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Investment income for the three and nine months ended June 30, 2021 was $20.5 million and $58.5 million, respectively, which was attributable to $11.8 million and $33.9 million from first lien secured debt, $5.2 million and $15.8 million from second lien secured debt, $1.8 million and $5.2 million from subordinated debt and $1.7 million and $3.6 million from preferred and common equity, respectively. This compares to investment income for the three and nine months ended June 30, 2020 of $25.4 million and $78.9 million, respectively, which was attributable to $17.6 million and $51.1 million from first lien secured debt, $5.1 million and $20.5 million from second lien secured debt and $2.5 million and $7.1 million from subordinated debt, respectively. The decrease in investment income compared to the same periods in the prior year was primarily due to decreases in the size of our debt portfolio and decreases in the London Interbank Offered Rate.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Expenses for the three and nine months ended June 30, 2021 totaled $12.3 million and $33.2 million, respectively. Base management fee for the same periods totaled $4.4 million and $12.8 million, debt related interest and expenses totaled $6.9 million (including a one-time $1.1 million payment, which is related to the early repayment of SBA debentures) and $16.8 million, general and administrative expenses totaled $0.9 million and $3.2 million and provision for taxes totaled $0.2 million and $0.5 million, respectively. This compares to net expenses for the three and nine months ended June 30, 2020, which totaled $14.4 million and $47.5 million, respectively. Base management fee for the same periods totaled $4.6 million and $14.3 million, incentive fee totaled zero (after a waiver of $1.9 million) and $2.7 million (after a waiver of $1.9 million), debt related interest and expenses totaled $8.3 million and $26.1 million, general and administrative expenses totaled $1.2 million and $3.5 million and provision for taxes totaled $0.3 million and $0.9 million, respectively. The decrease in expenses for the three and nine months ended June 30, 2021 compared to the same period in the prior year was primarily due to lower leverage costs and lower management fees.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$8.1 million and $25.2 million, or $0.12 and $0.38 per share, for the three and nine months ended June 30, 2021, respectively. Net investment income totaled $11.0 million and $31.5 million, or $0.16 and $0.47 per share, for the three and nine months ended June 30, 2020, respectively. The decrease in net investment income compared to the same periods in the prior year was primarily due to lower investment income.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2021 totaled $191.0 million and $358.6 million, respectively, and net realized gains totaled $41.7 million and $24.4 million, respectively. Sales and repayments of investments for the three and nine months ended June 30, 2020 totaled $66.5 million and $114.1 million, respectively, and net realized losses totaled $0.1 million and $10.7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the Credit Facilities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nine months ended June 30, 2021, we reported net change in unrealized (depreciation) appreciation on investments of $(16.3) million and $110.4 million, respectively. For the three and nine months ended June 30, 2020, we reported net change in unrealized appreciation (depreciation) on investments of $29.8 million and $(67.5) million, respectively. As of June 30, 2021 and September 30, 2020, our net unrealized appreciation (depreciation) on investments totaled $26.6 million and $(83.8) million, respectively. The net change in unrealized appreciation/depreciation on our investments compared to the same period in the prior year was primarily due to unrealized gains in our equity co-investment program, including ITC Rumba, LLC (Cano Health, LLC).</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and nine months ended June 30, 2021, the Truist Credit Facility had a net change in unrealized appreciation of $1.6 million and $18.5 million, respectively. For the three and nine months ended June 30, 2020, our Credit Facilities had a net change in unrealized (appreciation) depreciation of $(25.1) million and $21.3 million, respectively. As of June 30, 2021 and September 30, 2020, the net unrealized depreciation on the Credit Facilities totaled $1.1 million and $19.6 million, respectively. The net change in unrealized depreciation compared to the same periods in the prior year was primarily due to changes in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22"/>
          <w:szCs w:val="22"/>
          <w:color w:val="auto"/>
        </w:rPr>
        <w:t>Net change in net assets resulting from operations totaled $31.9 million and $141.5 million, or $0.48 and $2.11 per share, for the three and nine months ended June 30, 2021, respectively. Net change in net assets resulting from operations totaled $15.6 million and $(25.5) million, or $0.23 and $(0.38) per share, for the three and nine months ended June 30, 2020, respectively. The increase in the net change in net assets from operations for the three and nine months ended June 30, 2021 compared to the same periods in the prior year was primarily due to unrealized gains in our equity co-investment program, including ITC Rumba, LLC (Cano Health, LLC).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June 30, 2021, including “Item 2. Management's Discussion and Analysis of Financial Condition and Results of Operations – COVID-19 Developments”.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nine months ended June 30, 2021 and 2020, inclusive of the fee on the undrawn commitment under the Credit Facilities and amortized upfront fees on SBA debentures, was 3.5% and 4.2%, respectively. As of June 30, 2021 and September 30, 2020, we had $220.5 million and $86.7 million of unused borrowing capacity under the Truist Credit Facility, respectively, subject to leverage and borrowing base restrictions.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As of June 30, 2021 and September 30, 2020, we had $214.5 million and $388.3 million, respectively, in outstanding borrowings under the Truist Credit Facility. The Truist Credit Facility had a weighted average interest rate of 2.5% and 2.5%, exclusive of the fee on undrawn commitments, as of June 30, 2021 and September 30, 2020, respectively.</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2021 and September 30, 2020, we had cash and cash equivalents of $14.2 million and $25.8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$95.7 million for the nine months ended June 30, 2021, and our financing activities used cash of $107.4 million for the same period. Our operating activities provided cash primarily from our investment activities and our financing activities used cash primarily to pay down the Truist Credit Facility and our SBA debentures.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$156.1 million for the nine months ended June 30, 2020 and our financing activities provided cash of $148.2 million for the same period. Our operating activities used cash primarily for our investment activities and our financing activities provided cash primarily from net borrowings under the Credit Facilities.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Subsequent to quarter end, we had new originations of $69.0 million.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and nine months ended June 30, 2021, we declared distributions of $0.12 and $0.36 per share, for total distributions of $8.0 million and $24.1 million, respectively. For the same periods in the prior year, we declared distributions of $0.12 and $0.48 per share, for total distributions of $8.0 million and $32.2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makes available on its website its Quarterly Report on Form 10-Q filed with the SEC, and stockholders may find such report on its website at www.pennantpark.com.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39" w:lineRule="exact"/>
        <w:rPr>
          <w:sz w:val="20"/>
          <w:szCs w:val="20"/>
          <w:color w:val="auto"/>
        </w:rPr>
      </w:pPr>
    </w:p>
    <w:p>
      <w:pPr>
        <w:ind w:left="7900"/>
        <w:spacing w:after="0"/>
        <w:rPr>
          <w:sz w:val="20"/>
          <w:szCs w:val="20"/>
          <w:color w:val="auto"/>
        </w:rPr>
      </w:pPr>
      <w:r>
        <w:rPr>
          <w:rFonts w:ascii="Arial" w:cs="Arial" w:eastAsia="Arial" w:hAnsi="Arial"/>
          <w:sz w:val="19"/>
          <w:szCs w:val="19"/>
          <w:b w:val="1"/>
          <w:bCs w:val="1"/>
          <w:color w:val="auto"/>
        </w:rPr>
        <w:t>June 30, 2021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September 30,</w:t>
      </w:r>
    </w:p>
    <w:p>
      <w:pPr>
        <w:spacing w:after="0" w:line="49"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2020</w:t>
      </w:r>
    </w:p>
    <w:p>
      <w:pPr>
        <w:spacing w:after="0" w:line="3" w:lineRule="exact"/>
        <w:rPr>
          <w:sz w:val="20"/>
          <w:szCs w:val="20"/>
          <w:color w:val="auto"/>
        </w:rPr>
      </w:pPr>
    </w:p>
    <w:p>
      <w:pPr>
        <w:sectPr>
          <w:pgSz w:w="11900" w:h="16838" w:orient="portrait"/>
          <w:cols w:equalWidth="0" w:num="2">
            <w:col w:w="9160" w:space="620"/>
            <w:col w:w="1460"/>
          </w:cols>
          <w:pgMar w:left="320" w:top="118" w:right="339" w:bottom="0" w:gutter="0" w:footer="0" w:header="0"/>
          <w:type w:val="continuous"/>
        </w:sectPr>
      </w:pPr>
    </w:p>
    <w:p>
      <w:pPr>
        <w:ind w:left="7980"/>
        <w:spacing w:after="0"/>
        <w:rPr>
          <w:sz w:val="20"/>
          <w:szCs w:val="20"/>
          <w:color w:val="auto"/>
        </w:rPr>
      </w:pPr>
      <w:r>
        <w:rPr>
          <w:rFonts w:ascii="Arial" w:cs="Arial" w:eastAsia="Arial" w:hAnsi="Arial"/>
          <w:sz w:val="19"/>
          <w:szCs w:val="19"/>
          <w:b w:val="1"/>
          <w:bCs w:val="1"/>
          <w:color w:val="auto"/>
        </w:rPr>
        <w:t>(unaudited)</w:t>
      </w:r>
    </w:p>
    <w:p>
      <w:pPr>
        <w:sectPr>
          <w:pgSz w:w="11900" w:h="16838" w:orient="portrait"/>
          <w:cols w:equalWidth="0" w:num="1">
            <w:col w:w="11240"/>
          </w:cols>
          <w:pgMar w:left="320" w:top="118" w:right="339" w:bottom="0" w:gutter="0" w:footer="0" w:header="0"/>
          <w:type w:val="continuous"/>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-160020</wp:posOffset>
            </wp:positionV>
            <wp:extent cx="222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Investments at fair value</w:t>
      </w:r>
    </w:p>
    <w:p>
      <w:pPr>
        <w:sectPr>
          <w:pgSz w:w="11900" w:h="16838" w:orient="portrait"/>
          <w:cols w:equalWidth="0" w:num="1">
            <w:col w:w="11240"/>
          </w:cols>
          <w:pgMar w:left="320" w:top="118" w:right="3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7880" w:type="dxa"/>
            <w:vAlign w:val="bottom"/>
            <w:gridSpan w:val="7"/>
          </w:tcPr>
          <w:p>
            <w:pPr>
              <w:ind w:left="260"/>
              <w:spacing w:after="0"/>
              <w:rPr>
                <w:sz w:val="20"/>
                <w:szCs w:val="20"/>
                <w:color w:val="auto"/>
              </w:rPr>
            </w:pPr>
            <w:r>
              <w:rPr>
                <w:rFonts w:ascii="Arial" w:cs="Arial" w:eastAsia="Arial" w:hAnsi="Arial"/>
                <w:sz w:val="22"/>
                <w:szCs w:val="22"/>
                <w:color w:val="auto"/>
                <w:w w:val="91"/>
              </w:rPr>
              <w:t>Non-controlled, non-affiliated investments (cost—$634,123,304 and $713,683,209,  $</w:t>
            </w: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719,327,212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9"/>
                <w:szCs w:val="19"/>
                <w:color w:val="auto"/>
                <w:w w:val="75"/>
              </w:rPr>
              <w:t>$</w:t>
            </w: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735,674,666</w:t>
            </w: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6920" w:type="dxa"/>
            <w:vAlign w:val="bottom"/>
            <w:gridSpan w:val="4"/>
          </w:tcPr>
          <w:p>
            <w:pPr>
              <w:ind w:left="260"/>
              <w:spacing w:after="0" w:line="243" w:lineRule="exact"/>
              <w:rPr>
                <w:sz w:val="20"/>
                <w:szCs w:val="20"/>
                <w:color w:val="auto"/>
              </w:rPr>
            </w:pPr>
            <w:r>
              <w:rPr>
                <w:rFonts w:ascii="Arial" w:cs="Arial" w:eastAsia="Arial" w:hAnsi="Arial"/>
                <w:sz w:val="22"/>
                <w:szCs w:val="22"/>
                <w:color w:val="auto"/>
                <w:w w:val="90"/>
              </w:rPr>
              <w:t>Non-controlled, affiliated investments (cost—$77,628,920 and $77,628,920,</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48,882,776</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27,753,893</w:t>
            </w:r>
          </w:p>
        </w:tc>
      </w:tr>
      <w:tr>
        <w:trPr>
          <w:trHeight w:val="243"/>
        </w:trPr>
        <w:tc>
          <w:tcPr>
            <w:tcW w:w="6920" w:type="dxa"/>
            <w:vAlign w:val="bottom"/>
            <w:gridSpan w:val="4"/>
          </w:tcPr>
          <w:p>
            <w:pPr>
              <w:ind w:left="260"/>
              <w:spacing w:after="0" w:line="243" w:lineRule="exact"/>
              <w:rPr>
                <w:sz w:val="20"/>
                <w:szCs w:val="20"/>
                <w:color w:val="auto"/>
              </w:rPr>
            </w:pPr>
            <w:r>
              <w:rPr>
                <w:rFonts w:ascii="Arial" w:cs="Arial" w:eastAsia="Arial" w:hAnsi="Arial"/>
                <w:sz w:val="22"/>
                <w:szCs w:val="22"/>
                <w:color w:val="auto"/>
                <w:w w:val="92"/>
              </w:rPr>
              <w:t>Controlled, affiliated investments (cost—$409,894,837 and $374,260,162,</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50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379,988,526</w:t>
            </w:r>
          </w:p>
        </w:tc>
        <w:tc>
          <w:tcPr>
            <w:tcW w:w="3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318,342,859</w:t>
            </w:r>
          </w:p>
        </w:tc>
      </w:tr>
      <w:tr>
        <w:trPr>
          <w:trHeight w:val="259"/>
        </w:trPr>
        <w:tc>
          <w:tcPr>
            <w:tcW w:w="6920" w:type="dxa"/>
            <w:vAlign w:val="bottom"/>
            <w:gridSpan w:val="4"/>
          </w:tcPr>
          <w:p>
            <w:pPr>
              <w:ind w:left="260"/>
              <w:spacing w:after="0"/>
              <w:rPr>
                <w:sz w:val="20"/>
                <w:szCs w:val="20"/>
                <w:color w:val="auto"/>
              </w:rPr>
            </w:pPr>
            <w:r>
              <w:rPr>
                <w:rFonts w:ascii="Arial" w:cs="Arial" w:eastAsia="Arial" w:hAnsi="Arial"/>
                <w:sz w:val="22"/>
                <w:szCs w:val="22"/>
                <w:color w:val="auto"/>
                <w:w w:val="89"/>
              </w:rPr>
              <w:t>Total investments (cost—$1,121,647,060 and $1,165,572,291, respectively)</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w w:val="98"/>
              </w:rPr>
              <w:t>1,148,198,514</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w w:val="93"/>
              </w:rPr>
              <w:t>1,081,771,418</w:t>
            </w:r>
          </w:p>
        </w:tc>
      </w:tr>
      <w:tr>
        <w:trPr>
          <w:trHeight w:val="270"/>
        </w:trPr>
        <w:tc>
          <w:tcPr>
            <w:tcW w:w="6920" w:type="dxa"/>
            <w:vAlign w:val="bottom"/>
            <w:gridSpan w:val="4"/>
          </w:tcPr>
          <w:p>
            <w:pPr>
              <w:spacing w:after="0"/>
              <w:rPr>
                <w:sz w:val="20"/>
                <w:szCs w:val="20"/>
                <w:color w:val="auto"/>
              </w:rPr>
            </w:pPr>
            <w:r>
              <w:rPr>
                <w:rFonts w:ascii="Arial" w:cs="Arial" w:eastAsia="Arial" w:hAnsi="Arial"/>
                <w:sz w:val="22"/>
                <w:szCs w:val="22"/>
                <w:color w:val="auto"/>
                <w:w w:val="89"/>
              </w:rPr>
              <w:t>Cash and cash equivalents (cost—$14,207,092 and $25,801,087, respectively)</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14,212,253</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25,806,002</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Interest receivable</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4,881,211</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5,005,715</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Distribution receivable</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1,694,000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1,393,716</w:t>
            </w:r>
          </w:p>
        </w:tc>
      </w:tr>
      <w:tr>
        <w:trPr>
          <w:trHeight w:val="274"/>
        </w:trPr>
        <w:tc>
          <w:tcPr>
            <w:tcW w:w="502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376,030</w:t>
            </w:r>
          </w:p>
        </w:tc>
      </w:tr>
      <w:tr>
        <w:trPr>
          <w:trHeight w:val="267"/>
        </w:trPr>
        <w:tc>
          <w:tcPr>
            <w:tcW w:w="502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w w:val="98"/>
              </w:rPr>
              <w:t>1,168,985,978</w:t>
            </w:r>
          </w:p>
        </w:tc>
        <w:tc>
          <w:tcPr>
            <w:tcW w:w="32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3"/>
              </w:rPr>
              <w:t>1,114,352,881</w:t>
            </w:r>
          </w:p>
        </w:tc>
      </w:tr>
      <w:tr>
        <w:trPr>
          <w:trHeight w:val="256"/>
        </w:trPr>
        <w:tc>
          <w:tcPr>
            <w:tcW w:w="502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Distributions payable</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8,045,413</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8,045,413</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3,017,500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5,461,508</w:t>
            </w:r>
          </w:p>
        </w:tc>
      </w:tr>
      <w:tr>
        <w:trPr>
          <w:trHeight w:val="243"/>
        </w:trPr>
        <w:tc>
          <w:tcPr>
            <w:tcW w:w="7880" w:type="dxa"/>
            <w:vAlign w:val="bottom"/>
            <w:gridSpan w:val="7"/>
          </w:tcPr>
          <w:p>
            <w:pPr>
              <w:spacing w:after="0" w:line="243" w:lineRule="exact"/>
              <w:rPr>
                <w:sz w:val="20"/>
                <w:szCs w:val="20"/>
                <w:color w:val="auto"/>
              </w:rPr>
            </w:pPr>
            <w:r>
              <w:rPr>
                <w:rFonts w:ascii="Arial" w:cs="Arial" w:eastAsia="Arial" w:hAnsi="Arial"/>
                <w:sz w:val="22"/>
                <w:szCs w:val="22"/>
                <w:color w:val="auto"/>
                <w:w w:val="97"/>
              </w:rPr>
              <w:t>Truist Credit Facility payable, at fair value (cost—$214,544,900 and $388,252,000,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respectively)</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213,489,240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368,701,972</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2024 Notes payable, net (par—$86,250,000)</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84,336,685</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83,837,560</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2026 Notes payable, net (par—$150,000,000)</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145,639,797</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r>
      <w:tr>
        <w:trPr>
          <w:trHeight w:val="270"/>
        </w:trPr>
        <w:tc>
          <w:tcPr>
            <w:tcW w:w="7100" w:type="dxa"/>
            <w:vAlign w:val="bottom"/>
            <w:gridSpan w:val="5"/>
          </w:tcPr>
          <w:p>
            <w:pPr>
              <w:spacing w:after="0"/>
              <w:rPr>
                <w:sz w:val="20"/>
                <w:szCs w:val="20"/>
                <w:color w:val="auto"/>
              </w:rPr>
            </w:pPr>
            <w:r>
              <w:rPr>
                <w:rFonts w:ascii="Arial" w:cs="Arial" w:eastAsia="Arial" w:hAnsi="Arial"/>
                <w:sz w:val="22"/>
                <w:szCs w:val="22"/>
                <w:color w:val="auto"/>
                <w:w w:val="89"/>
              </w:rPr>
              <w:t>SBA debentures payable, net (par—$63,500,000 and $118,500,000, respectively)</w:t>
            </w: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62,110,290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115,772,677</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4,357,898</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4,369,637</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3,765,084</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2,022,614</w:t>
            </w:r>
          </w:p>
        </w:tc>
      </w:tr>
      <w:tr>
        <w:trPr>
          <w:trHeight w:val="274"/>
        </w:trPr>
        <w:tc>
          <w:tcPr>
            <w:tcW w:w="5020" w:type="dxa"/>
            <w:vAlign w:val="bottom"/>
          </w:tcPr>
          <w:p>
            <w:pPr>
              <w:spacing w:after="0"/>
              <w:rPr>
                <w:sz w:val="20"/>
                <w:szCs w:val="20"/>
                <w:color w:val="auto"/>
              </w:rPr>
            </w:pPr>
            <w:r>
              <w:rPr>
                <w:rFonts w:ascii="Arial" w:cs="Arial" w:eastAsia="Arial" w:hAnsi="Arial"/>
                <w:sz w:val="22"/>
                <w:szCs w:val="22"/>
                <w:color w:val="auto"/>
              </w:rPr>
              <w:t>Accrued other expenses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1,142,576</w:t>
            </w:r>
          </w:p>
        </w:tc>
        <w:tc>
          <w:tcPr>
            <w:tcW w:w="3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432,648</w:t>
            </w:r>
          </w:p>
        </w:tc>
      </w:tr>
      <w:tr>
        <w:trPr>
          <w:trHeight w:val="267"/>
        </w:trPr>
        <w:tc>
          <w:tcPr>
            <w:tcW w:w="502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525,904,483</w:t>
            </w:r>
          </w:p>
        </w:tc>
        <w:tc>
          <w:tcPr>
            <w:tcW w:w="3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588,644,029</w:t>
            </w:r>
          </w:p>
        </w:tc>
      </w:tr>
      <w:tr>
        <w:trPr>
          <w:trHeight w:val="250"/>
        </w:trPr>
        <w:tc>
          <w:tcPr>
            <w:tcW w:w="502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w w:val="87"/>
              </w:rPr>
              <w:t>Common stock, 67,045,105 shares issued and outstanding</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920" w:type="dxa"/>
            <w:vAlign w:val="bottom"/>
            <w:gridSpan w:val="4"/>
          </w:tcPr>
          <w:p>
            <w:pPr>
              <w:spacing w:after="0"/>
              <w:rPr>
                <w:sz w:val="20"/>
                <w:szCs w:val="20"/>
                <w:color w:val="auto"/>
              </w:rPr>
            </w:pPr>
            <w:r>
              <w:rPr>
                <w:rFonts w:ascii="Arial" w:cs="Arial" w:eastAsia="Arial" w:hAnsi="Arial"/>
                <w:sz w:val="22"/>
                <w:szCs w:val="22"/>
                <w:color w:val="auto"/>
              </w:rPr>
              <w:t>Par value $0.001 per share and 100,000,000 shares authorized</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67,045</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67,045</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787,625,031</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787,625,031</w:t>
            </w:r>
          </w:p>
        </w:tc>
      </w:tr>
      <w:tr>
        <w:trPr>
          <w:trHeight w:val="274"/>
        </w:trPr>
        <w:tc>
          <w:tcPr>
            <w:tcW w:w="502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4"/>
          </w:tcPr>
          <w:p>
            <w:pPr>
              <w:jc w:val="right"/>
              <w:ind w:right="132"/>
              <w:spacing w:after="0"/>
              <w:rPr>
                <w:sz w:val="20"/>
                <w:szCs w:val="20"/>
                <w:color w:val="auto"/>
              </w:rPr>
            </w:pPr>
            <w:r>
              <w:rPr>
                <w:rFonts w:ascii="Arial" w:cs="Arial" w:eastAsia="Arial" w:hAnsi="Arial"/>
                <w:sz w:val="22"/>
                <w:szCs w:val="22"/>
                <w:color w:val="auto"/>
              </w:rPr>
              <w:t>(144,610,581)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(261,983,224</w:t>
            </w:r>
          </w:p>
        </w:tc>
      </w:tr>
      <w:tr>
        <w:trPr>
          <w:trHeight w:val="267"/>
        </w:trPr>
        <w:tc>
          <w:tcPr>
            <w:tcW w:w="502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643,081,495</w:t>
            </w:r>
          </w:p>
        </w:tc>
        <w:tc>
          <w:tcPr>
            <w:tcW w:w="32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525,708,852</w:t>
            </w:r>
          </w:p>
        </w:tc>
      </w:tr>
      <w:tr>
        <w:trPr>
          <w:trHeight w:val="263"/>
        </w:trPr>
        <w:tc>
          <w:tcPr>
            <w:tcW w:w="502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8"/>
              </w:rPr>
              <w:t>1,168,985,978</w:t>
            </w:r>
          </w:p>
        </w:tc>
        <w:tc>
          <w:tcPr>
            <w:tcW w:w="3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3"/>
              </w:rPr>
              <w:t>1,114,352,881</w:t>
            </w:r>
          </w:p>
        </w:tc>
      </w:tr>
      <w:tr>
        <w:trPr>
          <w:trHeight w:val="20"/>
        </w:trPr>
        <w:tc>
          <w:tcPr>
            <w:tcW w:w="5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02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9.59</w:t>
            </w:r>
          </w:p>
        </w:tc>
        <w:tc>
          <w:tcPr>
            <w:tcW w:w="3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7.84</w:t>
            </w:r>
          </w:p>
        </w:tc>
      </w:tr>
      <w:tr>
        <w:trPr>
          <w:trHeight w:val="21"/>
        </w:trPr>
        <w:tc>
          <w:tcPr>
            <w:tcW w:w="5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695"/>
        </w:trPr>
        <w:tc>
          <w:tcPr>
            <w:tcW w:w="9640" w:type="dxa"/>
            <w:vAlign w:val="bottom"/>
            <w:gridSpan w:val="12"/>
          </w:tcPr>
          <w:p>
            <w:pPr>
              <w:jc w:val="center"/>
              <w:ind w:left="1452"/>
              <w:spacing w:after="0"/>
              <w:rPr>
                <w:sz w:val="20"/>
                <w:szCs w:val="20"/>
                <w:color w:val="auto"/>
              </w:rPr>
            </w:pPr>
            <w:r>
              <w:rPr>
                <w:rFonts w:ascii="Arial" w:cs="Arial" w:eastAsia="Arial" w:hAnsi="Arial"/>
                <w:sz w:val="22"/>
                <w:szCs w:val="22"/>
                <w:b w:val="1"/>
                <w:bCs w:val="1"/>
                <w:color w:val="auto"/>
                <w:w w:val="98"/>
              </w:rPr>
              <w:t>PENNANTPARK INVESTMENT CORPORATION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60" w:type="dxa"/>
            <w:vAlign w:val="bottom"/>
            <w:gridSpan w:val="8"/>
          </w:tcPr>
          <w:p>
            <w:pPr>
              <w:jc w:val="center"/>
              <w:ind w:left="295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0"/>
        </w:trPr>
        <w:tc>
          <w:tcPr>
            <w:tcW w:w="5020" w:type="dxa"/>
            <w:vAlign w:val="bottom"/>
          </w:tcPr>
          <w:p>
            <w:pPr>
              <w:spacing w:after="0"/>
              <w:rPr>
                <w:sz w:val="24"/>
                <w:szCs w:val="24"/>
                <w:color w:val="auto"/>
              </w:rPr>
            </w:pPr>
          </w:p>
        </w:tc>
        <w:tc>
          <w:tcPr>
            <w:tcW w:w="1900" w:type="dxa"/>
            <w:vAlign w:val="bottom"/>
            <w:gridSpan w:val="3"/>
          </w:tcPr>
          <w:p>
            <w:pPr>
              <w:jc w:val="center"/>
              <w:ind w:right="740"/>
              <w:spacing w:after="0"/>
              <w:rPr>
                <w:sz w:val="20"/>
                <w:szCs w:val="20"/>
                <w:color w:val="auto"/>
              </w:rPr>
            </w:pPr>
            <w:r>
              <w:rPr>
                <w:rFonts w:ascii="Arial" w:cs="Arial" w:eastAsia="Arial" w:hAnsi="Arial"/>
                <w:sz w:val="22"/>
                <w:szCs w:val="22"/>
                <w:b w:val="1"/>
                <w:bCs w:val="1"/>
                <w:color w:val="auto"/>
                <w:w w:val="91"/>
              </w:rPr>
              <w:t>(Unaudited)</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5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Arial" w:cs="Arial" w:eastAsia="Arial" w:hAnsi="Arial"/>
                <w:sz w:val="22"/>
                <w:szCs w:val="22"/>
                <w:b w:val="1"/>
                <w:bCs w:val="1"/>
                <w:color w:val="auto"/>
                <w:w w:val="89"/>
              </w:rPr>
              <w:t>Three Months Ended June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5020" w:type="dxa"/>
            <w:vAlign w:val="bottom"/>
          </w:tcPr>
          <w:p>
            <w:pPr>
              <w:spacing w:after="0"/>
              <w:rPr>
                <w:sz w:val="24"/>
                <w:szCs w:val="24"/>
                <w:color w:val="auto"/>
              </w:rPr>
            </w:pPr>
          </w:p>
        </w:tc>
        <w:tc>
          <w:tcPr>
            <w:tcW w:w="2080" w:type="dxa"/>
            <w:vAlign w:val="bottom"/>
            <w:gridSpan w:val="4"/>
          </w:tcPr>
          <w:p>
            <w:pPr>
              <w:jc w:val="right"/>
              <w:ind w:right="52"/>
              <w:spacing w:after="0"/>
              <w:rPr>
                <w:sz w:val="20"/>
                <w:szCs w:val="20"/>
                <w:color w:val="auto"/>
              </w:rPr>
            </w:pPr>
            <w:r>
              <w:rPr>
                <w:rFonts w:ascii="Arial" w:cs="Arial" w:eastAsia="Arial" w:hAnsi="Arial"/>
                <w:sz w:val="22"/>
                <w:szCs w:val="22"/>
                <w:b w:val="1"/>
                <w:bCs w:val="1"/>
                <w:color w:val="auto"/>
              </w:rPr>
              <w:t>30,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6"/>
          </w:tcPr>
          <w:p>
            <w:pPr>
              <w:jc w:val="right"/>
              <w:ind w:right="140"/>
              <w:spacing w:after="0"/>
              <w:rPr>
                <w:sz w:val="20"/>
                <w:szCs w:val="20"/>
                <w:color w:val="auto"/>
              </w:rPr>
            </w:pPr>
            <w:r>
              <w:rPr>
                <w:rFonts w:ascii="Arial" w:cs="Arial" w:eastAsia="Arial" w:hAnsi="Arial"/>
                <w:sz w:val="22"/>
                <w:szCs w:val="22"/>
                <w:b w:val="1"/>
                <w:bCs w:val="1"/>
                <w:color w:val="auto"/>
                <w:w w:val="89"/>
              </w:rPr>
              <w:t>Nine Months Ended June 30,</w:t>
            </w:r>
          </w:p>
        </w:tc>
      </w:tr>
      <w:tr>
        <w:trPr>
          <w:trHeight w:val="267"/>
        </w:trPr>
        <w:tc>
          <w:tcPr>
            <w:tcW w:w="5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22"/>
                <w:szCs w:val="22"/>
                <w:b w:val="1"/>
                <w:bCs w:val="1"/>
                <w:color w:val="auto"/>
              </w:rPr>
              <w:t>2020</w:t>
            </w:r>
          </w:p>
        </w:tc>
        <w:tc>
          <w:tcPr>
            <w:tcW w:w="280" w:type="dxa"/>
            <w:vAlign w:val="bottom"/>
            <w:tcBorders>
              <w:top w:val="single" w:sz="8" w:color="auto"/>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2021</w:t>
            </w:r>
          </w:p>
        </w:tc>
        <w:tc>
          <w:tcPr>
            <w:tcW w:w="32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  11,972,559</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w w:val="94"/>
              </w:rPr>
              <w:t>20,118,883</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  35,073,841</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90"/>
              </w:rPr>
              <w:t>$  63,252,326</w:t>
            </w: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2,095,094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2,099,536</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5,565,833</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5,962,936</w:t>
            </w: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474,749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1,165,825</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979,816</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2,107,027</w:t>
            </w:r>
          </w:p>
        </w:tc>
        <w:tc>
          <w:tcPr>
            <w:tcW w:w="100" w:type="dxa"/>
            <w:vAlign w:val="bottom"/>
          </w:tcPr>
          <w:p>
            <w:pPr>
              <w:spacing w:after="0"/>
              <w:rPr>
                <w:sz w:val="23"/>
                <w:szCs w:val="23"/>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42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456,998</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2,278,866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588,818</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6,732,901</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1,793,442</w:t>
            </w: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1,977,974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1,434,567</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4,982,468</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5,830,555</w:t>
            </w:r>
          </w:p>
        </w:tc>
        <w:tc>
          <w:tcPr>
            <w:tcW w:w="100" w:type="dxa"/>
            <w:vAlign w:val="bottom"/>
          </w:tcPr>
          <w:p>
            <w:pPr>
              <w:spacing w:after="0"/>
              <w:rPr>
                <w:sz w:val="23"/>
                <w:szCs w:val="23"/>
                <w:color w:val="auto"/>
              </w:rPr>
            </w:pPr>
          </w:p>
        </w:tc>
      </w:tr>
      <w:tr>
        <w:trPr>
          <w:trHeight w:val="274"/>
        </w:trPr>
        <w:tc>
          <w:tcPr>
            <w:tcW w:w="5020" w:type="dxa"/>
            <w:vAlign w:val="bottom"/>
          </w:tcPr>
          <w:p>
            <w:pPr>
              <w:ind w:left="260"/>
              <w:spacing w:after="0"/>
              <w:rPr>
                <w:sz w:val="20"/>
                <w:szCs w:val="20"/>
                <w:color w:val="auto"/>
              </w:rPr>
            </w:pPr>
            <w:r>
              <w:rPr>
                <w:rFonts w:ascii="Arial" w:cs="Arial" w:eastAsia="Arial" w:hAnsi="Arial"/>
                <w:sz w:val="22"/>
                <w:szCs w:val="22"/>
                <w:color w:val="auto"/>
              </w:rPr>
              <w:t>Dividend income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1,694,000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4,667,000</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r>
      <w:tr>
        <w:trPr>
          <w:trHeight w:val="267"/>
        </w:trPr>
        <w:tc>
          <w:tcPr>
            <w:tcW w:w="502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4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20,493,242</w:t>
            </w:r>
          </w:p>
        </w:tc>
        <w:tc>
          <w:tcPr>
            <w:tcW w:w="2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w w:val="94"/>
              </w:rPr>
              <w:t>25,407,629</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58,458,857</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78,946,286</w:t>
            </w:r>
          </w:p>
        </w:tc>
        <w:tc>
          <w:tcPr>
            <w:tcW w:w="100" w:type="dxa"/>
            <w:vAlign w:val="bottom"/>
          </w:tcPr>
          <w:p>
            <w:pPr>
              <w:spacing w:after="0"/>
              <w:rPr>
                <w:sz w:val="23"/>
                <w:szCs w:val="23"/>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4,357,897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4,643,273</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12,754,455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14,266,402</w:t>
            </w: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42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1,921,984</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4,579,657</w:t>
            </w: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6,941,877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8,316,571</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16,835,861</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26,145,154</w:t>
            </w:r>
          </w:p>
        </w:tc>
        <w:tc>
          <w:tcPr>
            <w:tcW w:w="100" w:type="dxa"/>
            <w:vAlign w:val="bottom"/>
          </w:tcPr>
          <w:p>
            <w:pPr>
              <w:spacing w:after="0"/>
              <w:rPr>
                <w:sz w:val="23"/>
                <w:szCs w:val="23"/>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380,020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521,520</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1,390,060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1,564,560</w:t>
            </w:r>
          </w:p>
        </w:tc>
        <w:tc>
          <w:tcPr>
            <w:tcW w:w="100" w:type="dxa"/>
            <w:vAlign w:val="bottom"/>
          </w:tcPr>
          <w:p>
            <w:pPr>
              <w:spacing w:after="0"/>
              <w:rPr>
                <w:sz w:val="23"/>
                <w:szCs w:val="23"/>
                <w:color w:val="auto"/>
              </w:rPr>
            </w:pPr>
          </w:p>
        </w:tc>
      </w:tr>
      <w:tr>
        <w:trPr>
          <w:trHeight w:val="274"/>
        </w:trPr>
        <w:tc>
          <w:tcPr>
            <w:tcW w:w="502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518,480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643,480</w:t>
            </w:r>
          </w:p>
        </w:tc>
        <w:tc>
          <w:tcPr>
            <w:tcW w:w="1480" w:type="dxa"/>
            <w:vAlign w:val="bottom"/>
            <w:gridSpan w:val="4"/>
          </w:tcPr>
          <w:p>
            <w:pPr>
              <w:jc w:val="right"/>
              <w:ind w:right="20"/>
              <w:spacing w:after="0"/>
              <w:rPr>
                <w:sz w:val="20"/>
                <w:szCs w:val="20"/>
                <w:color w:val="auto"/>
              </w:rPr>
            </w:pPr>
            <w:r>
              <w:rPr>
                <w:rFonts w:ascii="Arial" w:cs="Arial" w:eastAsia="Arial" w:hAnsi="Arial"/>
                <w:sz w:val="22"/>
                <w:szCs w:val="22"/>
                <w:color w:val="auto"/>
              </w:rPr>
              <w:t>1,805,443</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1,936,322</w:t>
            </w:r>
          </w:p>
        </w:tc>
        <w:tc>
          <w:tcPr>
            <w:tcW w:w="100" w:type="dxa"/>
            <w:vAlign w:val="bottom"/>
          </w:tcPr>
          <w:p>
            <w:pPr>
              <w:spacing w:after="0"/>
              <w:rPr>
                <w:sz w:val="23"/>
                <w:szCs w:val="23"/>
                <w:color w:val="auto"/>
              </w:rPr>
            </w:pPr>
          </w:p>
        </w:tc>
      </w:tr>
      <w:tr>
        <w:trPr>
          <w:trHeight w:val="271"/>
        </w:trPr>
        <w:tc>
          <w:tcPr>
            <w:tcW w:w="5020" w:type="dxa"/>
            <w:vAlign w:val="bottom"/>
          </w:tcPr>
          <w:p>
            <w:pPr>
              <w:ind w:left="260"/>
              <w:spacing w:after="0"/>
              <w:rPr>
                <w:sz w:val="20"/>
                <w:szCs w:val="20"/>
                <w:color w:val="auto"/>
              </w:rPr>
            </w:pPr>
            <w:r>
              <w:rPr>
                <w:rFonts w:ascii="Arial" w:cs="Arial" w:eastAsia="Arial" w:hAnsi="Arial"/>
                <w:sz w:val="22"/>
                <w:szCs w:val="22"/>
                <w:b w:val="1"/>
                <w:bCs w:val="1"/>
                <w:color w:val="auto"/>
                <w:w w:val="90"/>
              </w:rPr>
              <w:t>Expenses before performance-based incentive fee</w:t>
            </w:r>
          </w:p>
        </w:tc>
        <w:tc>
          <w:tcPr>
            <w:tcW w:w="420" w:type="dxa"/>
            <w:vAlign w:val="bottom"/>
          </w:tcPr>
          <w:p>
            <w:pPr>
              <w:spacing w:after="0"/>
              <w:rPr>
                <w:sz w:val="23"/>
                <w:szCs w:val="2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12,198,274</w:t>
            </w: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22"/>
                <w:szCs w:val="22"/>
                <w:color w:val="auto"/>
                <w:w w:val="94"/>
              </w:rPr>
              <w:t>16,046,828</w:t>
            </w:r>
          </w:p>
        </w:tc>
        <w:tc>
          <w:tcPr>
            <w:tcW w:w="220" w:type="dxa"/>
            <w:vAlign w:val="bottom"/>
          </w:tcPr>
          <w:p>
            <w:pPr>
              <w:spacing w:after="0"/>
              <w:rPr>
                <w:sz w:val="23"/>
                <w:szCs w:val="23"/>
                <w:color w:val="auto"/>
              </w:rPr>
            </w:pPr>
          </w:p>
        </w:tc>
        <w:tc>
          <w:tcPr>
            <w:tcW w:w="12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32,785,819</w:t>
            </w:r>
          </w:p>
        </w:tc>
        <w:tc>
          <w:tcPr>
            <w:tcW w:w="220" w:type="dxa"/>
            <w:vAlign w:val="bottom"/>
          </w:tcPr>
          <w:p>
            <w:pPr>
              <w:spacing w:after="0"/>
              <w:rPr>
                <w:sz w:val="23"/>
                <w:szCs w:val="2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48,492,095</w:t>
            </w:r>
          </w:p>
        </w:tc>
        <w:tc>
          <w:tcPr>
            <w:tcW w:w="100" w:type="dxa"/>
            <w:vAlign w:val="bottom"/>
          </w:tcPr>
          <w:p>
            <w:pPr>
              <w:spacing w:after="0"/>
              <w:rPr>
                <w:sz w:val="23"/>
                <w:szCs w:val="23"/>
                <w:color w:val="auto"/>
              </w:rPr>
            </w:pPr>
          </w:p>
        </w:tc>
      </w:tr>
    </w:tbl>
    <w:p>
      <w:pPr>
        <w:sectPr>
          <w:pgSz w:w="11900" w:h="16838" w:orient="portrait"/>
          <w:cols w:equalWidth="0" w:num="1">
            <w:col w:w="11220"/>
          </w:cols>
          <w:pgMar w:left="340" w:top="108"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waiver and provision for taxes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40" w:type="dxa"/>
            <w:vAlign w:val="bottom"/>
          </w:tcPr>
          <w:p>
            <w:pPr>
              <w:ind w:left="260"/>
              <w:spacing w:after="0"/>
              <w:rPr>
                <w:sz w:val="20"/>
                <w:szCs w:val="20"/>
                <w:color w:val="auto"/>
              </w:rPr>
            </w:pPr>
            <w:r>
              <w:rPr>
                <w:rFonts w:ascii="Arial" w:cs="Arial" w:eastAsia="Arial" w:hAnsi="Arial"/>
                <w:sz w:val="22"/>
                <w:szCs w:val="22"/>
                <w:color w:val="auto"/>
              </w:rPr>
              <w:t>Performance-based incentive fee waiver</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(1,921,984)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5"/>
              </w:rPr>
              <w:t>(1,921,984)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150,000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450,000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12,348,274</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14,424,844</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33,235,819</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47,470,111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8,144,968</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10,982,785</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25,223,038</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31,476,175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line="209" w:lineRule="exact"/>
              <w:rPr>
                <w:sz w:val="20"/>
                <w:szCs w:val="20"/>
                <w:color w:val="auto"/>
              </w:rPr>
            </w:pPr>
            <w:r>
              <w:rPr>
                <w:rFonts w:ascii="Arial" w:cs="Arial" w:eastAsia="Arial" w:hAnsi="Arial"/>
                <w:sz w:val="22"/>
                <w:szCs w:val="22"/>
                <w:b w:val="1"/>
                <w:bCs w:val="1"/>
                <w:color w:val="auto"/>
                <w:w w:val="93"/>
              </w:rPr>
              <w:t>Realized and unrealized gain (loss) on investments and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4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Net realized gain (loss) on investments on:</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41,687,247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rPr>
              <w:t>(109,739)</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44,137,637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(10,719,114)</w:t>
            </w: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6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22"/>
                <w:szCs w:val="22"/>
                <w:color w:val="auto"/>
                <w:w w:val="94"/>
              </w:rPr>
              <w:t>(19,708,359)</w:t>
            </w: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Net realized gain (loss) on investments</w:t>
            </w: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41,687,247</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(109,739)</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24,429,278</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6"/>
              </w:rPr>
              <w:t>(10,719,114)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2"/>
                <w:szCs w:val="22"/>
                <w:color w:val="auto"/>
                <w:w w:val="99"/>
              </w:rPr>
              <w:t>Net change in unrealized appreciation (depreciation) on:</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6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w w:val="92"/>
              </w:rPr>
              <w:t>(41,842,629)</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11,319,274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45,769,638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(12,334,358)</w:t>
            </w: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25,512,201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18,495,283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64,581,297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(55,200,078)</w:t>
            </w: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16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(1,621,774)</w:t>
            </w:r>
          </w:p>
        </w:tc>
        <w:tc>
          <w:tcPr>
            <w:tcW w:w="16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2"/>
              </w:rPr>
              <w:t>(25,073,673)</w:t>
            </w:r>
          </w:p>
        </w:tc>
        <w:tc>
          <w:tcPr>
            <w:tcW w:w="14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22"/>
                <w:szCs w:val="22"/>
                <w:color w:val="auto"/>
                <w:w w:val="94"/>
              </w:rPr>
              <w:t>(18,494,368)</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21,301,111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4"/>
              </w:rPr>
              <w:t>Net change in unrealized appreciation (depreciation)</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on investments and debt</w:t>
            </w:r>
          </w:p>
        </w:tc>
        <w:tc>
          <w:tcPr>
            <w:tcW w:w="16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w w:val="92"/>
              </w:rPr>
              <w:t>(17,952,202)</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4,740,884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91,856,567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(46,233,325)</w:t>
            </w:r>
          </w:p>
        </w:tc>
        <w:tc>
          <w:tcPr>
            <w:tcW w:w="0" w:type="dxa"/>
            <w:vAlign w:val="bottom"/>
          </w:tcPr>
          <w:p>
            <w:pPr>
              <w:spacing w:after="0"/>
              <w:rPr>
                <w:sz w:val="1"/>
                <w:szCs w:val="1"/>
                <w:color w:val="auto"/>
              </w:rPr>
            </w:pPr>
          </w:p>
        </w:tc>
      </w:tr>
      <w:tr>
        <w:trPr>
          <w:trHeight w:val="213"/>
        </w:trPr>
        <w:tc>
          <w:tcPr>
            <w:tcW w:w="5440" w:type="dxa"/>
            <w:vAlign w:val="bottom"/>
          </w:tcPr>
          <w:p>
            <w:pPr>
              <w:spacing w:after="0" w:line="212" w:lineRule="exact"/>
              <w:rPr>
                <w:sz w:val="20"/>
                <w:szCs w:val="20"/>
                <w:color w:val="auto"/>
              </w:rPr>
            </w:pPr>
            <w:r>
              <w:rPr>
                <w:rFonts w:ascii="Arial" w:cs="Arial" w:eastAsia="Arial" w:hAnsi="Arial"/>
                <w:sz w:val="22"/>
                <w:szCs w:val="22"/>
                <w:b w:val="1"/>
                <w:bCs w:val="1"/>
                <w:color w:val="auto"/>
                <w:w w:val="91"/>
              </w:rPr>
              <w:t>Net realized and unrealized gain (loss) from investments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23,735,045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4,631,145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116,285,845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(56,952,439)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232" w:lineRule="exact"/>
              <w:rPr>
                <w:sz w:val="20"/>
                <w:szCs w:val="20"/>
                <w:color w:val="auto"/>
              </w:rPr>
            </w:pPr>
            <w:r>
              <w:rPr>
                <w:rFonts w:ascii="Arial" w:cs="Arial" w:eastAsia="Arial" w:hAnsi="Arial"/>
                <w:sz w:val="22"/>
                <w:szCs w:val="22"/>
                <w:b w:val="1"/>
                <w:bCs w:val="1"/>
                <w:color w:val="auto"/>
              </w:rPr>
              <w:t>Net increase (decrease) in net assets resulting from</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w w:val="96"/>
              </w:rPr>
              <w:t>31,880,013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6"/>
              </w:rPr>
              <w:t>15,613,930</w:t>
            </w:r>
          </w:p>
        </w:tc>
        <w:tc>
          <w:tcPr>
            <w:tcW w:w="2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w w:val="88"/>
              </w:rPr>
              <w:t>141,508,883</w:t>
            </w:r>
          </w:p>
        </w:tc>
        <w:tc>
          <w:tcPr>
            <w:tcW w:w="2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w w:val="88"/>
              </w:rPr>
              <w:t>(25,476,264 )</w:t>
            </w: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242" w:lineRule="exact"/>
              <w:rPr>
                <w:sz w:val="20"/>
                <w:szCs w:val="20"/>
                <w:color w:val="auto"/>
              </w:rPr>
            </w:pPr>
            <w:r>
              <w:rPr>
                <w:rFonts w:ascii="Arial" w:cs="Arial" w:eastAsia="Arial" w:hAnsi="Arial"/>
                <w:sz w:val="22"/>
                <w:szCs w:val="22"/>
                <w:color w:val="auto"/>
              </w:rPr>
              <w:t>Net increase (decrease) in net assets resulting from</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44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0.48</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0.23</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2.11</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rPr>
              <w:t>(0.38 )</w:t>
            </w:r>
          </w:p>
        </w:tc>
        <w:tc>
          <w:tcPr>
            <w:tcW w:w="0" w:type="dxa"/>
            <w:vAlign w:val="bottom"/>
          </w:tcPr>
          <w:p>
            <w:pPr>
              <w:spacing w:after="0"/>
              <w:rPr>
                <w:sz w:val="1"/>
                <w:szCs w:val="1"/>
                <w:color w:val="auto"/>
              </w:rPr>
            </w:pPr>
          </w:p>
        </w:tc>
      </w:tr>
      <w:tr>
        <w:trPr>
          <w:trHeight w:val="251"/>
        </w:trPr>
        <w:tc>
          <w:tcPr>
            <w:tcW w:w="5440" w:type="dxa"/>
            <w:vAlign w:val="bottom"/>
          </w:tcPr>
          <w:p>
            <w:pPr>
              <w:spacing w:after="0" w:line="251" w:lineRule="exact"/>
              <w:rPr>
                <w:sz w:val="20"/>
                <w:szCs w:val="20"/>
                <w:color w:val="auto"/>
              </w:rPr>
            </w:pPr>
            <w:r>
              <w:rPr>
                <w:rFonts w:ascii="Arial" w:cs="Arial" w:eastAsia="Arial" w:hAnsi="Arial"/>
                <w:sz w:val="22"/>
                <w:szCs w:val="22"/>
                <w:color w:val="auto"/>
              </w:rPr>
              <w:t>operations per common share</w:t>
            </w:r>
          </w:p>
        </w:tc>
        <w:tc>
          <w:tcPr>
            <w:tcW w:w="16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0.12</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0.16</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0.38</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$5.2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2"/>
          <w:szCs w:val="22"/>
          <w:color w:val="auto"/>
        </w:rPr>
        <w:t>CONTACT:</w:t>
        <w:tab/>
        <w:t>Richard Cheung</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PennantPark Investment Corporation</w:t>
      </w:r>
    </w:p>
    <w:p>
      <w:pPr>
        <w:spacing w:after="0" w:line="17" w:lineRule="exact"/>
        <w:rPr>
          <w:sz w:val="20"/>
          <w:szCs w:val="20"/>
          <w:color w:val="auto"/>
        </w:rPr>
      </w:pPr>
    </w:p>
    <w:p>
      <w:pPr>
        <w:ind w:left="1380" w:right="7860" w:hanging="9"/>
        <w:spacing w:after="0" w:line="353" w:lineRule="auto"/>
        <w:tabs>
          <w:tab w:leader="none" w:pos="190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1" w:right="339" w:bottom="1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2021-08-04T17:02:36Z</dcterms:created>
  <dcterms:modified xsi:type="dcterms:W3CDTF">2021-08-04T17:02:36Z</dcterms:modified>
</cp:coreProperties>
</file>