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January 10, 2020</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Investment Corporation</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814-00736</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20-8250744</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4"/>
          <w:szCs w:val="24"/>
          <w:color w:val="auto"/>
        </w:rPr>
      </w:pP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505"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3700" w:type="dxa"/>
            <w:vAlign w:val="bottom"/>
          </w:tcPr>
          <w:p>
            <w:pPr>
              <w:jc w:val="center"/>
              <w:ind w:right="490"/>
              <w:spacing w:after="0"/>
              <w:rPr>
                <w:sz w:val="20"/>
                <w:szCs w:val="20"/>
                <w:color w:val="auto"/>
              </w:rPr>
            </w:pPr>
            <w:r>
              <w:rPr>
                <w:rFonts w:ascii="Arial" w:cs="Arial" w:eastAsia="Arial" w:hAnsi="Arial"/>
                <w:sz w:val="18"/>
                <w:szCs w:val="18"/>
                <w:b w:val="1"/>
                <w:bCs w:val="1"/>
                <w:color w:val="auto"/>
                <w:w w:val="89"/>
              </w:rPr>
              <w:t>Title of Each Class</w:t>
            </w:r>
          </w:p>
        </w:tc>
        <w:tc>
          <w:tcPr>
            <w:tcW w:w="2420" w:type="dxa"/>
            <w:vAlign w:val="bottom"/>
          </w:tcPr>
          <w:p>
            <w:pPr>
              <w:jc w:val="center"/>
              <w:ind w:left="50"/>
              <w:spacing w:after="0"/>
              <w:rPr>
                <w:sz w:val="20"/>
                <w:szCs w:val="20"/>
                <w:color w:val="auto"/>
              </w:rPr>
            </w:pPr>
            <w:r>
              <w:rPr>
                <w:rFonts w:ascii="Arial" w:cs="Arial" w:eastAsia="Arial" w:hAnsi="Arial"/>
                <w:sz w:val="18"/>
                <w:szCs w:val="18"/>
                <w:b w:val="1"/>
                <w:bCs w:val="1"/>
                <w:color w:val="auto"/>
                <w:w w:val="91"/>
              </w:rPr>
              <w:t>Trading Symbol(s)</w:t>
            </w:r>
          </w:p>
        </w:tc>
        <w:tc>
          <w:tcPr>
            <w:tcW w:w="3940" w:type="dxa"/>
            <w:vAlign w:val="bottom"/>
          </w:tcPr>
          <w:p>
            <w:pPr>
              <w:jc w:val="center"/>
              <w:ind w:left="330"/>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16"/>
        </w:trPr>
        <w:tc>
          <w:tcPr>
            <w:tcW w:w="3700" w:type="dxa"/>
            <w:vAlign w:val="bottom"/>
          </w:tcPr>
          <w:p>
            <w:pPr>
              <w:jc w:val="center"/>
              <w:ind w:right="490"/>
              <w:spacing w:after="0"/>
              <w:rPr>
                <w:sz w:val="20"/>
                <w:szCs w:val="20"/>
                <w:color w:val="auto"/>
              </w:rPr>
            </w:pPr>
            <w:r>
              <w:rPr>
                <w:rFonts w:ascii="Arial" w:cs="Arial" w:eastAsia="Arial" w:hAnsi="Arial"/>
                <w:sz w:val="18"/>
                <w:szCs w:val="18"/>
                <w:color w:val="auto"/>
                <w:w w:val="89"/>
              </w:rPr>
              <w:t>Common Stock, par value $0.001 per share</w:t>
            </w:r>
          </w:p>
        </w:tc>
        <w:tc>
          <w:tcPr>
            <w:tcW w:w="2420" w:type="dxa"/>
            <w:vAlign w:val="bottom"/>
          </w:tcPr>
          <w:p>
            <w:pPr>
              <w:jc w:val="center"/>
              <w:ind w:left="70"/>
              <w:spacing w:after="0"/>
              <w:rPr>
                <w:sz w:val="20"/>
                <w:szCs w:val="20"/>
                <w:color w:val="auto"/>
              </w:rPr>
            </w:pPr>
            <w:r>
              <w:rPr>
                <w:rFonts w:ascii="Arial" w:cs="Arial" w:eastAsia="Arial" w:hAnsi="Arial"/>
                <w:sz w:val="18"/>
                <w:szCs w:val="18"/>
                <w:color w:val="auto"/>
                <w:w w:val="93"/>
              </w:rPr>
              <w:t>PNNT</w:t>
            </w:r>
          </w:p>
        </w:tc>
        <w:tc>
          <w:tcPr>
            <w:tcW w:w="3940" w:type="dxa"/>
            <w:vAlign w:val="bottom"/>
          </w:tcPr>
          <w:p>
            <w:pPr>
              <w:jc w:val="center"/>
              <w:ind w:left="310"/>
              <w:spacing w:after="0"/>
              <w:rPr>
                <w:sz w:val="20"/>
                <w:szCs w:val="20"/>
                <w:color w:val="auto"/>
              </w:rPr>
            </w:pPr>
            <w:r>
              <w:rPr>
                <w:rFonts w:ascii="Arial" w:cs="Arial" w:eastAsia="Arial" w:hAnsi="Arial"/>
                <w:sz w:val="18"/>
                <w:szCs w:val="18"/>
                <w:color w:val="auto"/>
                <w:w w:val="91"/>
              </w:rPr>
              <w:t>The Nasdaq Stock Market LLC</w:t>
            </w:r>
          </w:p>
        </w:tc>
      </w:tr>
      <w:tr>
        <w:trPr>
          <w:trHeight w:val="230"/>
        </w:trPr>
        <w:tc>
          <w:tcPr>
            <w:tcW w:w="3700" w:type="dxa"/>
            <w:vAlign w:val="bottom"/>
          </w:tcPr>
          <w:p>
            <w:pPr>
              <w:jc w:val="center"/>
              <w:ind w:right="490"/>
              <w:spacing w:after="0"/>
              <w:rPr>
                <w:sz w:val="20"/>
                <w:szCs w:val="20"/>
                <w:color w:val="auto"/>
              </w:rPr>
            </w:pPr>
            <w:r>
              <w:rPr>
                <w:rFonts w:ascii="Arial" w:cs="Arial" w:eastAsia="Arial" w:hAnsi="Arial"/>
                <w:sz w:val="18"/>
                <w:szCs w:val="18"/>
                <w:color w:val="auto"/>
                <w:w w:val="89"/>
              </w:rPr>
              <w:t>5.50% Notes due 2024</w:t>
            </w:r>
          </w:p>
        </w:tc>
        <w:tc>
          <w:tcPr>
            <w:tcW w:w="2420" w:type="dxa"/>
            <w:vAlign w:val="bottom"/>
          </w:tcPr>
          <w:p>
            <w:pPr>
              <w:jc w:val="center"/>
              <w:ind w:left="50"/>
              <w:spacing w:after="0"/>
              <w:rPr>
                <w:sz w:val="20"/>
                <w:szCs w:val="20"/>
                <w:color w:val="auto"/>
              </w:rPr>
            </w:pPr>
            <w:r>
              <w:rPr>
                <w:rFonts w:ascii="Arial" w:cs="Arial" w:eastAsia="Arial" w:hAnsi="Arial"/>
                <w:sz w:val="18"/>
                <w:szCs w:val="18"/>
                <w:color w:val="auto"/>
                <w:w w:val="95"/>
              </w:rPr>
              <w:t>PNNTG</w:t>
            </w:r>
          </w:p>
        </w:tc>
        <w:tc>
          <w:tcPr>
            <w:tcW w:w="3940" w:type="dxa"/>
            <w:vAlign w:val="bottom"/>
          </w:tcPr>
          <w:p>
            <w:pPr>
              <w:jc w:val="center"/>
              <w:ind w:left="310"/>
              <w:spacing w:after="0"/>
              <w:rPr>
                <w:sz w:val="20"/>
                <w:szCs w:val="20"/>
                <w:color w:val="auto"/>
              </w:rPr>
            </w:pPr>
            <w:r>
              <w:rPr>
                <w:rFonts w:ascii="Arial" w:cs="Arial" w:eastAsia="Arial" w:hAnsi="Arial"/>
                <w:sz w:val="18"/>
                <w:szCs w:val="18"/>
                <w:color w:val="auto"/>
                <w:w w:val="91"/>
              </w:rPr>
              <w:t>The Nasdaq Stock Market LLC</w:t>
            </w:r>
          </w:p>
        </w:tc>
      </w:tr>
    </w:tbl>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252095</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On January 10, 2020, PennantPark Investment Corporation issued a press release announcing its scheduled earnings release for the first fiscal quarter ended December 31, 2019. A copy of the press release is furnished as Exhibit 99.1 to this report, pursuant to Item 7.01 and Regulation FD.</w:t>
      </w:r>
    </w:p>
    <w:p>
      <w:pPr>
        <w:spacing w:after="0" w:line="14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2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20" w:hanging="592"/>
        <w:spacing w:after="0" w:line="250" w:lineRule="auto"/>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800" w:hanging="592"/>
        <w:spacing w:after="0" w:line="250" w:lineRule="auto"/>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5"/>
            <w:szCs w:val="15"/>
            <w:u w:val="single" w:color="auto"/>
            <w:color w:val="0000EE"/>
          </w:rPr>
          <w:t>Press Release of PennantPark Investment Corporation dated January 10,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680" w:type="dxa"/>
            <w:vAlign w:val="bottom"/>
            <w:gridSpan w:val="3"/>
          </w:tcPr>
          <w:p>
            <w:pPr>
              <w:ind w:left="1900"/>
              <w:spacing w:after="0"/>
              <w:rPr>
                <w:sz w:val="20"/>
                <w:szCs w:val="20"/>
                <w:color w:val="auto"/>
              </w:rPr>
            </w:pPr>
            <w:r>
              <w:rPr>
                <w:rFonts w:ascii="Arial" w:cs="Arial" w:eastAsia="Arial" w:hAnsi="Arial"/>
                <w:sz w:val="18"/>
                <w:szCs w:val="18"/>
                <w:b w:val="1"/>
                <w:bCs w:val="1"/>
                <w:color w:val="auto"/>
              </w:rPr>
              <w:t>PennantPark Investment Corporation</w:t>
            </w:r>
          </w:p>
        </w:tc>
      </w:tr>
      <w:tr>
        <w:trPr>
          <w:trHeight w:val="608"/>
        </w:trPr>
        <w:tc>
          <w:tcPr>
            <w:tcW w:w="3560" w:type="dxa"/>
            <w:vAlign w:val="bottom"/>
          </w:tcPr>
          <w:p>
            <w:pPr>
              <w:spacing w:after="0"/>
              <w:rPr>
                <w:sz w:val="20"/>
                <w:szCs w:val="20"/>
                <w:color w:val="auto"/>
              </w:rPr>
            </w:pPr>
            <w:r>
              <w:rPr>
                <w:rFonts w:ascii="Arial" w:cs="Arial" w:eastAsia="Arial" w:hAnsi="Arial"/>
                <w:sz w:val="18"/>
                <w:szCs w:val="18"/>
                <w:color w:val="auto"/>
              </w:rPr>
              <w:t>Date: January 10, 2020</w:t>
            </w:r>
          </w:p>
        </w:tc>
        <w:tc>
          <w:tcPr>
            <w:tcW w:w="7680" w:type="dxa"/>
            <w:vAlign w:val="bottom"/>
            <w:gridSpan w:val="3"/>
          </w:tcPr>
          <w:p>
            <w:pPr>
              <w:ind w:left="1900"/>
              <w:spacing w:after="0"/>
              <w:rPr>
                <w:sz w:val="20"/>
                <w:szCs w:val="20"/>
                <w:color w:val="auto"/>
              </w:rPr>
            </w:pPr>
            <w:r>
              <w:rPr>
                <w:rFonts w:ascii="Arial" w:cs="Arial" w:eastAsia="Arial" w:hAnsi="Arial"/>
                <w:sz w:val="18"/>
                <w:szCs w:val="18"/>
                <w:color w:val="auto"/>
              </w:rPr>
              <w:t>By: /s/ Aviv Efrat</w:t>
            </w:r>
          </w:p>
        </w:tc>
      </w:tr>
      <w:tr>
        <w:trPr>
          <w:trHeight w:val="222"/>
        </w:trPr>
        <w:tc>
          <w:tcPr>
            <w:tcW w:w="35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4140" w:type="dxa"/>
            <w:vAlign w:val="bottom"/>
          </w:tcPr>
          <w:p>
            <w:pPr>
              <w:spacing w:after="0"/>
              <w:rPr>
                <w:sz w:val="19"/>
                <w:szCs w:val="19"/>
                <w:color w:val="auto"/>
              </w:rPr>
            </w:pPr>
          </w:p>
        </w:tc>
      </w:tr>
      <w:tr>
        <w:trPr>
          <w:trHeight w:val="230"/>
        </w:trPr>
        <w:tc>
          <w:tcPr>
            <w:tcW w:w="35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Chief Financial Officer &amp; Treasurer</w:t>
            </w:r>
          </w:p>
        </w:tc>
      </w:tr>
      <w:tr>
        <w:trPr>
          <w:trHeight w:val="442"/>
        </w:trPr>
        <w:tc>
          <w:tcPr>
            <w:tcW w:w="3560" w:type="dxa"/>
            <w:vAlign w:val="bottom"/>
            <w:tcBorders>
              <w:bottom w:val="single" w:sz="8" w:color="808080"/>
            </w:tcBorders>
          </w:tcPr>
          <w:p>
            <w:pPr>
              <w:spacing w:after="0"/>
              <w:rPr>
                <w:sz w:val="24"/>
                <w:szCs w:val="24"/>
                <w:color w:val="auto"/>
              </w:rPr>
            </w:pPr>
          </w:p>
        </w:tc>
        <w:tc>
          <w:tcPr>
            <w:tcW w:w="222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4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ind w:left="490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6"/>
          <w:szCs w:val="16"/>
          <w:b w:val="1"/>
          <w:bCs w:val="1"/>
          <w:u w:val="single" w:color="auto"/>
          <w:color w:val="auto"/>
        </w:rPr>
        <w:t>Description</w:t>
      </w:r>
    </w:p>
    <w:p>
      <w:pPr>
        <w:spacing w:after="0" w:line="310" w:lineRule="exact"/>
        <w:rPr>
          <w:sz w:val="20"/>
          <w:szCs w:val="20"/>
          <w:color w:val="auto"/>
        </w:rPr>
      </w:pPr>
    </w:p>
    <w:p>
      <w:pPr>
        <w:spacing w:after="0"/>
        <w:tabs>
          <w:tab w:leader="none" w:pos="1060" w:val="left"/>
        </w:tabs>
        <w:rPr>
          <w:rFonts w:ascii="Arial" w:cs="Arial" w:eastAsia="Arial" w:hAnsi="Arial"/>
          <w:sz w:val="15"/>
          <w:szCs w:val="15"/>
          <w:u w:val="single" w:color="auto"/>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5">
        <w:r>
          <w:rPr>
            <w:rFonts w:ascii="Arial" w:cs="Arial" w:eastAsia="Arial" w:hAnsi="Arial"/>
            <w:sz w:val="15"/>
            <w:szCs w:val="15"/>
            <w:u w:val="single" w:color="auto"/>
            <w:color w:val="0000EE"/>
          </w:rPr>
          <w:t>Press Release of PennantPark Investment Corporation dated January 10, 2020</w:t>
        </w:r>
      </w:hyperlink>
    </w:p>
    <w:p>
      <w:pPr>
        <w:sectPr>
          <w:pgSz w:w="11900" w:h="16838" w:orient="portrait"/>
          <w:cols w:equalWidth="0" w:num="1">
            <w:col w:w="10119"/>
          </w:cols>
          <w:pgMar w:left="340" w:top="337"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Investment Corporation Schedules Earnings Release of First Fiscal Quarter 2020 Results</w:t>
      </w:r>
    </w:p>
    <w:p>
      <w:pPr>
        <w:spacing w:after="0" w:line="212"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NEW YORK, Jan. 10, 2020 (GLOBE NEWSWIRE) -- PennantPark Investment Corporation (the "Company") (NASDAQ: PNNT) announced that it will report results for the first fiscal quarter ended December 31, 2019 on Thursday, February 6, 2020 after the close of the financial markets.</w:t>
      </w:r>
    </w:p>
    <w:p>
      <w:pPr>
        <w:spacing w:after="0" w:line="18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Company will also host a conference call at 10:00 a.m. (Eastern Time) on Friday February 7, 2020 to discuss its financial results. All interested parties are welcome to participate. You can access the conference call by dialing toll-free (888) 394-8218 approximately 5-10 minutes prior to the call. International callers should dial (646) 828-8193. All callers should reference conference ID #6437018 PennantPark Investment Corporation. An archived replay of the call will be available through February 21, 2020 by calling toll-free (888) 203-1112. International callers please dial (719) 457-0820. For all phone replays, please reference conference ID #6437018.</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first lien secured debt, second lien secured debt, subordinated debt and equity investments. PennantPark Investment Corporation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0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PennantPark Investment Advisers, LLC is a leading middle market credit platform, which has $3.3 billion of assets under management.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Investment Corporation</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2020-05-05T15:08:47Z</dcterms:created>
  <dcterms:modified xsi:type="dcterms:W3CDTF">2020-05-05T15:08:47Z</dcterms:modified>
</cp:coreProperties>
</file>