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198120</wp:posOffset>
            </wp:positionH>
            <wp:positionV relativeFrom="page">
              <wp:posOffset>147320</wp:posOffset>
            </wp:positionV>
            <wp:extent cx="7152005" cy="22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22225"/>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294005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_____________________</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5"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_____________________</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15"/>
          <w:szCs w:val="15"/>
          <w:color w:val="auto"/>
        </w:rPr>
        <w:t>Date of Report (Date of earliest event Reported): July 9, 2020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Charter)</w:t>
      </w:r>
    </w:p>
    <w:p>
      <w:pPr>
        <w:sectPr>
          <w:pgSz w:w="11900" w:h="16838" w:orient="portrait"/>
          <w:cols w:equalWidth="0" w:num="1">
            <w:col w:w="11240"/>
          </w:cols>
          <w:pgMar w:left="320" w:top="639" w:right="339" w:bottom="1440" w:gutter="0" w:footer="0" w:header="0"/>
        </w:sectPr>
      </w:pPr>
    </w:p>
    <w:p>
      <w:pPr>
        <w:spacing w:after="0" w:line="181" w:lineRule="exact"/>
        <w:rPr>
          <w:sz w:val="24"/>
          <w:szCs w:val="24"/>
          <w:color w:val="auto"/>
        </w:rPr>
      </w:pPr>
    </w:p>
    <w:p>
      <w:pPr>
        <w:jc w:val="center"/>
        <w:ind w:right="340"/>
        <w:spacing w:after="0"/>
        <w:rPr>
          <w:sz w:val="20"/>
          <w:szCs w:val="20"/>
          <w:color w:val="auto"/>
        </w:rPr>
      </w:pPr>
      <w:r>
        <w:rPr>
          <w:rFonts w:ascii="Arial" w:cs="Arial" w:eastAsia="Arial" w:hAnsi="Arial"/>
          <w:sz w:val="15"/>
          <w:szCs w:val="15"/>
          <w:b w:val="1"/>
          <w:bCs w:val="1"/>
          <w:color w:val="auto"/>
        </w:rPr>
        <w:t>Maryland</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940"/>
        <w:spacing w:after="0"/>
        <w:rPr>
          <w:sz w:val="20"/>
          <w:szCs w:val="20"/>
          <w:color w:val="auto"/>
        </w:rPr>
      </w:pPr>
      <w:r>
        <w:rPr>
          <w:rFonts w:ascii="Arial" w:cs="Arial" w:eastAsia="Arial" w:hAnsi="Arial"/>
          <w:sz w:val="15"/>
          <w:szCs w:val="15"/>
          <w:b w:val="1"/>
          <w:bCs w:val="1"/>
          <w:color w:val="auto"/>
        </w:rPr>
        <w:t>814-00736</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20-8250744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ectPr>
          <w:pgSz w:w="11900" w:h="16838" w:orient="portrait"/>
          <w:cols w:equalWidth="0" w:num="3">
            <w:col w:w="4060" w:space="720"/>
            <w:col w:w="2640" w:space="720"/>
            <w:col w:w="3100"/>
          </w:cols>
          <w:pgMar w:left="320" w:top="639" w:right="339" w:bottom="1440" w:gutter="0" w:footer="0" w:header="0"/>
          <w:type w:val="continuous"/>
        </w:sectPr>
      </w:pPr>
    </w:p>
    <w:p>
      <w:pPr>
        <w:spacing w:after="0" w:line="38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590 Madison Avenue, 15th Floor, New York, NY 10022</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(Address of Principal Executive Offices) (Zip Code)</w:t>
      </w: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212-905-1000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(Registrant's telephone number, including area code)</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or former address, if changed since last report)</w:t>
      </w:r>
    </w:p>
    <w:p>
      <w:pPr>
        <w:sectPr>
          <w:pgSz w:w="11900" w:h="16838" w:orient="portrait"/>
          <w:cols w:equalWidth="0" w:num="1">
            <w:col w:w="11240"/>
          </w:cols>
          <w:pgMar w:left="320" w:top="639" w:right="339" w:bottom="1440" w:gutter="0" w:footer="0" w:header="0"/>
          <w:type w:val="continuous"/>
        </w:sectPr>
      </w:pP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240" w:type="dxa"/>
        <w:tblCellMar>
          <w:top w:w="0" w:type="dxa"/>
          <w:left w:w="0" w:type="dxa"/>
          <w:bottom w:w="0" w:type="dxa"/>
          <w:right w:w="0" w:type="dxa"/>
        </w:tblCellMar>
      </w:tblPr>
      <w:tr>
        <w:trPr>
          <w:trHeight w:val="185"/>
        </w:trPr>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060" w:type="dxa"/>
            <w:vAlign w:val="bottom"/>
          </w:tcPr>
          <w:p>
            <w:pPr>
              <w:ind w:left="160"/>
              <w:spacing w:after="0"/>
              <w:rPr>
                <w:sz w:val="20"/>
                <w:szCs w:val="20"/>
                <w:color w:val="auto"/>
              </w:rPr>
            </w:pPr>
            <w:r>
              <w:rPr>
                <w:rFonts w:ascii="Arial" w:cs="Arial" w:eastAsia="Arial" w:hAnsi="Arial"/>
                <w:sz w:val="15"/>
                <w:szCs w:val="15"/>
                <w:color w:val="auto"/>
              </w:rPr>
              <w:t>Written communications pursuant to Rule 425 under the Securities Act (17 CFR 230.425)</w:t>
            </w:r>
          </w:p>
        </w:tc>
      </w:tr>
      <w:tr>
        <w:trPr>
          <w:trHeight w:val="185"/>
        </w:trPr>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060" w:type="dxa"/>
            <w:vAlign w:val="bottom"/>
          </w:tcPr>
          <w:p>
            <w:pPr>
              <w:ind w:left="160"/>
              <w:spacing w:after="0"/>
              <w:rPr>
                <w:sz w:val="20"/>
                <w:szCs w:val="20"/>
                <w:color w:val="auto"/>
              </w:rPr>
            </w:pPr>
            <w:r>
              <w:rPr>
                <w:rFonts w:ascii="Arial" w:cs="Arial" w:eastAsia="Arial" w:hAnsi="Arial"/>
                <w:sz w:val="15"/>
                <w:szCs w:val="15"/>
                <w:color w:val="auto"/>
              </w:rPr>
              <w:t>Soliciting material pursuant to Rule 14a-12 under the Exchange Act (17 CFR 240.14a-12)</w:t>
            </w:r>
          </w:p>
        </w:tc>
      </w:tr>
      <w:tr>
        <w:trPr>
          <w:trHeight w:val="195"/>
        </w:trPr>
        <w:tc>
          <w:tcPr>
            <w:tcW w:w="100" w:type="dxa"/>
            <w:vAlign w:val="bottom"/>
          </w:tcPr>
          <w:p>
            <w:pPr>
              <w:jc w:val="right"/>
              <w:ind w:right="11"/>
              <w:spacing w:after="0"/>
              <w:rPr>
                <w:sz w:val="20"/>
                <w:szCs w:val="20"/>
                <w:color w:val="auto"/>
              </w:rPr>
            </w:pPr>
            <w:r>
              <w:rPr>
                <w:rFonts w:ascii="Arial" w:cs="Arial" w:eastAsia="Arial" w:hAnsi="Arial"/>
                <w:sz w:val="10"/>
                <w:szCs w:val="10"/>
                <w:color w:val="auto"/>
                <w:w w:val="70"/>
              </w:rPr>
              <w: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060" w:type="dxa"/>
            <w:vAlign w:val="bottom"/>
          </w:tcPr>
          <w:p>
            <w:pPr>
              <w:ind w:left="160"/>
              <w:spacing w:after="0"/>
              <w:rPr>
                <w:sz w:val="20"/>
                <w:szCs w:val="20"/>
                <w:color w:val="auto"/>
              </w:rPr>
            </w:pPr>
            <w:r>
              <w:rPr>
                <w:rFonts w:ascii="Arial" w:cs="Arial" w:eastAsia="Arial" w:hAnsi="Arial"/>
                <w:sz w:val="15"/>
                <w:szCs w:val="15"/>
                <w:color w:val="auto"/>
                <w:w w:val="92"/>
              </w:rPr>
              <w:t>Pre-commencement communications pursuant to Rule 14d-2(b) under the Exchange Act (17 CFR 240.14d-2(b))</w:t>
            </w:r>
          </w:p>
        </w:tc>
      </w:tr>
    </w:tbl>
    <w:p>
      <w:pPr>
        <w:ind w:right="3600" w:firstLine="235"/>
        <w:spacing w:after="0" w:line="519" w:lineRule="auto"/>
        <w:tabs>
          <w:tab w:leader="none" w:pos="409"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80" w:type="dxa"/>
        <w:tblCellMar>
          <w:top w:w="0" w:type="dxa"/>
          <w:left w:w="0" w:type="dxa"/>
          <w:bottom w:w="0" w:type="dxa"/>
          <w:right w:w="0" w:type="dxa"/>
        </w:tblCellMar>
      </w:tblPr>
      <w:tr>
        <w:trPr>
          <w:trHeight w:val="189"/>
        </w:trPr>
        <w:tc>
          <w:tcPr>
            <w:tcW w:w="3400" w:type="dxa"/>
            <w:vAlign w:val="bottom"/>
          </w:tcPr>
          <w:p>
            <w:pPr>
              <w:jc w:val="center"/>
              <w:ind w:right="663"/>
              <w:spacing w:after="0"/>
              <w:rPr>
                <w:sz w:val="20"/>
                <w:szCs w:val="20"/>
                <w:color w:val="auto"/>
              </w:rPr>
            </w:pPr>
            <w:r>
              <w:rPr>
                <w:rFonts w:ascii="Arial" w:cs="Arial" w:eastAsia="Arial" w:hAnsi="Arial"/>
                <w:sz w:val="15"/>
                <w:szCs w:val="15"/>
                <w:b w:val="1"/>
                <w:bCs w:val="1"/>
                <w:color w:val="auto"/>
                <w:w w:val="91"/>
              </w:rPr>
              <w:t>Title of Each Class</w:t>
            </w:r>
          </w:p>
        </w:tc>
        <w:tc>
          <w:tcPr>
            <w:tcW w:w="2580" w:type="dxa"/>
            <w:vAlign w:val="bottom"/>
          </w:tcPr>
          <w:p>
            <w:pPr>
              <w:jc w:val="center"/>
              <w:ind w:left="83"/>
              <w:spacing w:after="0"/>
              <w:rPr>
                <w:sz w:val="20"/>
                <w:szCs w:val="20"/>
                <w:color w:val="auto"/>
              </w:rPr>
            </w:pPr>
            <w:r>
              <w:rPr>
                <w:rFonts w:ascii="Arial" w:cs="Arial" w:eastAsia="Arial" w:hAnsi="Arial"/>
                <w:sz w:val="15"/>
                <w:szCs w:val="15"/>
                <w:b w:val="1"/>
                <w:bCs w:val="1"/>
                <w:color w:val="auto"/>
                <w:w w:val="92"/>
              </w:rPr>
              <w:t>Trading Symbol(s)</w:t>
            </w:r>
          </w:p>
        </w:tc>
        <w:tc>
          <w:tcPr>
            <w:tcW w:w="3600" w:type="dxa"/>
            <w:vAlign w:val="bottom"/>
          </w:tcPr>
          <w:p>
            <w:pPr>
              <w:jc w:val="center"/>
              <w:ind w:left="523"/>
              <w:spacing w:after="0"/>
              <w:rPr>
                <w:sz w:val="20"/>
                <w:szCs w:val="20"/>
                <w:color w:val="auto"/>
              </w:rPr>
            </w:pPr>
            <w:r>
              <w:rPr>
                <w:rFonts w:ascii="Arial" w:cs="Arial" w:eastAsia="Arial" w:hAnsi="Arial"/>
                <w:sz w:val="15"/>
                <w:szCs w:val="15"/>
                <w:b w:val="1"/>
                <w:bCs w:val="1"/>
                <w:color w:val="auto"/>
                <w:w w:val="91"/>
              </w:rPr>
              <w:t>Name of Each Exchange on Which Registered</w:t>
            </w:r>
          </w:p>
        </w:tc>
      </w:tr>
      <w:tr>
        <w:trPr>
          <w:trHeight w:val="185"/>
        </w:trPr>
        <w:tc>
          <w:tcPr>
            <w:tcW w:w="3400" w:type="dxa"/>
            <w:vAlign w:val="bottom"/>
          </w:tcPr>
          <w:p>
            <w:pPr>
              <w:jc w:val="center"/>
              <w:ind w:right="663"/>
              <w:spacing w:after="0"/>
              <w:rPr>
                <w:sz w:val="20"/>
                <w:szCs w:val="20"/>
                <w:color w:val="auto"/>
              </w:rPr>
            </w:pPr>
            <w:r>
              <w:rPr>
                <w:rFonts w:ascii="Arial" w:cs="Arial" w:eastAsia="Arial" w:hAnsi="Arial"/>
                <w:sz w:val="15"/>
                <w:szCs w:val="15"/>
                <w:color w:val="auto"/>
                <w:w w:val="91"/>
              </w:rPr>
              <w:t>Common Stock, par value $0.001 per share</w:t>
            </w:r>
          </w:p>
        </w:tc>
        <w:tc>
          <w:tcPr>
            <w:tcW w:w="2580" w:type="dxa"/>
            <w:vAlign w:val="bottom"/>
          </w:tcPr>
          <w:p>
            <w:pPr>
              <w:jc w:val="center"/>
              <w:ind w:left="63"/>
              <w:spacing w:after="0"/>
              <w:rPr>
                <w:sz w:val="20"/>
                <w:szCs w:val="20"/>
                <w:color w:val="auto"/>
              </w:rPr>
            </w:pPr>
            <w:r>
              <w:rPr>
                <w:rFonts w:ascii="Arial" w:cs="Arial" w:eastAsia="Arial" w:hAnsi="Arial"/>
                <w:sz w:val="15"/>
                <w:szCs w:val="15"/>
                <w:color w:val="auto"/>
                <w:w w:val="97"/>
              </w:rPr>
              <w:t>PNNT</w:t>
            </w:r>
          </w:p>
        </w:tc>
        <w:tc>
          <w:tcPr>
            <w:tcW w:w="3600" w:type="dxa"/>
            <w:vAlign w:val="bottom"/>
          </w:tcPr>
          <w:p>
            <w:pPr>
              <w:jc w:val="center"/>
              <w:ind w:left="543"/>
              <w:spacing w:after="0"/>
              <w:rPr>
                <w:sz w:val="20"/>
                <w:szCs w:val="20"/>
                <w:color w:val="auto"/>
              </w:rPr>
            </w:pPr>
            <w:r>
              <w:rPr>
                <w:rFonts w:ascii="Arial" w:cs="Arial" w:eastAsia="Arial" w:hAnsi="Arial"/>
                <w:sz w:val="15"/>
                <w:szCs w:val="15"/>
                <w:color w:val="auto"/>
                <w:w w:val="94"/>
              </w:rPr>
              <w:t>The Nasdaq Stock Market LLC</w:t>
            </w:r>
          </w:p>
        </w:tc>
      </w:tr>
      <w:tr>
        <w:trPr>
          <w:trHeight w:val="195"/>
        </w:trPr>
        <w:tc>
          <w:tcPr>
            <w:tcW w:w="3400" w:type="dxa"/>
            <w:vAlign w:val="bottom"/>
          </w:tcPr>
          <w:p>
            <w:pPr>
              <w:jc w:val="center"/>
              <w:ind w:right="683"/>
              <w:spacing w:after="0"/>
              <w:rPr>
                <w:sz w:val="20"/>
                <w:szCs w:val="20"/>
                <w:color w:val="auto"/>
              </w:rPr>
            </w:pPr>
            <w:r>
              <w:rPr>
                <w:rFonts w:ascii="Arial" w:cs="Arial" w:eastAsia="Arial" w:hAnsi="Arial"/>
                <w:sz w:val="15"/>
                <w:szCs w:val="15"/>
                <w:color w:val="auto"/>
                <w:w w:val="91"/>
              </w:rPr>
              <w:t>5.50% Notes due 2024</w:t>
            </w:r>
          </w:p>
        </w:tc>
        <w:tc>
          <w:tcPr>
            <w:tcW w:w="2580" w:type="dxa"/>
            <w:vAlign w:val="bottom"/>
          </w:tcPr>
          <w:p>
            <w:pPr>
              <w:jc w:val="center"/>
              <w:ind w:left="63"/>
              <w:spacing w:after="0"/>
              <w:rPr>
                <w:sz w:val="20"/>
                <w:szCs w:val="20"/>
                <w:color w:val="auto"/>
              </w:rPr>
            </w:pPr>
            <w:r>
              <w:rPr>
                <w:rFonts w:ascii="Arial" w:cs="Arial" w:eastAsia="Arial" w:hAnsi="Arial"/>
                <w:sz w:val="15"/>
                <w:szCs w:val="15"/>
                <w:color w:val="auto"/>
                <w:w w:val="98"/>
              </w:rPr>
              <w:t>PNNTG</w:t>
            </w:r>
          </w:p>
        </w:tc>
        <w:tc>
          <w:tcPr>
            <w:tcW w:w="3600" w:type="dxa"/>
            <w:vAlign w:val="bottom"/>
          </w:tcPr>
          <w:p>
            <w:pPr>
              <w:jc w:val="center"/>
              <w:ind w:left="543"/>
              <w:spacing w:after="0"/>
              <w:rPr>
                <w:sz w:val="20"/>
                <w:szCs w:val="20"/>
                <w:color w:val="auto"/>
              </w:rPr>
            </w:pPr>
            <w:r>
              <w:rPr>
                <w:rFonts w:ascii="Arial" w:cs="Arial" w:eastAsia="Arial" w:hAnsi="Arial"/>
                <w:sz w:val="15"/>
                <w:szCs w:val="15"/>
                <w:color w:val="auto"/>
                <w:w w:val="94"/>
              </w:rPr>
              <w:t>The Nasdaq Stock Market LLC</w:t>
            </w:r>
          </w:p>
        </w:tc>
      </w:tr>
    </w:tbl>
    <w:p>
      <w:pPr>
        <w:spacing w:after="0" w:line="197" w:lineRule="exact"/>
        <w:rPr>
          <w:sz w:val="24"/>
          <w:szCs w:val="24"/>
          <w:color w:val="auto"/>
        </w:rPr>
      </w:pPr>
    </w:p>
    <w:p>
      <w:pPr>
        <w:spacing w:after="0" w:line="28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40" w:lineRule="exact"/>
        <w:rPr>
          <w:sz w:val="24"/>
          <w:szCs w:val="24"/>
          <w:color w:val="auto"/>
        </w:rPr>
      </w:pPr>
    </w:p>
    <w:p>
      <w:pPr>
        <w:ind w:right="560"/>
        <w:spacing w:after="0" w:line="28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2032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type w:val="continuous"/>
        </w:sectPr>
      </w:pPr>
    </w:p>
    <w:bookmarkStart w:id="1" w:name="page2"/>
    <w:bookmarkEnd w:id="1"/>
    <w:p>
      <w:pPr>
        <w:ind w:left="8"/>
        <w:spacing w:after="0"/>
        <w:rPr>
          <w:sz w:val="20"/>
          <w:szCs w:val="20"/>
          <w:color w:val="auto"/>
        </w:rPr>
      </w:pPr>
      <w:r>
        <w:rPr>
          <w:rFonts w:ascii="Arial" w:cs="Arial" w:eastAsia="Arial" w:hAnsi="Arial"/>
          <w:sz w:val="15"/>
          <w:szCs w:val="15"/>
          <w:b w:val="1"/>
          <w:bCs w:val="1"/>
          <w:color w:val="auto"/>
        </w:rPr>
        <w:t>Item 7.01. Regulation FD Disclosure.</w:t>
      </w:r>
    </w:p>
    <w:p>
      <w:pPr>
        <w:spacing w:after="0" w:line="201" w:lineRule="exact"/>
        <w:rPr>
          <w:sz w:val="20"/>
          <w:szCs w:val="20"/>
          <w:color w:val="auto"/>
        </w:rPr>
      </w:pPr>
    </w:p>
    <w:p>
      <w:pPr>
        <w:ind w:left="8"/>
        <w:spacing w:after="0" w:line="288" w:lineRule="auto"/>
        <w:rPr>
          <w:sz w:val="20"/>
          <w:szCs w:val="20"/>
          <w:color w:val="auto"/>
        </w:rPr>
      </w:pPr>
      <w:r>
        <w:rPr>
          <w:rFonts w:ascii="Arial" w:cs="Arial" w:eastAsia="Arial" w:hAnsi="Arial"/>
          <w:sz w:val="15"/>
          <w:szCs w:val="15"/>
          <w:color w:val="auto"/>
        </w:rPr>
        <w:t>On July 9, 2020, PennantPark Investment Corporation issued a press release announcing its scheduled earnings release for the third fiscal quarter ended June 30, 2020. A copy of the press release is furnished as Exhibit 99.1 to this report, pursuant to Item 7.01 and Regulation FD.</w:t>
      </w:r>
    </w:p>
    <w:p>
      <w:pPr>
        <w:spacing w:after="0" w:line="140" w:lineRule="exact"/>
        <w:rPr>
          <w:sz w:val="20"/>
          <w:szCs w:val="20"/>
          <w:color w:val="auto"/>
        </w:rPr>
      </w:pPr>
    </w:p>
    <w:p>
      <w:pPr>
        <w:ind w:left="8" w:right="60"/>
        <w:spacing w:after="0" w:line="267" w:lineRule="auto"/>
        <w:rPr>
          <w:sz w:val="20"/>
          <w:szCs w:val="20"/>
          <w:color w:val="auto"/>
        </w:rPr>
      </w:pPr>
      <w:r>
        <w:rPr>
          <w:rFonts w:ascii="Arial" w:cs="Arial" w:eastAsia="Arial" w:hAnsi="Arial"/>
          <w:sz w:val="15"/>
          <w:szCs w:val="15"/>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5"/>
          <w:szCs w:val="15"/>
          <w:color w:val="auto"/>
        </w:rPr>
        <w:t>Forward-Looking Statements</w:t>
      </w:r>
    </w:p>
    <w:p>
      <w:pPr>
        <w:spacing w:after="0" w:line="197" w:lineRule="exact"/>
        <w:rPr>
          <w:sz w:val="20"/>
          <w:szCs w:val="20"/>
          <w:color w:val="auto"/>
        </w:rPr>
      </w:pPr>
    </w:p>
    <w:p>
      <w:pPr>
        <w:ind w:left="8" w:right="20"/>
        <w:spacing w:after="0" w:line="263" w:lineRule="auto"/>
        <w:rPr>
          <w:sz w:val="20"/>
          <w:szCs w:val="20"/>
          <w:color w:val="auto"/>
        </w:rPr>
      </w:pPr>
      <w:r>
        <w:rPr>
          <w:rFonts w:ascii="Arial" w:cs="Arial" w:eastAsia="Arial" w:hAnsi="Arial"/>
          <w:sz w:val="15"/>
          <w:szCs w:val="15"/>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97" w:lineRule="exact"/>
        <w:rPr>
          <w:sz w:val="20"/>
          <w:szCs w:val="20"/>
          <w:color w:val="auto"/>
        </w:rPr>
      </w:pPr>
    </w:p>
    <w:p>
      <w:pPr>
        <w:ind w:left="508" w:right="9520" w:hanging="508"/>
        <w:spacing w:after="0" w:line="308" w:lineRule="auto"/>
        <w:tabs>
          <w:tab w:leader="none" w:pos="226"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Financial statements: </w:t>
      </w:r>
      <w:r>
        <w:rPr>
          <w:rFonts w:ascii="Arial" w:cs="Arial" w:eastAsia="Arial" w:hAnsi="Arial"/>
          <w:sz w:val="13"/>
          <w:szCs w:val="13"/>
          <w:color w:val="auto"/>
        </w:rPr>
        <w:t>None</w:t>
      </w:r>
    </w:p>
    <w:p>
      <w:pPr>
        <w:ind w:left="508" w:right="8760" w:hanging="508"/>
        <w:spacing w:after="0" w:line="256" w:lineRule="auto"/>
        <w:tabs>
          <w:tab w:leader="none" w:pos="234"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Pro forma financial information: </w:t>
      </w:r>
      <w:r>
        <w:rPr>
          <w:rFonts w:ascii="Arial" w:cs="Arial" w:eastAsia="Arial" w:hAnsi="Arial"/>
          <w:sz w:val="15"/>
          <w:szCs w:val="15"/>
          <w:color w:val="auto"/>
        </w:rPr>
        <w:t>None</w:t>
      </w:r>
    </w:p>
    <w:p>
      <w:pPr>
        <w:spacing w:after="0" w:line="1" w:lineRule="exact"/>
        <w:rPr>
          <w:rFonts w:ascii="Arial" w:cs="Arial" w:eastAsia="Arial" w:hAnsi="Arial"/>
          <w:sz w:val="15"/>
          <w:szCs w:val="15"/>
          <w:b w:val="1"/>
          <w:bCs w:val="1"/>
          <w:color w:val="auto"/>
        </w:rPr>
      </w:pPr>
    </w:p>
    <w:p>
      <w:pPr>
        <w:ind w:left="508" w:right="9080" w:hanging="508"/>
        <w:spacing w:after="0" w:line="256" w:lineRule="auto"/>
        <w:tabs>
          <w:tab w:leader="none" w:pos="217"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Shell company transactions: </w:t>
      </w:r>
      <w:r>
        <w:rPr>
          <w:rFonts w:ascii="Arial" w:cs="Arial" w:eastAsia="Arial" w:hAnsi="Arial"/>
          <w:sz w:val="15"/>
          <w:szCs w:val="15"/>
          <w:color w:val="auto"/>
        </w:rPr>
        <w:t>None</w:t>
      </w:r>
    </w:p>
    <w:p>
      <w:pPr>
        <w:spacing w:after="0" w:line="1" w:lineRule="exact"/>
        <w:rPr>
          <w:rFonts w:ascii="Arial" w:cs="Arial" w:eastAsia="Arial" w:hAnsi="Arial"/>
          <w:sz w:val="15"/>
          <w:szCs w:val="15"/>
          <w:b w:val="1"/>
          <w:bCs w:val="1"/>
          <w:color w:val="auto"/>
        </w:rPr>
      </w:pPr>
    </w:p>
    <w:p>
      <w:pPr>
        <w:ind w:left="228" w:hanging="228"/>
        <w:spacing w:after="0"/>
        <w:tabs>
          <w:tab w:leader="none" w:pos="228"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2" w:lineRule="exact"/>
        <w:rPr>
          <w:sz w:val="20"/>
          <w:szCs w:val="20"/>
          <w:color w:val="auto"/>
        </w:rPr>
      </w:pPr>
    </w:p>
    <w:p>
      <w:pPr>
        <w:ind w:left="508"/>
        <w:spacing w:after="0"/>
        <w:tabs>
          <w:tab w:leader="none" w:pos="987" w:val="left"/>
        </w:tabs>
        <w:rPr>
          <w:rFonts w:ascii="Arial" w:cs="Arial" w:eastAsia="Arial" w:hAnsi="Arial"/>
          <w:sz w:val="13"/>
          <w:szCs w:val="13"/>
          <w:u w:val="single" w:color="auto"/>
          <w:color w:val="0000EE"/>
        </w:rPr>
      </w:pPr>
      <w:hyperlink w:anchor="page5">
        <w:r>
          <w:rPr>
            <w:rFonts w:ascii="Arial" w:cs="Arial" w:eastAsia="Arial" w:hAnsi="Arial"/>
            <w:sz w:val="15"/>
            <w:szCs w:val="15"/>
            <w:u w:val="single" w:color="auto"/>
            <w:color w:val="0000EE"/>
          </w:rPr>
          <w:t>99.1</w:t>
        </w:r>
      </w:hyperlink>
      <w:r>
        <w:rPr>
          <w:rFonts w:ascii="Arial" w:cs="Arial" w:eastAsia="Arial" w:hAnsi="Arial"/>
          <w:sz w:val="15"/>
          <w:szCs w:val="15"/>
          <w:u w:val="single" w:color="auto"/>
          <w:color w:val="0000EE"/>
        </w:rPr>
        <w:tab/>
      </w:r>
      <w:hyperlink w:anchor="page5">
        <w:r>
          <w:rPr>
            <w:rFonts w:ascii="Arial" w:cs="Arial" w:eastAsia="Arial" w:hAnsi="Arial"/>
            <w:sz w:val="13"/>
            <w:szCs w:val="13"/>
            <w:u w:val="single" w:color="auto"/>
            <w:color w:val="0000EE"/>
          </w:rPr>
          <w:t>Press Release of PennantPark Investment Corporation dated July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15772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20320"/>
                    </a:xfrm>
                    <a:prstGeom prst="rect">
                      <a:avLst/>
                    </a:prstGeom>
                    <a:noFill/>
                  </pic:spPr>
                </pic:pic>
              </a:graphicData>
            </a:graphic>
          </wp:anchor>
        </w:drawing>
      </w:r>
    </w:p>
    <w:p>
      <w:pPr>
        <w:sectPr>
          <w:pgSz w:w="11900" w:h="16838" w:orient="portrait"/>
          <w:cols w:equalWidth="0" w:num="1">
            <w:col w:w="11148"/>
          </w:cols>
          <w:pgMar w:left="312" w:top="125"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00" w:type="dxa"/>
            <w:vAlign w:val="bottom"/>
          </w:tcPr>
          <w:p>
            <w:pPr>
              <w:spacing w:after="0"/>
              <w:rPr>
                <w:sz w:val="17"/>
                <w:szCs w:val="17"/>
                <w:color w:val="auto"/>
              </w:rPr>
            </w:pPr>
          </w:p>
        </w:tc>
        <w:tc>
          <w:tcPr>
            <w:tcW w:w="7960" w:type="dxa"/>
            <w:vAlign w:val="bottom"/>
            <w:gridSpan w:val="3"/>
          </w:tcPr>
          <w:p>
            <w:pPr>
              <w:ind w:left="2180"/>
              <w:spacing w:after="0"/>
              <w:rPr>
                <w:sz w:val="20"/>
                <w:szCs w:val="20"/>
                <w:color w:val="auto"/>
              </w:rPr>
            </w:pPr>
            <w:r>
              <w:rPr>
                <w:rFonts w:ascii="Arial" w:cs="Arial" w:eastAsia="Arial" w:hAnsi="Arial"/>
                <w:sz w:val="15"/>
                <w:szCs w:val="15"/>
                <w:b w:val="1"/>
                <w:bCs w:val="1"/>
                <w:color w:val="auto"/>
              </w:rPr>
              <w:t>PennantPark Investment Corporation</w:t>
            </w:r>
          </w:p>
        </w:tc>
      </w:tr>
      <w:tr>
        <w:trPr>
          <w:trHeight w:val="519"/>
        </w:trPr>
        <w:tc>
          <w:tcPr>
            <w:tcW w:w="3300" w:type="dxa"/>
            <w:vAlign w:val="bottom"/>
          </w:tcPr>
          <w:p>
            <w:pPr>
              <w:spacing w:after="0"/>
              <w:rPr>
                <w:sz w:val="20"/>
                <w:szCs w:val="20"/>
                <w:color w:val="auto"/>
              </w:rPr>
            </w:pPr>
            <w:r>
              <w:rPr>
                <w:rFonts w:ascii="Arial" w:cs="Arial" w:eastAsia="Arial" w:hAnsi="Arial"/>
                <w:sz w:val="15"/>
                <w:szCs w:val="15"/>
                <w:color w:val="auto"/>
              </w:rPr>
              <w:t>Date: July 9, 2020</w:t>
            </w:r>
          </w:p>
        </w:tc>
        <w:tc>
          <w:tcPr>
            <w:tcW w:w="7960" w:type="dxa"/>
            <w:vAlign w:val="bottom"/>
            <w:gridSpan w:val="3"/>
          </w:tcPr>
          <w:p>
            <w:pPr>
              <w:ind w:left="2180"/>
              <w:spacing w:after="0"/>
              <w:rPr>
                <w:sz w:val="20"/>
                <w:szCs w:val="20"/>
                <w:color w:val="auto"/>
              </w:rPr>
            </w:pPr>
            <w:r>
              <w:rPr>
                <w:rFonts w:ascii="Arial" w:cs="Arial" w:eastAsia="Arial" w:hAnsi="Arial"/>
                <w:sz w:val="15"/>
                <w:szCs w:val="15"/>
                <w:color w:val="auto"/>
              </w:rPr>
              <w:t>By: /s/ Aviv Efrat</w:t>
            </w:r>
          </w:p>
        </w:tc>
      </w:tr>
      <w:tr>
        <w:trPr>
          <w:trHeight w:val="189"/>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Aviv Efrat</w:t>
            </w:r>
          </w:p>
        </w:tc>
        <w:tc>
          <w:tcPr>
            <w:tcW w:w="4380" w:type="dxa"/>
            <w:vAlign w:val="bottom"/>
          </w:tcPr>
          <w:p>
            <w:pPr>
              <w:spacing w:after="0"/>
              <w:rPr>
                <w:sz w:val="16"/>
                <w:szCs w:val="16"/>
                <w:color w:val="auto"/>
              </w:rPr>
            </w:pPr>
          </w:p>
        </w:tc>
      </w:tr>
      <w:tr>
        <w:trPr>
          <w:trHeight w:val="195"/>
        </w:trPr>
        <w:tc>
          <w:tcPr>
            <w:tcW w:w="3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Arial" w:cs="Arial" w:eastAsia="Arial" w:hAnsi="Arial"/>
                <w:sz w:val="15"/>
                <w:szCs w:val="15"/>
                <w:color w:val="auto"/>
              </w:rPr>
              <w:t>Chief Financial Officer &amp; Treasurer</w:t>
            </w:r>
          </w:p>
        </w:tc>
      </w:tr>
      <w:tr>
        <w:trPr>
          <w:trHeight w:val="377"/>
        </w:trPr>
        <w:tc>
          <w:tcPr>
            <w:tcW w:w="330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12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9"/>
        </w:trPr>
        <w:tc>
          <w:tcPr>
            <w:tcW w:w="760" w:type="dxa"/>
            <w:vAlign w:val="bottom"/>
          </w:tcPr>
          <w:p>
            <w:pPr>
              <w:spacing w:after="0"/>
              <w:rPr>
                <w:sz w:val="17"/>
                <w:szCs w:val="17"/>
                <w:color w:val="auto"/>
              </w:rPr>
            </w:pPr>
          </w:p>
        </w:tc>
        <w:tc>
          <w:tcPr>
            <w:tcW w:w="7620" w:type="dxa"/>
            <w:vAlign w:val="bottom"/>
            <w:gridSpan w:val="3"/>
          </w:tcPr>
          <w:p>
            <w:pPr>
              <w:ind w:left="3820"/>
              <w:spacing w:after="0"/>
              <w:rPr>
                <w:sz w:val="20"/>
                <w:szCs w:val="20"/>
                <w:color w:val="auto"/>
              </w:rPr>
            </w:pPr>
            <w:r>
              <w:rPr>
                <w:rFonts w:ascii="Arial" w:cs="Arial" w:eastAsia="Arial" w:hAnsi="Arial"/>
                <w:sz w:val="15"/>
                <w:szCs w:val="15"/>
                <w:b w:val="1"/>
                <w:bCs w:val="1"/>
                <w:color w:val="auto"/>
              </w:rPr>
              <w:t>EXHIBIT INDEX</w:t>
            </w:r>
          </w:p>
        </w:tc>
      </w:tr>
      <w:tr>
        <w:trPr>
          <w:trHeight w:val="716"/>
        </w:trPr>
        <w:tc>
          <w:tcPr>
            <w:tcW w:w="760" w:type="dxa"/>
            <w:vAlign w:val="bottom"/>
          </w:tcPr>
          <w:p>
            <w:pPr>
              <w:jc w:val="center"/>
              <w:spacing w:after="0"/>
              <w:rPr>
                <w:sz w:val="20"/>
                <w:szCs w:val="20"/>
                <w:color w:val="auto"/>
              </w:rPr>
            </w:pPr>
            <w:r>
              <w:rPr>
                <w:rFonts w:ascii="Arial" w:cs="Arial" w:eastAsia="Arial" w:hAnsi="Arial"/>
                <w:sz w:val="15"/>
                <w:szCs w:val="15"/>
                <w:b w:val="1"/>
                <w:bCs w:val="1"/>
                <w:color w:val="auto"/>
                <w:w w:val="96"/>
              </w:rPr>
              <w:t>Exhibit No.</w:t>
            </w:r>
          </w:p>
        </w:tc>
        <w:tc>
          <w:tcPr>
            <w:tcW w:w="4980" w:type="dxa"/>
            <w:vAlign w:val="bottom"/>
          </w:tcPr>
          <w:p>
            <w:pPr>
              <w:spacing w:after="0"/>
              <w:rPr>
                <w:sz w:val="24"/>
                <w:szCs w:val="24"/>
                <w:color w:val="auto"/>
              </w:rPr>
            </w:pPr>
          </w:p>
        </w:tc>
        <w:tc>
          <w:tcPr>
            <w:tcW w:w="2640" w:type="dxa"/>
            <w:vAlign w:val="bottom"/>
            <w:gridSpan w:val="2"/>
          </w:tcPr>
          <w:p>
            <w:pPr>
              <w:jc w:val="center"/>
              <w:ind w:right="1880"/>
              <w:spacing w:after="0"/>
              <w:rPr>
                <w:sz w:val="20"/>
                <w:szCs w:val="20"/>
                <w:color w:val="auto"/>
              </w:rPr>
            </w:pPr>
            <w:r>
              <w:rPr>
                <w:rFonts w:ascii="Arial" w:cs="Arial" w:eastAsia="Arial" w:hAnsi="Arial"/>
                <w:sz w:val="15"/>
                <w:szCs w:val="15"/>
                <w:b w:val="1"/>
                <w:bCs w:val="1"/>
                <w:color w:val="auto"/>
                <w:w w:val="92"/>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53"/>
        </w:trPr>
        <w:tc>
          <w:tcPr>
            <w:tcW w:w="760" w:type="dxa"/>
            <w:vAlign w:val="bottom"/>
          </w:tcPr>
          <w:p>
            <w:pPr>
              <w:jc w:val="center"/>
              <w:ind w:right="143"/>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99.1</w:t>
              </w:r>
            </w:hyperlink>
          </w:p>
        </w:tc>
        <w:tc>
          <w:tcPr>
            <w:tcW w:w="7620" w:type="dxa"/>
            <w:vAlign w:val="bottom"/>
            <w:gridSpan w:val="3"/>
          </w:tcPr>
          <w:p>
            <w:pPr>
              <w:jc w:val="center"/>
              <w:ind w:left="3043"/>
              <w:spacing w:after="0"/>
              <w:rPr>
                <w:rFonts w:ascii="Arial" w:cs="Arial" w:eastAsia="Arial" w:hAnsi="Arial"/>
                <w:sz w:val="15"/>
                <w:szCs w:val="15"/>
                <w:u w:val="single" w:color="auto"/>
                <w:color w:val="0000EE"/>
                <w:w w:val="91"/>
              </w:rPr>
            </w:pPr>
            <w:hyperlink w:anchor="page5">
              <w:r>
                <w:rPr>
                  <w:rFonts w:ascii="Arial" w:cs="Arial" w:eastAsia="Arial" w:hAnsi="Arial"/>
                  <w:sz w:val="15"/>
                  <w:szCs w:val="15"/>
                  <w:u w:val="single" w:color="auto"/>
                  <w:color w:val="0000EE"/>
                  <w:w w:val="91"/>
                </w:rPr>
                <w:t>Press Release of PennantPark Investment Corporation dated July 9, 2020</w:t>
              </w:r>
            </w:hyperlink>
          </w:p>
        </w:tc>
      </w:tr>
    </w:tbl>
    <w:p>
      <w:pPr>
        <w:sectPr>
          <w:pgSz w:w="11900" w:h="16838" w:orient="portrait"/>
          <w:cols w:equalWidth="0" w:num="1">
            <w:col w:w="9699"/>
          </w:cols>
          <w:pgMar w:left="760" w:top="31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1099185" cy="263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9185" cy="263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
        <w:spacing w:after="0"/>
        <w:rPr>
          <w:sz w:val="20"/>
          <w:szCs w:val="20"/>
          <w:color w:val="auto"/>
        </w:rPr>
      </w:pPr>
      <w:r>
        <w:rPr>
          <w:rFonts w:ascii="Arial" w:cs="Arial" w:eastAsia="Arial" w:hAnsi="Arial"/>
          <w:sz w:val="18"/>
          <w:szCs w:val="18"/>
          <w:b w:val="1"/>
          <w:bCs w:val="1"/>
          <w:color w:val="auto"/>
        </w:rPr>
        <w:t>PennantPark Investment Corporation Schedules Earnings Release of Third Fiscal Quarter 2020 Results</w:t>
      </w:r>
    </w:p>
    <w:p>
      <w:pPr>
        <w:spacing w:after="0" w:line="189" w:lineRule="exact"/>
        <w:rPr>
          <w:sz w:val="20"/>
          <w:szCs w:val="20"/>
          <w:color w:val="auto"/>
        </w:rPr>
      </w:pPr>
    </w:p>
    <w:p>
      <w:pPr>
        <w:jc w:val="both"/>
        <w:ind w:left="8"/>
        <w:spacing w:after="0" w:line="302" w:lineRule="auto"/>
        <w:rPr>
          <w:sz w:val="20"/>
          <w:szCs w:val="20"/>
          <w:color w:val="auto"/>
        </w:rPr>
      </w:pPr>
      <w:r>
        <w:rPr>
          <w:rFonts w:ascii="Arial" w:cs="Arial" w:eastAsia="Arial" w:hAnsi="Arial"/>
          <w:sz w:val="17"/>
          <w:szCs w:val="17"/>
          <w:color w:val="auto"/>
        </w:rPr>
        <w:t>NEW YORK, July 09, 2020 (GLOBE NEWSWIRE) -- PennantPark Investment Corporation (the "Company") (NASDAQ: PNNT) announced that it will report results for the third fiscal quarter ended June 30, 2020 on Wednesday, August 5, 2020 after the close of the financial markets.</w:t>
      </w:r>
    </w:p>
    <w:p>
      <w:pPr>
        <w:spacing w:after="0" w:line="108" w:lineRule="exact"/>
        <w:rPr>
          <w:sz w:val="20"/>
          <w:szCs w:val="20"/>
          <w:color w:val="auto"/>
        </w:rPr>
      </w:pPr>
    </w:p>
    <w:p>
      <w:pPr>
        <w:jc w:val="both"/>
        <w:ind w:left="8"/>
        <w:spacing w:after="0" w:line="248" w:lineRule="auto"/>
        <w:rPr>
          <w:sz w:val="20"/>
          <w:szCs w:val="20"/>
          <w:color w:val="auto"/>
        </w:rPr>
      </w:pPr>
      <w:r>
        <w:rPr>
          <w:rFonts w:ascii="Arial" w:cs="Arial" w:eastAsia="Arial" w:hAnsi="Arial"/>
          <w:sz w:val="18"/>
          <w:szCs w:val="18"/>
          <w:color w:val="auto"/>
        </w:rPr>
        <w:t>The Company will also host a conference call at 12:00 p.m. (Eastern Time) on Thursday, August 6, 2020 to discuss its financial results. All interested parties are welcome to participate. You can access the conference call by dialing toll-free (800) 289-0438 approximately 5-10 minutes prior to the call. International callers should dial (323) 794-2423. All callers should reference conference ID #4238734 or PennantPark Investment Corporation. An archived replay of the call will be available through August 20, 2020 by calling toll-free (888) 203-1112. International callers please dial (719) 457-0820. For all phone replays, please reference conference ID #4238734.</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auto"/>
        </w:rPr>
        <w:t>ABOUT PENNANTPARK INVESTMENT CORPORATION</w:t>
      </w:r>
    </w:p>
    <w:p>
      <w:pPr>
        <w:spacing w:after="0" w:line="185" w:lineRule="exact"/>
        <w:rPr>
          <w:sz w:val="20"/>
          <w:szCs w:val="20"/>
          <w:color w:val="auto"/>
        </w:rPr>
      </w:pPr>
    </w:p>
    <w:p>
      <w:pPr>
        <w:ind w:left="8" w:right="60"/>
        <w:spacing w:after="0" w:line="256"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8"/>
          <w:szCs w:val="18"/>
          <w:color w:val="auto"/>
        </w:rPr>
        <w:t>ABOUT PENNANTPARK INVESTMENT ADVISERS, LLC</w:t>
      </w:r>
    </w:p>
    <w:p>
      <w:pPr>
        <w:spacing w:after="0" w:line="185" w:lineRule="exact"/>
        <w:rPr>
          <w:sz w:val="20"/>
          <w:szCs w:val="20"/>
          <w:color w:val="auto"/>
        </w:rPr>
      </w:pPr>
    </w:p>
    <w:p>
      <w:pPr>
        <w:ind w:left="8" w:right="260"/>
        <w:spacing w:after="0" w:line="271" w:lineRule="auto"/>
        <w:rPr>
          <w:sz w:val="20"/>
          <w:szCs w:val="20"/>
          <w:color w:val="auto"/>
        </w:rPr>
      </w:pPr>
      <w:r>
        <w:rPr>
          <w:rFonts w:ascii="Arial" w:cs="Arial" w:eastAsia="Arial" w:hAnsi="Arial"/>
          <w:sz w:val="17"/>
          <w:szCs w:val="17"/>
          <w:color w:val="auto"/>
        </w:rPr>
        <w:t>PennantPark Investment Advisers, LLC is a leading middle market credit platform, which has $3.7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ind w:left="8" w:right="20"/>
        <w:spacing w:after="0" w:line="247"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8"/>
          <w:szCs w:val="18"/>
          <w:color w:val="auto"/>
        </w:rPr>
        <w:t>CONTACT:</w:t>
      </w:r>
    </w:p>
    <w:p>
      <w:pPr>
        <w:spacing w:after="0" w:line="17" w:lineRule="exact"/>
        <w:rPr>
          <w:sz w:val="20"/>
          <w:szCs w:val="20"/>
          <w:color w:val="auto"/>
        </w:rPr>
      </w:pPr>
    </w:p>
    <w:p>
      <w:pPr>
        <w:ind w:left="8"/>
        <w:spacing w:after="0"/>
        <w:rPr>
          <w:sz w:val="20"/>
          <w:szCs w:val="20"/>
          <w:color w:val="auto"/>
        </w:rPr>
      </w:pPr>
      <w:r>
        <w:rPr>
          <w:rFonts w:ascii="Arial" w:cs="Arial" w:eastAsia="Arial" w:hAnsi="Arial"/>
          <w:sz w:val="18"/>
          <w:szCs w:val="18"/>
          <w:color w:val="auto"/>
        </w:rPr>
        <w:t>Aviv Efrat</w:t>
      </w:r>
    </w:p>
    <w:p>
      <w:pPr>
        <w:spacing w:after="0" w:line="1" w:lineRule="exact"/>
        <w:rPr>
          <w:sz w:val="20"/>
          <w:szCs w:val="20"/>
          <w:color w:val="auto"/>
        </w:rPr>
      </w:pPr>
    </w:p>
    <w:p>
      <w:pPr>
        <w:ind w:left="8"/>
        <w:spacing w:after="0"/>
        <w:rPr>
          <w:sz w:val="20"/>
          <w:szCs w:val="20"/>
          <w:color w:val="auto"/>
        </w:rPr>
      </w:pPr>
      <w:r>
        <w:rPr>
          <w:rFonts w:ascii="Arial" w:cs="Arial" w:eastAsia="Arial" w:hAnsi="Arial"/>
          <w:sz w:val="18"/>
          <w:szCs w:val="18"/>
          <w:color w:val="auto"/>
        </w:rPr>
        <w:t>PennantPark Investment Corporation</w:t>
      </w:r>
    </w:p>
    <w:p>
      <w:pPr>
        <w:spacing w:after="0" w:line="1" w:lineRule="exact"/>
        <w:rPr>
          <w:sz w:val="20"/>
          <w:szCs w:val="20"/>
          <w:color w:val="auto"/>
        </w:rPr>
      </w:pPr>
    </w:p>
    <w:p>
      <w:pPr>
        <w:ind w:left="8" w:right="9560" w:hanging="8"/>
        <w:spacing w:after="0" w:line="316" w:lineRule="auto"/>
        <w:tabs>
          <w:tab w:leader="none" w:pos="454" w:val="left"/>
        </w:tabs>
        <w:numPr>
          <w:ilvl w:val="0"/>
          <w:numId w:val="3"/>
        </w:numPr>
        <w:rPr>
          <w:rFonts w:ascii="Arial" w:cs="Arial" w:eastAsia="Arial" w:hAnsi="Arial"/>
          <w:sz w:val="16"/>
          <w:szCs w:val="16"/>
          <w:color w:val="auto"/>
        </w:rPr>
      </w:pPr>
      <w:r>
        <w:rPr>
          <w:rFonts w:ascii="Arial" w:cs="Arial" w:eastAsia="Arial" w:hAnsi="Arial"/>
          <w:sz w:val="16"/>
          <w:szCs w:val="16"/>
          <w:color w:val="auto"/>
        </w:rPr>
        <w:t>905-1000 www.pennantpark.com</w:t>
      </w:r>
    </w:p>
    <w:sectPr>
      <w:pgSz w:w="11900" w:h="16838" w:orient="portrait"/>
      <w:cols w:equalWidth="0" w:num="1">
        <w:col w:w="11268"/>
      </w:cols>
      <w:pgMar w:left="312" w:top="1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2020-07-09T15:16:57Z</dcterms:created>
  <dcterms:modified xsi:type="dcterms:W3CDTF">2020-07-09T15:16:57Z</dcterms:modified>
</cp:coreProperties>
</file>