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PENNANTPARK INVESTMENT CORPORATION</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814-00736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20-8250744</w:t>
            </w:r>
          </w:p>
        </w:tc>
      </w:tr>
      <w:tr>
        <w:trPr>
          <w:trHeight w:val="14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1691 Michigan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Miami Beach, Florida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33139</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786) 297-9500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239395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PNNT</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81" w:lineRule="exact"/>
        <w:rPr>
          <w:sz w:val="20"/>
          <w:szCs w:val="20"/>
          <w:color w:val="auto"/>
        </w:rPr>
      </w:pPr>
    </w:p>
    <w:p>
      <w:pPr>
        <w:ind w:right="400" w:firstLine="360"/>
        <w:spacing w:after="0" w:line="266" w:lineRule="auto"/>
        <w:rPr>
          <w:sz w:val="20"/>
          <w:szCs w:val="20"/>
          <w:color w:val="auto"/>
        </w:rPr>
      </w:pPr>
      <w:r>
        <w:rPr>
          <w:rFonts w:ascii="Times New Roman" w:cs="Times New Roman" w:eastAsia="Times New Roman" w:hAnsi="Times New Roman"/>
          <w:sz w:val="18"/>
          <w:szCs w:val="18"/>
          <w:color w:val="auto"/>
        </w:rPr>
        <w:t>This Current Report on Form 8-K/A (this “Form 8-K/A”) amends the Current Report on Form 8-K of PennantPark Investment Corporation (the “Company”) originally filed by the Company with the Securities and Exchange Commission (the “SEC”) on June 6, 2025 (the “Initial 8-K”). The sole purpose for filing this Form 8-K/A is to update certain information contained in Item 8.01 of the Initial 8-K, as described below.</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17" w:lineRule="exact"/>
        <w:rPr>
          <w:sz w:val="20"/>
          <w:szCs w:val="20"/>
          <w:color w:val="auto"/>
        </w:rPr>
      </w:pPr>
    </w:p>
    <w:p>
      <w:pPr>
        <w:ind w:right="360" w:firstLine="509"/>
        <w:spacing w:after="0" w:line="259" w:lineRule="auto"/>
        <w:rPr>
          <w:sz w:val="20"/>
          <w:szCs w:val="20"/>
          <w:color w:val="auto"/>
        </w:rPr>
      </w:pPr>
      <w:r>
        <w:rPr>
          <w:rFonts w:ascii="Times New Roman" w:cs="Times New Roman" w:eastAsia="Times New Roman" w:hAnsi="Times New Roman"/>
          <w:sz w:val="18"/>
          <w:szCs w:val="18"/>
          <w:color w:val="auto"/>
        </w:rPr>
        <w:t>On May 2, 2025, Pennant Park Investment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filed an amendment to its Annual Report on Form 10-K for the year ended September 30, 2024 to provide audited financial statements for JF Holdings Corp. (“</w:t>
      </w:r>
      <w:r>
        <w:rPr>
          <w:rFonts w:ascii="Times New Roman" w:cs="Times New Roman" w:eastAsia="Times New Roman" w:hAnsi="Times New Roman"/>
          <w:sz w:val="18"/>
          <w:szCs w:val="18"/>
          <w:b w:val="1"/>
          <w:bCs w:val="1"/>
          <w:color w:val="auto"/>
        </w:rPr>
        <w:t>JF Holdings</w:t>
      </w:r>
      <w:r>
        <w:rPr>
          <w:rFonts w:ascii="Times New Roman" w:cs="Times New Roman" w:eastAsia="Times New Roman" w:hAnsi="Times New Roman"/>
          <w:sz w:val="18"/>
          <w:szCs w:val="18"/>
          <w:color w:val="auto"/>
        </w:rPr>
        <w:t>”), an unconsolidated portfolio company of the Company, for the years ended December 31, 2024 and 2023 (as Exhibit 99.3), and audited financial statements for JF Holdings for the years ended December 31, 2023 and 2022 (as Exhibit 99.2) (collectively, the “</w:t>
      </w:r>
      <w:r>
        <w:rPr>
          <w:rFonts w:ascii="Times New Roman" w:cs="Times New Roman" w:eastAsia="Times New Roman" w:hAnsi="Times New Roman"/>
          <w:sz w:val="18"/>
          <w:szCs w:val="18"/>
          <w:b w:val="1"/>
          <w:bCs w:val="1"/>
          <w:color w:val="auto"/>
        </w:rPr>
        <w:t>Impacted Financial Statements</w:t>
      </w:r>
      <w:r>
        <w:rPr>
          <w:rFonts w:ascii="Times New Roman" w:cs="Times New Roman" w:eastAsia="Times New Roman" w:hAnsi="Times New Roman"/>
          <w:sz w:val="18"/>
          <w:szCs w:val="18"/>
          <w:color w:val="auto"/>
        </w:rPr>
        <w:t>”). The Company filed the Impacted Financial Statements for JF Holdings pursuant to Rule 3-09 of Regulation S-X promulgated under the Securities Exchange Act of 1934, as amended.</w:t>
      </w:r>
    </w:p>
    <w:p>
      <w:pPr>
        <w:spacing w:after="0" w:line="179" w:lineRule="exact"/>
        <w:rPr>
          <w:sz w:val="20"/>
          <w:szCs w:val="20"/>
          <w:color w:val="auto"/>
        </w:rPr>
      </w:pPr>
    </w:p>
    <w:p>
      <w:pPr>
        <w:ind w:right="180" w:firstLine="509"/>
        <w:spacing w:after="0" w:line="262" w:lineRule="auto"/>
        <w:rPr>
          <w:sz w:val="20"/>
          <w:szCs w:val="20"/>
          <w:color w:val="auto"/>
        </w:rPr>
      </w:pPr>
      <w:r>
        <w:rPr>
          <w:rFonts w:ascii="Times New Roman" w:cs="Times New Roman" w:eastAsia="Times New Roman" w:hAnsi="Times New Roman"/>
          <w:sz w:val="18"/>
          <w:szCs w:val="18"/>
          <w:color w:val="auto"/>
        </w:rPr>
        <w:t>By letter dated May 15, 2025, BDO USA, P.C. (“</w:t>
      </w:r>
      <w:r>
        <w:rPr>
          <w:rFonts w:ascii="Times New Roman" w:cs="Times New Roman" w:eastAsia="Times New Roman" w:hAnsi="Times New Roman"/>
          <w:sz w:val="18"/>
          <w:szCs w:val="18"/>
          <w:b w:val="1"/>
          <w:bCs w:val="1"/>
          <w:color w:val="auto"/>
        </w:rPr>
        <w:t>BDO</w:t>
      </w:r>
      <w:r>
        <w:rPr>
          <w:rFonts w:ascii="Times New Roman" w:cs="Times New Roman" w:eastAsia="Times New Roman" w:hAnsi="Times New Roman"/>
          <w:sz w:val="18"/>
          <w:szCs w:val="18"/>
          <w:color w:val="auto"/>
        </w:rPr>
        <w:t>”), JF Holdings’ independent registered public accounting firm, advised the Chief Financial Officer of the Company that the Impacted Financial Statements reflect the application of accounting principles that do not satisfy generally accepted accounting principles applicable to SEC-registered companies, including the requirements of Rule 3-09, namely the election to amortize goodwill, and should not be relied on.</w:t>
      </w:r>
    </w:p>
    <w:p>
      <w:pPr>
        <w:spacing w:after="0" w:line="180"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As a result, BDO advised that appropriate action should be taken to prevent further reliance on the Impacted Financial Statements. Following due inquiry and discussion with BDO, the Company is making disclosure herewith to prevent such reliance.</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Impacted Financial Statements do not impact the Company’s previously issued audited financial statements, for the fiscal year ended September 30, 2024, or the opinion issued by RSM US LLP, the Company’s registered public accounting firm, thereon or the unaudited financial statements for the fiscal quarters ended December 31, 2024, March 31, 2025 and June 30, 2025. Management believes that the Company’s audited consolidated financial statements contained in the Company’s previously filed Form 10-K for the fiscal year ended September 30, 2024 and its unaudited financial statements contained in its previously filed Form 10-Qs for the fiscal quarters ended December 31, 2024, March 31, 2025 and June 30, 2025 may continue to be relied on, including with respect to the disclosures relating to JF Holdings and its subsidiaries contained therein.</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based on discussion among the Company, JF Holdings and BDO subsequent to June 6, 2025, JF Holdings concluded that, because BDO performed work on JF Holdings’ income tax provision during the periods covered by the Impacted Financial Statements, BDO was not independent of JF Holdings during the applicable periods under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standards at the time that it issued its audit reports included in the Impacted Financial Statements.</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is exploring with JF Holdings and BDO an amendment to the Impacted Financial Statements to comply with the requirements of Rule 3-09 and the PCAOB Standards, and is also exploring other approaches, including seeking relief from the SEC with respect to amending the Impacted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October 10, 2025</w:t>
      </w:r>
      <w:r>
        <w:rPr>
          <w:sz w:val="20"/>
          <w:szCs w:val="20"/>
          <w:color w:val="auto"/>
        </w:rPr>
        <w:tab/>
      </w:r>
      <w:r>
        <w:rPr>
          <w:rFonts w:ascii="Times New Roman" w:cs="Times New Roman" w:eastAsia="Times New Roman" w:hAnsi="Times New Roman"/>
          <w:sz w:val="18"/>
          <w:szCs w:val="18"/>
          <w:color w:val="auto"/>
        </w:rPr>
        <w:t>By:</w:t>
        <w:tab/>
        <w:t>/s/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Richard T. Allorto, Jr.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2025-10-10T15:13:26Z</dcterms:created>
  <dcterms:modified xsi:type="dcterms:W3CDTF">2025-10-10T15:13:26Z</dcterms:modified>
</cp:coreProperties>
</file>