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January 12, 2018</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Investment Corporation</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814-00736</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20-8250744</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0" w:lineRule="exact"/>
        <w:rPr>
          <w:sz w:val="24"/>
          <w:szCs w:val="24"/>
          <w:color w:val="auto"/>
        </w:rPr>
      </w:pPr>
    </w:p>
    <w:p>
      <w:pPr>
        <w:spacing w:after="0" w:line="22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spacing w:after="0" w:line="22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On January 12, 2018, PennantPark Investment Corporation issued a press release announcing its scheduled earnings release for the first fiscal quarter ended December 31, 2017. A copy of the press release is furnished as Exhibit 99.1 to this report, pursuant to Item 7.01 and Regulation FD.</w:t>
      </w:r>
    </w:p>
    <w:p>
      <w:pPr>
        <w:spacing w:after="0" w:line="14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2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20" w:hanging="592"/>
        <w:spacing w:after="0" w:line="250" w:lineRule="auto"/>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800" w:hanging="592"/>
        <w:spacing w:after="0" w:line="250" w:lineRule="auto"/>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5"/>
            <w:szCs w:val="15"/>
            <w:u w:val="single" w:color="auto"/>
            <w:color w:val="0000EE"/>
          </w:rPr>
          <w:t>Press Release of PennantPark Investment Corporation dated January 12,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7680" w:type="dxa"/>
            <w:vAlign w:val="bottom"/>
            <w:gridSpan w:val="3"/>
          </w:tcPr>
          <w:p>
            <w:pPr>
              <w:ind w:left="1900"/>
              <w:spacing w:after="0"/>
              <w:rPr>
                <w:sz w:val="20"/>
                <w:szCs w:val="20"/>
                <w:color w:val="auto"/>
              </w:rPr>
            </w:pPr>
            <w:r>
              <w:rPr>
                <w:rFonts w:ascii="Arial" w:cs="Arial" w:eastAsia="Arial" w:hAnsi="Arial"/>
                <w:sz w:val="18"/>
                <w:szCs w:val="18"/>
                <w:b w:val="1"/>
                <w:bCs w:val="1"/>
                <w:color w:val="auto"/>
              </w:rPr>
              <w:t>PennantPark Investment Corporation</w:t>
            </w:r>
          </w:p>
        </w:tc>
      </w:tr>
      <w:tr>
        <w:trPr>
          <w:trHeight w:val="608"/>
        </w:trPr>
        <w:tc>
          <w:tcPr>
            <w:tcW w:w="3560" w:type="dxa"/>
            <w:vAlign w:val="bottom"/>
          </w:tcPr>
          <w:p>
            <w:pPr>
              <w:spacing w:after="0"/>
              <w:rPr>
                <w:sz w:val="20"/>
                <w:szCs w:val="20"/>
                <w:color w:val="auto"/>
              </w:rPr>
            </w:pPr>
            <w:r>
              <w:rPr>
                <w:rFonts w:ascii="Arial" w:cs="Arial" w:eastAsia="Arial" w:hAnsi="Arial"/>
                <w:sz w:val="18"/>
                <w:szCs w:val="18"/>
                <w:color w:val="auto"/>
              </w:rPr>
              <w:t>Date: January 12, 2018</w:t>
            </w:r>
          </w:p>
        </w:tc>
        <w:tc>
          <w:tcPr>
            <w:tcW w:w="7680" w:type="dxa"/>
            <w:vAlign w:val="bottom"/>
            <w:gridSpan w:val="3"/>
          </w:tcPr>
          <w:p>
            <w:pPr>
              <w:ind w:left="1900"/>
              <w:spacing w:after="0"/>
              <w:rPr>
                <w:sz w:val="20"/>
                <w:szCs w:val="20"/>
                <w:color w:val="auto"/>
              </w:rPr>
            </w:pPr>
            <w:r>
              <w:rPr>
                <w:rFonts w:ascii="Arial" w:cs="Arial" w:eastAsia="Arial" w:hAnsi="Arial"/>
                <w:sz w:val="18"/>
                <w:szCs w:val="18"/>
                <w:color w:val="auto"/>
              </w:rPr>
              <w:t>By: /s/ Aviv Efrat</w:t>
            </w:r>
          </w:p>
        </w:tc>
      </w:tr>
      <w:tr>
        <w:trPr>
          <w:trHeight w:val="222"/>
        </w:trPr>
        <w:tc>
          <w:tcPr>
            <w:tcW w:w="35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4140" w:type="dxa"/>
            <w:vAlign w:val="bottom"/>
          </w:tcPr>
          <w:p>
            <w:pPr>
              <w:spacing w:after="0"/>
              <w:rPr>
                <w:sz w:val="19"/>
                <w:szCs w:val="19"/>
                <w:color w:val="auto"/>
              </w:rPr>
            </w:pPr>
          </w:p>
        </w:tc>
      </w:tr>
      <w:tr>
        <w:trPr>
          <w:trHeight w:val="230"/>
        </w:trPr>
        <w:tc>
          <w:tcPr>
            <w:tcW w:w="35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Chief Financial Officer &amp; Treasurer</w:t>
            </w:r>
          </w:p>
        </w:tc>
      </w:tr>
      <w:tr>
        <w:trPr>
          <w:trHeight w:val="442"/>
        </w:trPr>
        <w:tc>
          <w:tcPr>
            <w:tcW w:w="3560" w:type="dxa"/>
            <w:vAlign w:val="bottom"/>
            <w:tcBorders>
              <w:bottom w:val="single" w:sz="8" w:color="808080"/>
            </w:tcBorders>
          </w:tcPr>
          <w:p>
            <w:pPr>
              <w:spacing w:after="0"/>
              <w:rPr>
                <w:sz w:val="24"/>
                <w:szCs w:val="24"/>
                <w:color w:val="auto"/>
              </w:rPr>
            </w:pPr>
          </w:p>
        </w:tc>
        <w:tc>
          <w:tcPr>
            <w:tcW w:w="222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4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ind w:left="5100"/>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spacing w:after="0"/>
        <w:tabs>
          <w:tab w:leader="none" w:pos="352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5"/>
          <w:szCs w:val="15"/>
          <w:b w:val="1"/>
          <w:bCs w:val="1"/>
          <w:u w:val="single" w:color="auto"/>
          <w:color w:val="auto"/>
        </w:rPr>
        <w:t>Description</w:t>
      </w:r>
    </w:p>
    <w:p>
      <w:pPr>
        <w:spacing w:after="0" w:line="229" w:lineRule="exact"/>
        <w:rPr>
          <w:sz w:val="20"/>
          <w:szCs w:val="20"/>
          <w:color w:val="auto"/>
        </w:rPr>
      </w:pPr>
    </w:p>
    <w:p>
      <w:pPr>
        <w:ind w:left="300"/>
        <w:spacing w:after="0"/>
        <w:tabs>
          <w:tab w:leader="none" w:pos="1140" w:val="left"/>
        </w:tabs>
        <w:rPr>
          <w:rFonts w:ascii="Arial" w:cs="Arial" w:eastAsia="Arial" w:hAnsi="Arial"/>
          <w:sz w:val="18"/>
          <w:szCs w:val="18"/>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color w:val="0000EE"/>
        </w:rPr>
        <w:tab/>
      </w:r>
      <w:r>
        <w:rPr>
          <w:rFonts w:ascii="Arial" w:cs="Arial" w:eastAsia="Arial" w:hAnsi="Arial"/>
          <w:sz w:val="15"/>
          <w:szCs w:val="15"/>
          <w:color w:val="0000EE"/>
        </w:rPr>
        <w:t>Press Release of PennantPark Investment Corporation dated January 12, 2018</w:t>
      </w:r>
    </w:p>
    <w:p>
      <w:pPr>
        <w:sectPr>
          <w:pgSz w:w="11900" w:h="16838" w:orient="portrait"/>
          <w:cols w:equalWidth="0" w:num="1">
            <w:col w:w="10139"/>
          </w:cols>
          <w:pgMar w:left="320" w:top="337"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291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587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Investment Corporation Schedules Earnings Release of First Fiscal Quarter 2018 Results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NEW YORK, Jan. 12, 2018 (GLOBE NEWSWIRE) -- PennantPark Investment Corporation (the "Company") (NASDAQ:PNNT) announced that it will report results for the first fiscal quarter ended December 31, 2017 on Wednesday, February 7, 2018 after the close of the financial markets.</w:t>
      </w:r>
    </w:p>
    <w:p>
      <w:pPr>
        <w:spacing w:after="0" w:line="18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Company will also host a conference call at 10:00 a.m. (Eastern Time) on Thursday, February 8, 2018 to discuss its financial results. All interested parties are welcome to participate. You can access the conference call by dialing toll-free (888) 394-8218 approximately 5-10 minutes prior to the call. International callers should dial (323) 701-0225. All callers should reference PennantPark Investment Corporation. An archived replay of the call will be available through February 22, 2018 by calling toll-free (888) 203-1112. International callers please dial (719) 457-0820. For all phone replays, please reference conference ID #8118668.</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first lien secured debt, second lien secured debt, subordinated debt and equity investments. PennantPark Investment Corporation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Investment Corporation</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2020-05-05T15:07:23Z</dcterms:created>
  <dcterms:modified xsi:type="dcterms:W3CDTF">2020-05-05T15:07:23Z</dcterms:modified>
</cp:coreProperties>
</file>