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239"/>
        <w:spacing w:after="0"/>
        <w:rPr>
          <w:sz w:val="20"/>
          <w:szCs w:val="20"/>
          <w:color w:val="auto"/>
        </w:rPr>
      </w:pPr>
      <w:r>
        <w:rPr>
          <w:rFonts w:ascii="Arial" w:cs="Arial" w:eastAsia="Arial" w:hAnsi="Arial"/>
          <w:sz w:val="32"/>
          <w:szCs w:val="32"/>
          <w:b w:val="1"/>
          <w:bCs w:val="1"/>
          <w:color w:val="auto"/>
        </w:rPr>
        <w:drawing>
          <wp:anchor simplePos="0" relativeHeight="251657728" behindDoc="1" locked="0" layoutInCell="0" allowOverlap="1">
            <wp:simplePos x="0" y="0"/>
            <wp:positionH relativeFrom="page">
              <wp:posOffset>208280</wp:posOffset>
            </wp:positionH>
            <wp:positionV relativeFrom="page">
              <wp:posOffset>166370</wp:posOffset>
            </wp:positionV>
            <wp:extent cx="7132320" cy="8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2320" cy="8255"/>
                    </a:xfrm>
                    <a:prstGeom prst="rect">
                      <a:avLst/>
                    </a:prstGeom>
                    <a:noFill/>
                  </pic:spPr>
                </pic:pic>
              </a:graphicData>
            </a:graphic>
          </wp:anchor>
        </w:drawing>
        <w:drawing>
          <wp:anchor simplePos="0" relativeHeight="251657728" behindDoc="1" locked="0" layoutInCell="0" allowOverlap="1">
            <wp:simplePos x="0" y="0"/>
            <wp:positionH relativeFrom="page">
              <wp:posOffset>208280</wp:posOffset>
            </wp:positionH>
            <wp:positionV relativeFrom="page">
              <wp:posOffset>208915</wp:posOffset>
            </wp:positionV>
            <wp:extent cx="7132320"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2320" cy="8255"/>
                    </a:xfrm>
                    <a:prstGeom prst="rect">
                      <a:avLst/>
                    </a:prstGeom>
                    <a:noFill/>
                  </pic:spPr>
                </pic:pic>
              </a:graphicData>
            </a:graphic>
          </wp:anchor>
        </w:drawing>
        <w:t>UNITED STATES</w:t>
      </w:r>
    </w:p>
    <w:p>
      <w:pPr>
        <w:spacing w:after="0" w:line="31" w:lineRule="exact"/>
        <w:rPr>
          <w:sz w:val="24"/>
          <w:szCs w:val="24"/>
          <w:color w:val="auto"/>
        </w:rPr>
      </w:pPr>
    </w:p>
    <w:p>
      <w:pPr>
        <w:jc w:val="center"/>
        <w:ind w:right="-239"/>
        <w:spacing w:after="0"/>
        <w:rPr>
          <w:sz w:val="20"/>
          <w:szCs w:val="20"/>
          <w:color w:val="auto"/>
        </w:rPr>
      </w:pPr>
      <w:r>
        <w:rPr>
          <w:rFonts w:ascii="Arial" w:cs="Arial" w:eastAsia="Arial" w:hAnsi="Arial"/>
          <w:sz w:val="32"/>
          <w:szCs w:val="32"/>
          <w:b w:val="1"/>
          <w:bCs w:val="1"/>
          <w:color w:val="auto"/>
        </w:rPr>
        <w:t>SECURITIES AND EXCHANGE COMMISSION</w:t>
      </w:r>
    </w:p>
    <w:p>
      <w:pPr>
        <w:jc w:val="center"/>
        <w:ind w:right="-239"/>
        <w:spacing w:after="0"/>
        <w:rPr>
          <w:sz w:val="20"/>
          <w:szCs w:val="20"/>
          <w:color w:val="auto"/>
        </w:rPr>
      </w:pPr>
      <w:r>
        <w:rPr>
          <w:rFonts w:ascii="Arial" w:cs="Arial" w:eastAsia="Arial" w:hAnsi="Arial"/>
          <w:sz w:val="22"/>
          <w:szCs w:val="22"/>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2825115</wp:posOffset>
            </wp:positionH>
            <wp:positionV relativeFrom="paragraph">
              <wp:posOffset>227330</wp:posOffset>
            </wp:positionV>
            <wp:extent cx="1491615" cy="82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491615" cy="8255"/>
                    </a:xfrm>
                    <a:prstGeom prst="rect">
                      <a:avLst/>
                    </a:prstGeom>
                    <a:noFill/>
                  </pic:spPr>
                </pic:pic>
              </a:graphicData>
            </a:graphic>
          </wp:anchor>
        </w:drawing>
      </w:r>
    </w:p>
    <w:p>
      <w:pPr>
        <w:spacing w:after="0" w:line="200" w:lineRule="exact"/>
        <w:rPr>
          <w:sz w:val="24"/>
          <w:szCs w:val="24"/>
          <w:color w:val="auto"/>
        </w:rPr>
      </w:pPr>
    </w:p>
    <w:p>
      <w:pPr>
        <w:spacing w:after="0" w:line="326" w:lineRule="exact"/>
        <w:rPr>
          <w:sz w:val="24"/>
          <w:szCs w:val="24"/>
          <w:color w:val="auto"/>
        </w:rPr>
      </w:pPr>
    </w:p>
    <w:p>
      <w:pPr>
        <w:jc w:val="center"/>
        <w:ind w:right="-239"/>
        <w:spacing w:after="0"/>
        <w:rPr>
          <w:sz w:val="20"/>
          <w:szCs w:val="20"/>
          <w:color w:val="auto"/>
        </w:rPr>
      </w:pPr>
      <w:r>
        <w:rPr>
          <w:rFonts w:ascii="Arial" w:cs="Arial" w:eastAsia="Arial" w:hAnsi="Arial"/>
          <w:sz w:val="32"/>
          <w:szCs w:val="32"/>
          <w:b w:val="1"/>
          <w:bCs w:val="1"/>
          <w:color w:val="auto"/>
        </w:rPr>
        <w:t>FORM 8-K</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2825115</wp:posOffset>
            </wp:positionH>
            <wp:positionV relativeFrom="paragraph">
              <wp:posOffset>247015</wp:posOffset>
            </wp:positionV>
            <wp:extent cx="1491615" cy="825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491615" cy="8255"/>
                    </a:xfrm>
                    <a:prstGeom prst="rect">
                      <a:avLst/>
                    </a:prstGeom>
                    <a:noFill/>
                  </pic:spPr>
                </pic:pic>
              </a:graphicData>
            </a:graphic>
          </wp:anchor>
        </w:drawing>
      </w:r>
    </w:p>
    <w:p>
      <w:pPr>
        <w:spacing w:after="0" w:line="200" w:lineRule="exact"/>
        <w:rPr>
          <w:sz w:val="24"/>
          <w:szCs w:val="24"/>
          <w:color w:val="auto"/>
        </w:rPr>
      </w:pPr>
    </w:p>
    <w:p>
      <w:pPr>
        <w:spacing w:after="0" w:line="371" w:lineRule="exact"/>
        <w:rPr>
          <w:sz w:val="24"/>
          <w:szCs w:val="24"/>
          <w:color w:val="auto"/>
        </w:rPr>
      </w:pPr>
    </w:p>
    <w:p>
      <w:pPr>
        <w:ind w:left="4620"/>
        <w:spacing w:after="0"/>
        <w:rPr>
          <w:sz w:val="20"/>
          <w:szCs w:val="20"/>
          <w:color w:val="auto"/>
        </w:rPr>
      </w:pPr>
      <w:r>
        <w:rPr>
          <w:rFonts w:ascii="Arial" w:cs="Arial" w:eastAsia="Arial" w:hAnsi="Arial"/>
          <w:sz w:val="22"/>
          <w:szCs w:val="22"/>
          <w:b w:val="1"/>
          <w:bCs w:val="1"/>
          <w:color w:val="auto"/>
        </w:rPr>
        <w:t>CURRENT REPORT</w:t>
      </w:r>
    </w:p>
    <w:p>
      <w:pPr>
        <w:spacing w:after="0" w:line="206" w:lineRule="exact"/>
        <w:rPr>
          <w:sz w:val="24"/>
          <w:szCs w:val="24"/>
          <w:color w:val="auto"/>
        </w:rPr>
      </w:pPr>
    </w:p>
    <w:p>
      <w:pPr>
        <w:ind w:left="4160"/>
        <w:spacing w:after="0"/>
        <w:rPr>
          <w:sz w:val="20"/>
          <w:szCs w:val="20"/>
          <w:color w:val="auto"/>
        </w:rPr>
      </w:pPr>
      <w:r>
        <w:rPr>
          <w:rFonts w:ascii="Arial" w:cs="Arial" w:eastAsia="Arial" w:hAnsi="Arial"/>
          <w:sz w:val="22"/>
          <w:szCs w:val="22"/>
          <w:b w:val="1"/>
          <w:bCs w:val="1"/>
          <w:color w:val="auto"/>
        </w:rPr>
        <w:t>Pursuant to Section 13 Or 15(d)</w:t>
      </w:r>
    </w:p>
    <w:p>
      <w:pPr>
        <w:spacing w:after="0" w:line="14" w:lineRule="exact"/>
        <w:rPr>
          <w:sz w:val="24"/>
          <w:szCs w:val="24"/>
          <w:color w:val="auto"/>
        </w:rPr>
      </w:pPr>
    </w:p>
    <w:p>
      <w:pPr>
        <w:jc w:val="center"/>
        <w:ind w:right="-239"/>
        <w:spacing w:after="0"/>
        <w:rPr>
          <w:sz w:val="20"/>
          <w:szCs w:val="20"/>
          <w:color w:val="auto"/>
        </w:rPr>
      </w:pPr>
      <w:r>
        <w:rPr>
          <w:rFonts w:ascii="Arial" w:cs="Arial" w:eastAsia="Arial" w:hAnsi="Arial"/>
          <w:sz w:val="22"/>
          <w:szCs w:val="22"/>
          <w:b w:val="1"/>
          <w:bCs w:val="1"/>
          <w:color w:val="auto"/>
        </w:rPr>
        <w:t>of The Securities Exchange Act of 1934</w:t>
      </w:r>
    </w:p>
    <w:p>
      <w:pPr>
        <w:spacing w:after="0" w:line="191" w:lineRule="exact"/>
        <w:rPr>
          <w:sz w:val="24"/>
          <w:szCs w:val="24"/>
          <w:color w:val="auto"/>
        </w:rPr>
      </w:pPr>
    </w:p>
    <w:p>
      <w:pPr>
        <w:jc w:val="center"/>
        <w:ind w:right="-239"/>
        <w:spacing w:after="0"/>
        <w:rPr>
          <w:sz w:val="20"/>
          <w:szCs w:val="20"/>
          <w:color w:val="auto"/>
        </w:rPr>
      </w:pPr>
      <w:r>
        <w:rPr>
          <w:rFonts w:ascii="Arial" w:cs="Arial" w:eastAsia="Arial" w:hAnsi="Arial"/>
          <w:sz w:val="18"/>
          <w:szCs w:val="18"/>
          <w:b w:val="1"/>
          <w:bCs w:val="1"/>
          <w:color w:val="auto"/>
        </w:rPr>
        <w:t>February 24, 2015</w:t>
      </w:r>
    </w:p>
    <w:p>
      <w:pPr>
        <w:spacing w:after="0" w:line="216" w:lineRule="exact"/>
        <w:rPr>
          <w:sz w:val="24"/>
          <w:szCs w:val="24"/>
          <w:color w:val="auto"/>
        </w:rPr>
      </w:pPr>
    </w:p>
    <w:p>
      <w:pPr>
        <w:jc w:val="center"/>
        <w:ind w:right="-239"/>
        <w:spacing w:after="0"/>
        <w:rPr>
          <w:sz w:val="20"/>
          <w:szCs w:val="20"/>
          <w:color w:val="auto"/>
        </w:rPr>
      </w:pPr>
      <w:r>
        <w:rPr>
          <w:rFonts w:ascii="Arial" w:cs="Arial" w:eastAsia="Arial" w:hAnsi="Arial"/>
          <w:sz w:val="22"/>
          <w:szCs w:val="22"/>
          <w:b w:val="1"/>
          <w:bCs w:val="1"/>
          <w:color w:val="auto"/>
        </w:rPr>
        <w:t>Date of Report (Date of earliest event reported)</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2825115</wp:posOffset>
            </wp:positionH>
            <wp:positionV relativeFrom="paragraph">
              <wp:posOffset>233680</wp:posOffset>
            </wp:positionV>
            <wp:extent cx="1491615" cy="825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491615" cy="8255"/>
                    </a:xfrm>
                    <a:prstGeom prst="rect">
                      <a:avLst/>
                    </a:prstGeom>
                    <a:noFill/>
                  </pic:spPr>
                </pic:pic>
              </a:graphicData>
            </a:graphic>
          </wp:anchor>
        </w:drawing>
      </w:r>
    </w:p>
    <w:p>
      <w:pPr>
        <w:spacing w:after="0" w:line="200" w:lineRule="exact"/>
        <w:rPr>
          <w:sz w:val="24"/>
          <w:szCs w:val="24"/>
          <w:color w:val="auto"/>
        </w:rPr>
      </w:pPr>
    </w:p>
    <w:p>
      <w:pPr>
        <w:spacing w:after="0" w:line="335" w:lineRule="exact"/>
        <w:rPr>
          <w:sz w:val="24"/>
          <w:szCs w:val="24"/>
          <w:color w:val="auto"/>
        </w:rPr>
      </w:pPr>
    </w:p>
    <w:p>
      <w:pPr>
        <w:jc w:val="center"/>
        <w:ind w:right="-239"/>
        <w:spacing w:after="0"/>
        <w:rPr>
          <w:sz w:val="20"/>
          <w:szCs w:val="20"/>
          <w:color w:val="auto"/>
        </w:rPr>
      </w:pPr>
      <w:r>
        <w:rPr>
          <w:rFonts w:ascii="Arial" w:cs="Arial" w:eastAsia="Arial" w:hAnsi="Arial"/>
          <w:sz w:val="43"/>
          <w:szCs w:val="43"/>
          <w:b w:val="1"/>
          <w:bCs w:val="1"/>
          <w:color w:val="auto"/>
        </w:rPr>
        <w:t>PennantPark Investment Corporation</w:t>
      </w:r>
    </w:p>
    <w:p>
      <w:pPr>
        <w:spacing w:after="0" w:line="50" w:lineRule="exact"/>
        <w:rPr>
          <w:sz w:val="24"/>
          <w:szCs w:val="24"/>
          <w:color w:val="auto"/>
        </w:rPr>
      </w:pPr>
    </w:p>
    <w:p>
      <w:pPr>
        <w:jc w:val="center"/>
        <w:ind w:right="-239"/>
        <w:spacing w:after="0"/>
        <w:rPr>
          <w:sz w:val="20"/>
          <w:szCs w:val="20"/>
          <w:color w:val="auto"/>
        </w:rPr>
      </w:pPr>
      <w:r>
        <w:rPr>
          <w:rFonts w:ascii="Arial" w:cs="Arial" w:eastAsia="Arial" w:hAnsi="Arial"/>
          <w:sz w:val="18"/>
          <w:szCs w:val="18"/>
          <w:b w:val="1"/>
          <w:bCs w:val="1"/>
          <w:color w:val="auto"/>
        </w:rPr>
        <w:t>(Exact name of registrant as specified in its charter)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2825115</wp:posOffset>
            </wp:positionH>
            <wp:positionV relativeFrom="paragraph">
              <wp:posOffset>236220</wp:posOffset>
            </wp:positionV>
            <wp:extent cx="1491615"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1491615" cy="8890"/>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17" w:lineRule="exact"/>
        <w:rPr>
          <w:sz w:val="24"/>
          <w:szCs w:val="24"/>
          <w:color w:val="auto"/>
        </w:rPr>
      </w:pPr>
    </w:p>
    <w:tbl>
      <w:tblPr>
        <w:tblLayout w:type="fixed"/>
        <w:tblInd w:w="1100" w:type="dxa"/>
        <w:tblCellMar>
          <w:top w:w="0" w:type="dxa"/>
          <w:left w:w="0" w:type="dxa"/>
          <w:bottom w:w="0" w:type="dxa"/>
          <w:right w:w="0" w:type="dxa"/>
        </w:tblCellMar>
      </w:tblPr>
      <w:tr>
        <w:trPr>
          <w:trHeight w:val="212"/>
        </w:trPr>
        <w:tc>
          <w:tcPr>
            <w:tcW w:w="4040" w:type="dxa"/>
            <w:vAlign w:val="bottom"/>
          </w:tcPr>
          <w:p>
            <w:pPr>
              <w:jc w:val="center"/>
              <w:ind w:right="2341"/>
              <w:spacing w:after="0"/>
              <w:rPr>
                <w:sz w:val="20"/>
                <w:szCs w:val="20"/>
                <w:color w:val="auto"/>
              </w:rPr>
            </w:pPr>
            <w:r>
              <w:rPr>
                <w:rFonts w:ascii="Arial" w:cs="Arial" w:eastAsia="Arial" w:hAnsi="Arial"/>
                <w:sz w:val="18"/>
                <w:szCs w:val="18"/>
                <w:b w:val="1"/>
                <w:bCs w:val="1"/>
                <w:color w:val="auto"/>
                <w:w w:val="98"/>
              </w:rPr>
              <w:t>Maryland</w:t>
            </w:r>
          </w:p>
        </w:tc>
        <w:tc>
          <w:tcPr>
            <w:tcW w:w="2380" w:type="dxa"/>
            <w:vAlign w:val="bottom"/>
          </w:tcPr>
          <w:p>
            <w:pPr>
              <w:ind w:left="220"/>
              <w:spacing w:after="0"/>
              <w:rPr>
                <w:sz w:val="20"/>
                <w:szCs w:val="20"/>
                <w:color w:val="auto"/>
              </w:rPr>
            </w:pPr>
            <w:r>
              <w:rPr>
                <w:rFonts w:ascii="Arial" w:cs="Arial" w:eastAsia="Arial" w:hAnsi="Arial"/>
                <w:sz w:val="18"/>
                <w:szCs w:val="18"/>
                <w:b w:val="1"/>
                <w:bCs w:val="1"/>
                <w:color w:val="auto"/>
              </w:rPr>
              <w:t>814-00736</w:t>
            </w:r>
          </w:p>
        </w:tc>
        <w:tc>
          <w:tcPr>
            <w:tcW w:w="2480" w:type="dxa"/>
            <w:vAlign w:val="bottom"/>
          </w:tcPr>
          <w:p>
            <w:pPr>
              <w:jc w:val="right"/>
              <w:ind w:right="41"/>
              <w:spacing w:after="0"/>
              <w:rPr>
                <w:sz w:val="20"/>
                <w:szCs w:val="20"/>
                <w:color w:val="auto"/>
              </w:rPr>
            </w:pPr>
            <w:r>
              <w:rPr>
                <w:rFonts w:ascii="Arial" w:cs="Arial" w:eastAsia="Arial" w:hAnsi="Arial"/>
                <w:sz w:val="18"/>
                <w:szCs w:val="18"/>
                <w:b w:val="1"/>
                <w:bCs w:val="1"/>
                <w:color w:val="auto"/>
              </w:rPr>
              <w:t>20-8250744</w:t>
            </w:r>
          </w:p>
        </w:tc>
      </w:tr>
      <w:tr>
        <w:trPr>
          <w:trHeight w:val="149"/>
        </w:trPr>
        <w:tc>
          <w:tcPr>
            <w:tcW w:w="4040" w:type="dxa"/>
            <w:vAlign w:val="bottom"/>
          </w:tcPr>
          <w:p>
            <w:pPr>
              <w:jc w:val="center"/>
              <w:ind w:right="2321"/>
              <w:spacing w:after="0" w:line="149" w:lineRule="exact"/>
              <w:rPr>
                <w:sz w:val="20"/>
                <w:szCs w:val="20"/>
                <w:color w:val="auto"/>
              </w:rPr>
            </w:pPr>
            <w:r>
              <w:rPr>
                <w:rFonts w:ascii="Arial" w:cs="Arial" w:eastAsia="Arial" w:hAnsi="Arial"/>
                <w:sz w:val="14"/>
                <w:szCs w:val="14"/>
                <w:b w:val="1"/>
                <w:bCs w:val="1"/>
                <w:color w:val="auto"/>
                <w:w w:val="93"/>
              </w:rPr>
              <w:t>(State or other jurisdiction</w:t>
            </w:r>
          </w:p>
        </w:tc>
        <w:tc>
          <w:tcPr>
            <w:tcW w:w="2380" w:type="dxa"/>
            <w:vAlign w:val="bottom"/>
          </w:tcPr>
          <w:p>
            <w:pPr>
              <w:ind w:left="200"/>
              <w:spacing w:after="0" w:line="149" w:lineRule="exact"/>
              <w:rPr>
                <w:sz w:val="20"/>
                <w:szCs w:val="20"/>
                <w:color w:val="auto"/>
              </w:rPr>
            </w:pPr>
            <w:r>
              <w:rPr>
                <w:rFonts w:ascii="Arial" w:cs="Arial" w:eastAsia="Arial" w:hAnsi="Arial"/>
                <w:sz w:val="14"/>
                <w:szCs w:val="14"/>
                <w:b w:val="1"/>
                <w:bCs w:val="1"/>
                <w:color w:val="auto"/>
              </w:rPr>
              <w:t>(Commission</w:t>
            </w:r>
          </w:p>
        </w:tc>
        <w:tc>
          <w:tcPr>
            <w:tcW w:w="2480" w:type="dxa"/>
            <w:vAlign w:val="bottom"/>
          </w:tcPr>
          <w:p>
            <w:pPr>
              <w:jc w:val="center"/>
              <w:ind w:left="1301"/>
              <w:spacing w:after="0" w:line="149" w:lineRule="exact"/>
              <w:rPr>
                <w:sz w:val="20"/>
                <w:szCs w:val="20"/>
                <w:color w:val="auto"/>
              </w:rPr>
            </w:pPr>
            <w:r>
              <w:rPr>
                <w:rFonts w:ascii="Arial" w:cs="Arial" w:eastAsia="Arial" w:hAnsi="Arial"/>
                <w:sz w:val="14"/>
                <w:szCs w:val="14"/>
                <w:b w:val="1"/>
                <w:bCs w:val="1"/>
                <w:color w:val="auto"/>
                <w:w w:val="98"/>
              </w:rPr>
              <w:t>(IRS Employer</w:t>
            </w:r>
          </w:p>
        </w:tc>
      </w:tr>
      <w:tr>
        <w:trPr>
          <w:trHeight w:val="186"/>
        </w:trPr>
        <w:tc>
          <w:tcPr>
            <w:tcW w:w="4040" w:type="dxa"/>
            <w:vAlign w:val="bottom"/>
          </w:tcPr>
          <w:p>
            <w:pPr>
              <w:jc w:val="center"/>
              <w:ind w:right="2341"/>
              <w:spacing w:after="0"/>
              <w:rPr>
                <w:sz w:val="20"/>
                <w:szCs w:val="20"/>
                <w:color w:val="auto"/>
              </w:rPr>
            </w:pPr>
            <w:r>
              <w:rPr>
                <w:rFonts w:ascii="Arial" w:cs="Arial" w:eastAsia="Arial" w:hAnsi="Arial"/>
                <w:sz w:val="14"/>
                <w:szCs w:val="14"/>
                <w:b w:val="1"/>
                <w:bCs w:val="1"/>
                <w:color w:val="auto"/>
                <w:w w:val="94"/>
              </w:rPr>
              <w:t>of incorporation)</w:t>
            </w:r>
          </w:p>
        </w:tc>
        <w:tc>
          <w:tcPr>
            <w:tcW w:w="2380" w:type="dxa"/>
            <w:vAlign w:val="bottom"/>
          </w:tcPr>
          <w:p>
            <w:pPr>
              <w:ind w:left="200"/>
              <w:spacing w:after="0"/>
              <w:rPr>
                <w:sz w:val="20"/>
                <w:szCs w:val="20"/>
                <w:color w:val="auto"/>
              </w:rPr>
            </w:pPr>
            <w:r>
              <w:rPr>
                <w:rFonts w:ascii="Arial" w:cs="Arial" w:eastAsia="Arial" w:hAnsi="Arial"/>
                <w:sz w:val="14"/>
                <w:szCs w:val="14"/>
                <w:b w:val="1"/>
                <w:bCs w:val="1"/>
                <w:color w:val="auto"/>
              </w:rPr>
              <w:t>File Number)</w:t>
            </w:r>
          </w:p>
        </w:tc>
        <w:tc>
          <w:tcPr>
            <w:tcW w:w="2480" w:type="dxa"/>
            <w:vAlign w:val="bottom"/>
          </w:tcPr>
          <w:p>
            <w:pPr>
              <w:jc w:val="center"/>
              <w:ind w:left="1281"/>
              <w:spacing w:after="0"/>
              <w:rPr>
                <w:sz w:val="20"/>
                <w:szCs w:val="20"/>
                <w:color w:val="auto"/>
              </w:rPr>
            </w:pPr>
            <w:r>
              <w:rPr>
                <w:rFonts w:ascii="Arial" w:cs="Arial" w:eastAsia="Arial" w:hAnsi="Arial"/>
                <w:sz w:val="14"/>
                <w:szCs w:val="14"/>
                <w:b w:val="1"/>
                <w:bCs w:val="1"/>
                <w:color w:val="auto"/>
                <w:w w:val="94"/>
              </w:rPr>
              <w:t>Identification No.)</w:t>
            </w:r>
          </w:p>
        </w:tc>
      </w:tr>
      <w:tr>
        <w:trPr>
          <w:trHeight w:val="300"/>
        </w:trPr>
        <w:tc>
          <w:tcPr>
            <w:tcW w:w="6420" w:type="dxa"/>
            <w:vAlign w:val="bottom"/>
            <w:gridSpan w:val="2"/>
          </w:tcPr>
          <w:p>
            <w:pPr>
              <w:jc w:val="center"/>
              <w:ind w:right="982"/>
              <w:spacing w:after="0"/>
              <w:rPr>
                <w:sz w:val="20"/>
                <w:szCs w:val="20"/>
                <w:color w:val="auto"/>
              </w:rPr>
            </w:pPr>
            <w:r>
              <w:rPr>
                <w:rFonts w:ascii="Arial" w:cs="Arial" w:eastAsia="Arial" w:hAnsi="Arial"/>
                <w:sz w:val="18"/>
                <w:szCs w:val="18"/>
                <w:b w:val="1"/>
                <w:bCs w:val="1"/>
                <w:color w:val="auto"/>
                <w:w w:val="91"/>
              </w:rPr>
              <w:t>590 Madison Avenue, 15th Floor, New York, NY</w:t>
            </w:r>
          </w:p>
        </w:tc>
        <w:tc>
          <w:tcPr>
            <w:tcW w:w="2480" w:type="dxa"/>
            <w:vAlign w:val="bottom"/>
          </w:tcPr>
          <w:p>
            <w:pPr>
              <w:jc w:val="right"/>
              <w:ind w:right="261"/>
              <w:spacing w:after="0"/>
              <w:rPr>
                <w:sz w:val="20"/>
                <w:szCs w:val="20"/>
                <w:color w:val="auto"/>
              </w:rPr>
            </w:pPr>
            <w:r>
              <w:rPr>
                <w:rFonts w:ascii="Arial" w:cs="Arial" w:eastAsia="Arial" w:hAnsi="Arial"/>
                <w:sz w:val="18"/>
                <w:szCs w:val="18"/>
                <w:b w:val="1"/>
                <w:bCs w:val="1"/>
                <w:color w:val="auto"/>
              </w:rPr>
              <w:t>10022</w:t>
            </w:r>
          </w:p>
        </w:tc>
      </w:tr>
      <w:tr>
        <w:trPr>
          <w:trHeight w:val="186"/>
        </w:trPr>
        <w:tc>
          <w:tcPr>
            <w:tcW w:w="4040" w:type="dxa"/>
            <w:vAlign w:val="bottom"/>
          </w:tcPr>
          <w:p>
            <w:pPr>
              <w:jc w:val="center"/>
              <w:ind w:left="1221"/>
              <w:spacing w:after="0"/>
              <w:rPr>
                <w:sz w:val="20"/>
                <w:szCs w:val="20"/>
                <w:color w:val="auto"/>
              </w:rPr>
            </w:pPr>
            <w:r>
              <w:rPr>
                <w:rFonts w:ascii="Arial" w:cs="Arial" w:eastAsia="Arial" w:hAnsi="Arial"/>
                <w:sz w:val="14"/>
                <w:szCs w:val="14"/>
                <w:b w:val="1"/>
                <w:bCs w:val="1"/>
                <w:color w:val="auto"/>
                <w:w w:val="91"/>
              </w:rPr>
              <w:t>(Address of principal executive offices)</w:t>
            </w:r>
          </w:p>
        </w:tc>
        <w:tc>
          <w:tcPr>
            <w:tcW w:w="2380" w:type="dxa"/>
            <w:vAlign w:val="bottom"/>
          </w:tcPr>
          <w:p>
            <w:pPr>
              <w:spacing w:after="0"/>
              <w:rPr>
                <w:sz w:val="16"/>
                <w:szCs w:val="16"/>
                <w:color w:val="auto"/>
              </w:rPr>
            </w:pPr>
          </w:p>
        </w:tc>
        <w:tc>
          <w:tcPr>
            <w:tcW w:w="2480" w:type="dxa"/>
            <w:vAlign w:val="bottom"/>
          </w:tcPr>
          <w:p>
            <w:pPr>
              <w:jc w:val="center"/>
              <w:ind w:left="1301"/>
              <w:spacing w:after="0"/>
              <w:rPr>
                <w:sz w:val="20"/>
                <w:szCs w:val="20"/>
                <w:color w:val="auto"/>
              </w:rPr>
            </w:pPr>
            <w:r>
              <w:rPr>
                <w:rFonts w:ascii="Arial" w:cs="Arial" w:eastAsia="Arial" w:hAnsi="Arial"/>
                <w:sz w:val="14"/>
                <w:szCs w:val="14"/>
                <w:b w:val="1"/>
                <w:bCs w:val="1"/>
                <w:color w:val="auto"/>
                <w:w w:val="95"/>
              </w:rPr>
              <w:t>(Zip Code)</w:t>
            </w:r>
          </w:p>
        </w:tc>
      </w:tr>
    </w:tbl>
    <w:p>
      <w:pPr>
        <w:spacing w:after="0" w:line="183" w:lineRule="exact"/>
        <w:rPr>
          <w:sz w:val="24"/>
          <w:szCs w:val="24"/>
          <w:color w:val="auto"/>
        </w:rPr>
      </w:pPr>
    </w:p>
    <w:p>
      <w:pPr>
        <w:jc w:val="center"/>
        <w:ind w:right="-239"/>
        <w:spacing w:after="0"/>
        <w:rPr>
          <w:sz w:val="20"/>
          <w:szCs w:val="20"/>
          <w:color w:val="auto"/>
        </w:rPr>
      </w:pPr>
      <w:r>
        <w:rPr>
          <w:rFonts w:ascii="Arial" w:cs="Arial" w:eastAsia="Arial" w:hAnsi="Arial"/>
          <w:sz w:val="18"/>
          <w:szCs w:val="18"/>
          <w:b w:val="1"/>
          <w:bCs w:val="1"/>
          <w:color w:val="auto"/>
        </w:rPr>
        <w:t>212-905-1000</w:t>
      </w:r>
    </w:p>
    <w:p>
      <w:pPr>
        <w:spacing w:after="0" w:line="21" w:lineRule="exact"/>
        <w:rPr>
          <w:sz w:val="24"/>
          <w:szCs w:val="24"/>
          <w:color w:val="auto"/>
        </w:rPr>
      </w:pPr>
    </w:p>
    <w:p>
      <w:pPr>
        <w:jc w:val="center"/>
        <w:ind w:right="-239"/>
        <w:spacing w:after="0"/>
        <w:rPr>
          <w:sz w:val="20"/>
          <w:szCs w:val="20"/>
          <w:color w:val="auto"/>
        </w:rPr>
      </w:pPr>
      <w:r>
        <w:rPr>
          <w:rFonts w:ascii="Arial" w:cs="Arial" w:eastAsia="Arial" w:hAnsi="Arial"/>
          <w:sz w:val="14"/>
          <w:szCs w:val="14"/>
          <w:b w:val="1"/>
          <w:bCs w:val="1"/>
          <w:color w:val="auto"/>
        </w:rPr>
        <w:t>(Registrant’s telephone number, including area code)</w:t>
      </w:r>
    </w:p>
    <w:p>
      <w:pPr>
        <w:spacing w:after="0" w:line="192" w:lineRule="exact"/>
        <w:rPr>
          <w:sz w:val="24"/>
          <w:szCs w:val="24"/>
          <w:color w:val="auto"/>
        </w:rPr>
      </w:pPr>
    </w:p>
    <w:p>
      <w:pPr>
        <w:jc w:val="center"/>
        <w:ind w:right="-239"/>
        <w:spacing w:after="0"/>
        <w:rPr>
          <w:sz w:val="20"/>
          <w:szCs w:val="20"/>
          <w:color w:val="auto"/>
        </w:rPr>
      </w:pPr>
      <w:r>
        <w:rPr>
          <w:rFonts w:ascii="Arial" w:cs="Arial" w:eastAsia="Arial" w:hAnsi="Arial"/>
          <w:sz w:val="18"/>
          <w:szCs w:val="18"/>
          <w:b w:val="1"/>
          <w:bCs w:val="1"/>
          <w:color w:val="auto"/>
        </w:rPr>
        <w:t>Not Applicable</w:t>
      </w:r>
    </w:p>
    <w:p>
      <w:pPr>
        <w:spacing w:after="0" w:line="21" w:lineRule="exact"/>
        <w:rPr>
          <w:sz w:val="24"/>
          <w:szCs w:val="24"/>
          <w:color w:val="auto"/>
        </w:rPr>
      </w:pPr>
    </w:p>
    <w:p>
      <w:pPr>
        <w:jc w:val="center"/>
        <w:ind w:right="-239"/>
        <w:spacing w:after="0"/>
        <w:rPr>
          <w:sz w:val="20"/>
          <w:szCs w:val="20"/>
          <w:color w:val="auto"/>
        </w:rPr>
      </w:pPr>
      <w:r>
        <w:rPr>
          <w:rFonts w:ascii="Arial" w:cs="Arial" w:eastAsia="Arial" w:hAnsi="Arial"/>
          <w:sz w:val="14"/>
          <w:szCs w:val="14"/>
          <w:b w:val="1"/>
          <w:bCs w:val="1"/>
          <w:color w:val="auto"/>
        </w:rPr>
        <w:t>(Former name or former address, if changed since last report)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2825115</wp:posOffset>
            </wp:positionH>
            <wp:positionV relativeFrom="paragraph">
              <wp:posOffset>227965</wp:posOffset>
            </wp:positionV>
            <wp:extent cx="1491615" cy="825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1491615" cy="8255"/>
                    </a:xfrm>
                    <a:prstGeom prst="rect">
                      <a:avLst/>
                    </a:prstGeom>
                    <a:noFill/>
                  </pic:spPr>
                </pic:pic>
              </a:graphicData>
            </a:graphic>
          </wp:anchor>
        </w:drawing>
      </w:r>
    </w:p>
    <w:p>
      <w:pPr>
        <w:spacing w:after="0" w:line="200" w:lineRule="exact"/>
        <w:rPr>
          <w:sz w:val="24"/>
          <w:szCs w:val="24"/>
          <w:color w:val="auto"/>
        </w:rPr>
      </w:pPr>
    </w:p>
    <w:p>
      <w:pPr>
        <w:spacing w:after="0" w:line="354" w:lineRule="exact"/>
        <w:rPr>
          <w:sz w:val="24"/>
          <w:szCs w:val="24"/>
          <w:color w:val="auto"/>
        </w:rPr>
      </w:pPr>
    </w:p>
    <w:p>
      <w:pPr>
        <w:ind w:firstLine="449"/>
        <w:spacing w:after="0" w:line="277" w:lineRule="auto"/>
        <w:rPr>
          <w:sz w:val="20"/>
          <w:szCs w:val="20"/>
          <w:color w:val="auto"/>
        </w:rPr>
      </w:pPr>
      <w:r>
        <w:rPr>
          <w:rFonts w:ascii="Arial" w:cs="Arial" w:eastAsia="Arial" w:hAnsi="Arial"/>
          <w:sz w:val="18"/>
          <w:szCs w:val="18"/>
          <w:color w:val="auto"/>
        </w:rPr>
        <w:t>Check the appropriate box below if the Form 8-K filing is intended to simultaneously satisfy the filing obligation of the registrant under any of the following provisions:</w:t>
      </w:r>
    </w:p>
    <w:p>
      <w:pPr>
        <w:spacing w:after="0" w:line="76" w:lineRule="exact"/>
        <w:rPr>
          <w:sz w:val="24"/>
          <w:szCs w:val="24"/>
          <w:color w:val="auto"/>
        </w:rPr>
      </w:pPr>
    </w:p>
    <w:p>
      <w:pPr>
        <w:ind w:left="460" w:hanging="452"/>
        <w:spacing w:after="0"/>
        <w:tabs>
          <w:tab w:leader="none" w:pos="46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Written communications pursuant to Rule 425 under the Securities Act (17 CFR 230.425)</w:t>
      </w:r>
    </w:p>
    <w:p>
      <w:pPr>
        <w:spacing w:after="0" w:line="130" w:lineRule="exact"/>
        <w:rPr>
          <w:rFonts w:ascii="MS PGothic" w:cs="MS PGothic" w:eastAsia="MS PGothic" w:hAnsi="MS PGothic"/>
          <w:sz w:val="18"/>
          <w:szCs w:val="18"/>
          <w:color w:val="auto"/>
        </w:rPr>
      </w:pPr>
    </w:p>
    <w:p>
      <w:pPr>
        <w:ind w:left="460" w:hanging="452"/>
        <w:spacing w:after="0"/>
        <w:tabs>
          <w:tab w:leader="none" w:pos="46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Soliciting material pursuant to Rule 14a-12 under the Exchange Act (17 CFR 240.14a-12)</w:t>
      </w:r>
    </w:p>
    <w:p>
      <w:pPr>
        <w:spacing w:after="0" w:line="130" w:lineRule="exact"/>
        <w:rPr>
          <w:rFonts w:ascii="MS PGothic" w:cs="MS PGothic" w:eastAsia="MS PGothic" w:hAnsi="MS PGothic"/>
          <w:sz w:val="18"/>
          <w:szCs w:val="18"/>
          <w:color w:val="auto"/>
        </w:rPr>
      </w:pPr>
    </w:p>
    <w:p>
      <w:pPr>
        <w:ind w:left="460" w:hanging="452"/>
        <w:spacing w:after="0"/>
        <w:tabs>
          <w:tab w:leader="none" w:pos="46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Pre-commencement communications pursuant to Rule 14d-2(b) under the Exchange Act (17 CFR 240.14d-2(b))</w:t>
      </w:r>
    </w:p>
    <w:p>
      <w:pPr>
        <w:spacing w:after="0" w:line="130" w:lineRule="exact"/>
        <w:rPr>
          <w:rFonts w:ascii="MS PGothic" w:cs="MS PGothic" w:eastAsia="MS PGothic" w:hAnsi="MS PGothic"/>
          <w:sz w:val="18"/>
          <w:szCs w:val="18"/>
          <w:color w:val="auto"/>
        </w:rPr>
      </w:pPr>
    </w:p>
    <w:p>
      <w:pPr>
        <w:ind w:left="460" w:hanging="452"/>
        <w:spacing w:after="0"/>
        <w:tabs>
          <w:tab w:leader="none" w:pos="46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Pre-commencement communications pursuant to Rule 13e-4(c) under the Exchange Act (17 CFR 240.13e-4(c))</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160655</wp:posOffset>
            </wp:positionV>
            <wp:extent cx="7132320" cy="825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32320" cy="825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203200</wp:posOffset>
            </wp:positionV>
            <wp:extent cx="7132320" cy="825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000"/>
          </w:cols>
          <w:pgMar w:left="320" w:top="368" w:right="579" w:bottom="1440" w:gutter="0" w:footer="0" w:header="0"/>
        </w:sectPr>
      </w:pPr>
    </w:p>
    <w:bookmarkStart w:id="1" w:name="page2"/>
    <w:bookmarkEnd w:id="1"/>
    <w:p>
      <w:pP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49465" cy="26035"/>
                    </a:xfrm>
                    <a:prstGeom prst="rect">
                      <a:avLst/>
                    </a:prstGeom>
                    <a:noFill/>
                  </pic:spPr>
                </pic:pic>
              </a:graphicData>
            </a:graphic>
          </wp:anchor>
        </w:drawing>
        <w:drawing>
          <wp:anchor simplePos="0" relativeHeight="251657728" behindDoc="1" locked="0" layoutInCell="0" allowOverlap="1">
            <wp:simplePos x="0" y="0"/>
            <wp:positionH relativeFrom="page">
              <wp:posOffset>208280</wp:posOffset>
            </wp:positionH>
            <wp:positionV relativeFrom="page">
              <wp:posOffset>191770</wp:posOffset>
            </wp:positionV>
            <wp:extent cx="7132320" cy="825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32320" cy="8255"/>
                    </a:xfrm>
                    <a:prstGeom prst="rect">
                      <a:avLst/>
                    </a:prstGeom>
                    <a:noFill/>
                  </pic:spPr>
                </pic:pic>
              </a:graphicData>
            </a:graphic>
          </wp:anchor>
        </w:drawing>
        <w:t>Item 5.07 Submission of Matters to a Vote of Security Holders</w:t>
      </w:r>
    </w:p>
    <w:p>
      <w:pPr>
        <w:spacing w:after="0" w:line="121" w:lineRule="exact"/>
        <w:rPr>
          <w:sz w:val="20"/>
          <w:szCs w:val="20"/>
          <w:color w:val="auto"/>
        </w:rPr>
      </w:pPr>
    </w:p>
    <w:p>
      <w:pPr>
        <w:ind w:right="40"/>
        <w:spacing w:after="0" w:line="259" w:lineRule="auto"/>
        <w:rPr>
          <w:sz w:val="20"/>
          <w:szCs w:val="20"/>
          <w:color w:val="auto"/>
        </w:rPr>
      </w:pPr>
      <w:r>
        <w:rPr>
          <w:rFonts w:ascii="Arial" w:cs="Arial" w:eastAsia="Arial" w:hAnsi="Arial"/>
          <w:sz w:val="18"/>
          <w:szCs w:val="18"/>
          <w:color w:val="auto"/>
        </w:rPr>
        <w:t>On February 24, 2015, PennantPark Investment Corporation (the “Company”) held a reconvened annual meeting of stockholders (the “Annual Meeting”) and submitted one matter to the vote of stockholders. The proposal is described in detail in the Company’s definitive joint proxy statement filed with the Securities and Exchange Commission on November 26, 2014. As of December 1, 2014, the record date, 75,092,911 shares of common stock were eligible to vote. A summary of the matter voted upon by the stockholders is set forth below.</w:t>
      </w:r>
    </w:p>
    <w:p>
      <w:pPr>
        <w:spacing w:after="0" w:line="75" w:lineRule="exact"/>
        <w:rPr>
          <w:sz w:val="20"/>
          <w:szCs w:val="20"/>
          <w:color w:val="auto"/>
        </w:rPr>
      </w:pPr>
    </w:p>
    <w:p>
      <w:pPr>
        <w:spacing w:after="0" w:line="258" w:lineRule="auto"/>
        <w:rPr>
          <w:sz w:val="20"/>
          <w:szCs w:val="20"/>
          <w:color w:val="auto"/>
        </w:rPr>
      </w:pPr>
      <w:r>
        <w:rPr>
          <w:rFonts w:ascii="Arial" w:cs="Arial" w:eastAsia="Arial" w:hAnsi="Arial"/>
          <w:sz w:val="18"/>
          <w:szCs w:val="18"/>
          <w:b w:val="1"/>
          <w:bCs w:val="1"/>
          <w:color w:val="auto"/>
        </w:rPr>
        <w:t xml:space="preserve">Proposal 1. </w:t>
      </w:r>
      <w:r>
        <w:rPr>
          <w:rFonts w:ascii="Arial" w:cs="Arial" w:eastAsia="Arial" w:hAnsi="Arial"/>
          <w:sz w:val="18"/>
          <w:szCs w:val="18"/>
          <w:color w:val="auto"/>
        </w:rPr>
        <w:t>Due to the absence of the affirmative vote of a majority of the outstanding shares of common stock, the named proxies for the Company’s</w:t>
      </w:r>
      <w:r>
        <w:rPr>
          <w:rFonts w:ascii="Arial" w:cs="Arial" w:eastAsia="Arial" w:hAnsi="Arial"/>
          <w:sz w:val="18"/>
          <w:szCs w:val="18"/>
          <w:b w:val="1"/>
          <w:bCs w:val="1"/>
          <w:color w:val="auto"/>
        </w:rPr>
        <w:t xml:space="preserve"> </w:t>
      </w:r>
      <w:r>
        <w:rPr>
          <w:rFonts w:ascii="Arial" w:cs="Arial" w:eastAsia="Arial" w:hAnsi="Arial"/>
          <w:sz w:val="18"/>
          <w:szCs w:val="18"/>
          <w:color w:val="auto"/>
        </w:rPr>
        <w:t>stockholders approved an adjournment of the Annual Meeting to allow the polls to remain open until 9:30 a.m. on March 17, 2015 to solicit additional votes for the proposal to elect two Class II directors of the Company, each of whom will serve until the 2018 Annual Meeting or until his successor is duly elected and qualifies. The Annual Meeting will be reconvened at the offices of Dechert LLP, located at 1095 Avenue of the Americas, New York, New York, on March 17, 2015, at 9:30 a.m.</w:t>
      </w:r>
    </w:p>
    <w:p>
      <w:pPr>
        <w:sectPr>
          <w:pgSz w:w="11900" w:h="16838" w:orient="portrait"/>
          <w:cols w:equalWidth="0" w:num="1">
            <w:col w:w="11140"/>
          </w:cols>
          <w:pgMar w:left="320" w:top="337" w:right="439" w:bottom="1440" w:gutter="0" w:footer="0" w:header="0"/>
        </w:sectPr>
      </w:pPr>
    </w:p>
    <w:bookmarkStart w:id="2" w:name="page3"/>
    <w:bookmarkEnd w:id="2"/>
    <w:p>
      <w:pPr>
        <w:jc w:val="cente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149465" cy="25400"/>
                    </a:xfrm>
                    <a:prstGeom prst="rect">
                      <a:avLst/>
                    </a:prstGeom>
                    <a:noFill/>
                  </pic:spPr>
                </pic:pic>
              </a:graphicData>
            </a:graphic>
          </wp:anchor>
        </w:drawing>
        <w:t>SIGNATURE</w:t>
      </w:r>
    </w:p>
    <w:p>
      <w:pPr>
        <w:spacing w:after="0" w:line="229" w:lineRule="exact"/>
        <w:rPr>
          <w:sz w:val="20"/>
          <w:szCs w:val="20"/>
          <w:color w:val="auto"/>
        </w:rPr>
      </w:pPr>
    </w:p>
    <w:p>
      <w:pPr>
        <w:ind w:firstLine="449"/>
        <w:spacing w:after="0" w:line="277" w:lineRule="auto"/>
        <w:rPr>
          <w:sz w:val="20"/>
          <w:szCs w:val="20"/>
          <w:color w:val="auto"/>
        </w:rPr>
      </w:pPr>
      <w:r>
        <w:rPr>
          <w:rFonts w:ascii="Arial" w:cs="Arial" w:eastAsia="Arial" w:hAnsi="Arial"/>
          <w:sz w:val="18"/>
          <w:szCs w:val="18"/>
          <w:color w:val="auto"/>
        </w:rPr>
        <w:t>Pursuant to the requirements of the Securities Exchange Act of 1934, as amended, the Registrant has duly caused this report to be signed on its behalf by the undersigned hereunto duly authorized.</w:t>
      </w:r>
    </w:p>
    <w:p>
      <w:pPr>
        <w:spacing w:after="0" w:line="193"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5980" w:type="dxa"/>
            <w:vAlign w:val="bottom"/>
          </w:tcPr>
          <w:p>
            <w:pPr>
              <w:spacing w:after="0"/>
              <w:rPr>
                <w:sz w:val="20"/>
                <w:szCs w:val="20"/>
                <w:color w:val="auto"/>
              </w:rPr>
            </w:pPr>
          </w:p>
        </w:tc>
        <w:tc>
          <w:tcPr>
            <w:tcW w:w="5260" w:type="dxa"/>
            <w:vAlign w:val="bottom"/>
          </w:tcPr>
          <w:p>
            <w:pPr>
              <w:ind w:left="1100"/>
              <w:spacing w:after="0"/>
              <w:rPr>
                <w:sz w:val="20"/>
                <w:szCs w:val="20"/>
                <w:color w:val="auto"/>
              </w:rPr>
            </w:pPr>
            <w:r>
              <w:rPr>
                <w:rFonts w:ascii="Arial" w:cs="Arial" w:eastAsia="Arial" w:hAnsi="Arial"/>
                <w:sz w:val="18"/>
                <w:szCs w:val="18"/>
                <w:b w:val="1"/>
                <w:bCs w:val="1"/>
                <w:color w:val="auto"/>
              </w:rPr>
              <w:t>PennantPark Investment Corporation</w:t>
            </w:r>
          </w:p>
        </w:tc>
      </w:tr>
      <w:tr>
        <w:trPr>
          <w:trHeight w:val="432"/>
        </w:trPr>
        <w:tc>
          <w:tcPr>
            <w:tcW w:w="5980" w:type="dxa"/>
            <w:vAlign w:val="bottom"/>
          </w:tcPr>
          <w:p>
            <w:pPr>
              <w:spacing w:after="0"/>
              <w:rPr>
                <w:sz w:val="20"/>
                <w:szCs w:val="20"/>
                <w:color w:val="auto"/>
              </w:rPr>
            </w:pPr>
            <w:r>
              <w:rPr>
                <w:rFonts w:ascii="Arial" w:cs="Arial" w:eastAsia="Arial" w:hAnsi="Arial"/>
                <w:sz w:val="18"/>
                <w:szCs w:val="18"/>
                <w:color w:val="auto"/>
              </w:rPr>
              <w:t>Date: February 27, 2015</w:t>
            </w:r>
          </w:p>
        </w:tc>
        <w:tc>
          <w:tcPr>
            <w:tcW w:w="5260" w:type="dxa"/>
            <w:vAlign w:val="bottom"/>
            <w:tcBorders>
              <w:bottom w:val="single" w:sz="8" w:color="auto"/>
            </w:tcBorders>
          </w:tcPr>
          <w:p>
            <w:pPr>
              <w:jc w:val="center"/>
              <w:ind w:left="10"/>
              <w:spacing w:after="0"/>
              <w:rPr>
                <w:sz w:val="20"/>
                <w:szCs w:val="20"/>
                <w:color w:val="auto"/>
              </w:rPr>
            </w:pPr>
            <w:r>
              <w:rPr>
                <w:rFonts w:ascii="Arial" w:cs="Arial" w:eastAsia="Arial" w:hAnsi="Arial"/>
                <w:sz w:val="18"/>
                <w:szCs w:val="18"/>
                <w:color w:val="auto"/>
                <w:w w:val="96"/>
              </w:rPr>
              <w:t>/s/ AVIV EFRAT</w:t>
            </w:r>
          </w:p>
        </w:tc>
      </w:tr>
      <w:tr>
        <w:trPr>
          <w:trHeight w:val="195"/>
        </w:trPr>
        <w:tc>
          <w:tcPr>
            <w:tcW w:w="5980" w:type="dxa"/>
            <w:vAlign w:val="bottom"/>
          </w:tcPr>
          <w:p>
            <w:pPr>
              <w:spacing w:after="0"/>
              <w:rPr>
                <w:sz w:val="16"/>
                <w:szCs w:val="16"/>
                <w:color w:val="auto"/>
              </w:rPr>
            </w:pPr>
          </w:p>
        </w:tc>
        <w:tc>
          <w:tcPr>
            <w:tcW w:w="5260" w:type="dxa"/>
            <w:vAlign w:val="bottom"/>
          </w:tcPr>
          <w:p>
            <w:pPr>
              <w:jc w:val="center"/>
              <w:ind w:left="10"/>
              <w:spacing w:after="0" w:line="195" w:lineRule="exact"/>
              <w:rPr>
                <w:sz w:val="20"/>
                <w:szCs w:val="20"/>
                <w:color w:val="auto"/>
              </w:rPr>
            </w:pPr>
            <w:r>
              <w:rPr>
                <w:rFonts w:ascii="Arial" w:cs="Arial" w:eastAsia="Arial" w:hAnsi="Arial"/>
                <w:sz w:val="18"/>
                <w:szCs w:val="18"/>
                <w:color w:val="auto"/>
                <w:w w:val="98"/>
              </w:rPr>
              <w:t>Aviv Efrat</w:t>
            </w:r>
          </w:p>
        </w:tc>
      </w:tr>
      <w:tr>
        <w:trPr>
          <w:trHeight w:val="230"/>
        </w:trPr>
        <w:tc>
          <w:tcPr>
            <w:tcW w:w="5980" w:type="dxa"/>
            <w:vAlign w:val="bottom"/>
          </w:tcPr>
          <w:p>
            <w:pPr>
              <w:spacing w:after="0"/>
              <w:rPr>
                <w:sz w:val="20"/>
                <w:szCs w:val="20"/>
                <w:color w:val="auto"/>
              </w:rPr>
            </w:pPr>
          </w:p>
        </w:tc>
        <w:tc>
          <w:tcPr>
            <w:tcW w:w="5260" w:type="dxa"/>
            <w:vAlign w:val="bottom"/>
          </w:tcPr>
          <w:p>
            <w:pPr>
              <w:jc w:val="center"/>
              <w:ind w:left="10"/>
              <w:spacing w:after="0"/>
              <w:rPr>
                <w:sz w:val="20"/>
                <w:szCs w:val="20"/>
                <w:color w:val="auto"/>
              </w:rPr>
            </w:pPr>
            <w:r>
              <w:rPr>
                <w:rFonts w:ascii="Arial" w:cs="Arial" w:eastAsia="Arial" w:hAnsi="Arial"/>
                <w:sz w:val="18"/>
                <w:szCs w:val="18"/>
                <w:color w:val="auto"/>
                <w:w w:val="93"/>
              </w:rPr>
              <w:t>Chief Financial Officer &amp; Treasurer</w:t>
            </w:r>
          </w:p>
        </w:tc>
      </w:tr>
    </w:tbl>
    <w:p>
      <w:pPr>
        <w:spacing w:after="0" w:line="1" w:lineRule="exact"/>
        <w:rPr>
          <w:sz w:val="20"/>
          <w:szCs w:val="20"/>
          <w:color w:val="auto"/>
        </w:rPr>
      </w:pPr>
    </w:p>
    <w:sectPr>
      <w:pgSz w:w="11900" w:h="16838" w:orient="portrait"/>
      <w:cols w:equalWidth="0" w:num="1">
        <w:col w:w="11240"/>
      </w:cols>
      <w:pgMar w:left="320" w:top="270"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327B23C6"/>
    <w:multiLevelType w:val="hybridMultilevel"/>
    <w:lvl w:ilvl="0">
      <w:lvlJc w:val="left"/>
      <w:lvlText w:val="☐"/>
      <w:numFmt w:val="bullet"/>
      <w:start w:val="1"/>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2020-05-05T15:09:34Z</dcterms:created>
  <dcterms:modified xsi:type="dcterms:W3CDTF">2020-05-05T15:09:34Z</dcterms:modified>
</cp:coreProperties>
</file>