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p>
    <w:p>
      <w:pPr>
        <w:ind w:left="480" w:right="280" w:hanging="459"/>
        <w:spacing w:after="0" w:line="228"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480" w:right="280" w:hanging="459"/>
        <w:spacing w:after="0" w:line="249"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p>
      <w:pPr>
        <w:ind w:left="322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960" w:type="dxa"/>
        <w:tblCellMar>
          <w:top w:w="0" w:type="dxa"/>
          <w:left w:w="0" w:type="dxa"/>
          <w:bottom w:w="0" w:type="dxa"/>
          <w:right w:w="0" w:type="dxa"/>
        </w:tblCellMar>
      </w:tblPr>
      <w:tr>
        <w:trPr>
          <w:trHeight w:val="227"/>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8"/>
                <w:szCs w:val="18"/>
                <w:b w:val="1"/>
                <w:bCs w:val="1"/>
                <w:color w:val="auto"/>
                <w:w w:val="99"/>
              </w:rPr>
              <w:t>MARYLAND</w:t>
            </w:r>
          </w:p>
        </w:tc>
        <w:tc>
          <w:tcPr>
            <w:tcW w:w="358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20-8250744</w:t>
            </w:r>
          </w:p>
        </w:tc>
        <w:tc>
          <w:tcPr>
            <w:tcW w:w="0" w:type="dxa"/>
            <w:vAlign w:val="bottom"/>
          </w:tcPr>
          <w:p>
            <w:pPr>
              <w:spacing w:after="0"/>
              <w:rPr>
                <w:sz w:val="1"/>
                <w:szCs w:val="1"/>
                <w:color w:val="auto"/>
              </w:rPr>
            </w:pPr>
          </w:p>
        </w:tc>
      </w:tr>
      <w:tr>
        <w:trPr>
          <w:trHeight w:val="190"/>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334"/>
        </w:trPr>
        <w:tc>
          <w:tcPr>
            <w:tcW w:w="51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1691 Michigan Avenue,</w:t>
            </w:r>
          </w:p>
        </w:tc>
        <w:tc>
          <w:tcPr>
            <w:tcW w:w="3580" w:type="dxa"/>
            <w:vAlign w:val="bottom"/>
            <w:vMerge w:val="restart"/>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33319</w:t>
            </w:r>
          </w:p>
        </w:tc>
        <w:tc>
          <w:tcPr>
            <w:tcW w:w="0" w:type="dxa"/>
            <w:vAlign w:val="bottom"/>
          </w:tcPr>
          <w:p>
            <w:pPr>
              <w:spacing w:after="0"/>
              <w:rPr>
                <w:sz w:val="1"/>
                <w:szCs w:val="1"/>
                <w:color w:val="auto"/>
              </w:rPr>
            </w:pPr>
          </w:p>
        </w:tc>
      </w:tr>
      <w:tr>
        <w:trPr>
          <w:trHeight w:val="232"/>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jc w:val="center"/>
              <w:ind w:left="13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(212) 905-1000</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60"/>
          </w:cols>
          <w:pgMar w:left="320" w:top="524" w:right="319" w:bottom="1440" w:gutter="0" w:footer="0" w:header="0"/>
        </w:sectPr>
      </w:pPr>
    </w:p>
    <w:p>
      <w:pPr>
        <w:spacing w:after="0" w:line="20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sectPr>
          <w:pgSz w:w="11900" w:h="16838" w:orient="portrait"/>
          <w:cols w:equalWidth="0" w:num="3">
            <w:col w:w="4260" w:space="720"/>
            <w:col w:w="2080" w:space="720"/>
            <w:col w:w="3480"/>
          </w:cols>
          <w:pgMar w:left="320" w:top="524" w:right="3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New York Stock Exchange</w:t>
      </w:r>
    </w:p>
    <w:p>
      <w:pPr>
        <w:spacing w:after="0" w:line="200" w:lineRule="exact"/>
        <w:rPr>
          <w:sz w:val="24"/>
          <w:szCs w:val="24"/>
          <w:color w:val="auto"/>
        </w:rPr>
      </w:pPr>
    </w:p>
    <w:p>
      <w:pPr>
        <w:sectPr>
          <w:pgSz w:w="11900" w:h="16838" w:orient="portrait"/>
          <w:cols w:equalWidth="0" w:num="3">
            <w:col w:w="4700" w:space="720"/>
            <w:col w:w="2200" w:space="720"/>
            <w:col w:w="2920"/>
          </w:cols>
          <w:pgMar w:left="320" w:top="524" w:right="319" w:bottom="1440" w:gutter="0" w:footer="0" w:header="0"/>
          <w:type w:val="continuous"/>
        </w:sectPr>
      </w:pPr>
    </w:p>
    <w:p>
      <w:pPr>
        <w:spacing w:after="0" w:line="13" w:lineRule="exact"/>
        <w:rPr>
          <w:sz w:val="24"/>
          <w:szCs w:val="24"/>
          <w:color w:val="auto"/>
        </w:rPr>
      </w:pPr>
    </w:p>
    <w:p>
      <w:pPr>
        <w:ind w:right="20" w:firstLine="50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20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0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2"/>
                <w:szCs w:val="22"/>
                <w:color w:val="auto"/>
              </w:rPr>
            </w:pPr>
          </w:p>
        </w:tc>
        <w:tc>
          <w:tcPr>
            <w:tcW w:w="380" w:type="dxa"/>
            <w:vAlign w:val="bottom"/>
          </w:tcPr>
          <w:p>
            <w:pPr>
              <w:spacing w:after="0"/>
              <w:rPr>
                <w:sz w:val="22"/>
                <w:szCs w:val="22"/>
                <w:color w:val="auto"/>
              </w:rPr>
            </w:pPr>
          </w:p>
        </w:tc>
      </w:tr>
    </w:tbl>
    <w:p>
      <w:pPr>
        <w:spacing w:after="0" w:line="163" w:lineRule="exact"/>
        <w:rPr>
          <w:sz w:val="24"/>
          <w:szCs w:val="24"/>
          <w:color w:val="auto"/>
        </w:rPr>
      </w:pPr>
    </w:p>
    <w:p>
      <w:pPr>
        <w:ind w:right="100" w:firstLine="509"/>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right="2060"/>
        <w:spacing w:after="0" w:line="23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$0.001 par value per share, outstanding as of August 3, 2022 was 65,413,942.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839470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251460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EXPLANATORY NOTE:</w:t>
      </w:r>
    </w:p>
    <w:p>
      <w:pPr>
        <w:spacing w:after="0" w:line="22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Form 10-Q filed with the SEC on August 3, 2022, did not include inline XBRL tagging. The sole purpose of this Amendment No. 1 to the registrant’s Form 10-Q for the quarterly period ended June 30, 2022 is to add inline XBRL tagging to the Form 10-Q in accordance with Rule 405 of Regulation S-T.</w:t>
      </w:r>
    </w:p>
    <w:p>
      <w:pPr>
        <w:spacing w:after="0" w:line="1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No changes have been made to the registrant’s Form 10-Q. This Amendment No. 1 does not reflect any subsequent events occurring after the original filing date of the Form 10-Q or modify or update in any way disclosures made in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3" w:name="page4"/>
    <w:bookmarkEnd w:id="3"/>
    <w:p>
      <w:pPr>
        <w:ind w:left="42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p>
      <w:pPr>
        <w:spacing w:after="0" w:line="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FORM 10-Q FOR THE QUARTER ENDED JUNE 30, 2022</w:t>
      </w:r>
    </w:p>
    <w:p>
      <w:pPr>
        <w:spacing w:after="0" w:line="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780" w:type="dxa"/>
            <w:vAlign w:val="bottom"/>
            <w:gridSpan w:val="15"/>
          </w:tcPr>
          <w:p>
            <w:pPr>
              <w:jc w:val="center"/>
              <w:ind w:right="2140"/>
              <w:spacing w:after="0"/>
              <w:rPr>
                <w:sz w:val="20"/>
                <w:szCs w:val="20"/>
                <w:color w:val="auto"/>
              </w:rPr>
            </w:pPr>
            <w:r>
              <w:rPr>
                <w:rFonts w:ascii="Times New Roman" w:cs="Times New Roman" w:eastAsia="Times New Roman" w:hAnsi="Times New Roman"/>
                <w:sz w:val="14"/>
                <w:szCs w:val="14"/>
                <w:b w:val="1"/>
                <w:bCs w:val="1"/>
                <w:color w:val="0000FF"/>
              </w:rPr>
              <w:t>PART I. CONSOLIDATED FINANCIAL INFORMATION</w:t>
            </w:r>
          </w:p>
        </w:tc>
        <w:tc>
          <w:tcPr>
            <w:tcW w:w="1940" w:type="dxa"/>
            <w:vAlign w:val="bottom"/>
          </w:tcPr>
          <w:p>
            <w:pPr>
              <w:spacing w:after="0"/>
              <w:rPr>
                <w:sz w:val="13"/>
                <w:szCs w:val="13"/>
                <w:color w:val="auto"/>
              </w:rPr>
            </w:pPr>
          </w:p>
        </w:tc>
      </w:tr>
      <w:tr>
        <w:trPr>
          <w:trHeight w:val="331"/>
        </w:trPr>
        <w:tc>
          <w:tcPr>
            <w:tcW w:w="20" w:type="dxa"/>
            <w:vAlign w:val="bottom"/>
          </w:tcPr>
          <w:p>
            <w:pPr>
              <w:spacing w:after="0"/>
              <w:rPr>
                <w:sz w:val="24"/>
                <w:szCs w:val="24"/>
                <w:color w:val="auto"/>
              </w:rPr>
            </w:pPr>
          </w:p>
        </w:tc>
        <w:tc>
          <w:tcPr>
            <w:tcW w:w="35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FF"/>
              </w:rPr>
              <w:t>Item 1. Consolidated Financial Statements</w:t>
            </w:r>
          </w:p>
        </w:tc>
        <w:tc>
          <w:tcPr>
            <w:tcW w:w="3640" w:type="dxa"/>
            <w:vAlign w:val="bottom"/>
            <w:tcBorders>
              <w:top w:val="single" w:sz="8" w:color="0000FF"/>
            </w:tcBorders>
            <w:gridSpan w:val="13"/>
          </w:tcPr>
          <w:p>
            <w:pPr>
              <w:spacing w:after="0"/>
              <w:rPr>
                <w:sz w:val="24"/>
                <w:szCs w:val="24"/>
                <w:color w:val="auto"/>
              </w:rPr>
            </w:pPr>
          </w:p>
        </w:tc>
        <w:tc>
          <w:tcPr>
            <w:tcW w:w="214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4"/>
                <w:szCs w:val="14"/>
                <w:color w:val="0000FF"/>
              </w:rPr>
              <w:t>Consolidated Statements of Assets and Liabilities as of June 30, 2022 (unaudited) and September 30, 2021</w:t>
            </w:r>
          </w:p>
        </w:tc>
        <w:tc>
          <w:tcPr>
            <w:tcW w:w="274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three and nine months ended June 30, 2022 and 2021 (unaudited)</w:t>
            </w:r>
          </w:p>
        </w:tc>
        <w:tc>
          <w:tcPr>
            <w:tcW w:w="24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Consolidated Statements of Changes in Net Assets for the three and nine months ended June 30, 2022 and 2021 (unaudited)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nine months ended June 30, 2022 and 2021 (unaudited)</w:t>
            </w:r>
          </w:p>
        </w:tc>
        <w:tc>
          <w:tcPr>
            <w:tcW w:w="1180" w:type="dxa"/>
            <w:vAlign w:val="bottom"/>
            <w:tcBorders>
              <w:top w:val="single" w:sz="8" w:color="0000FF"/>
            </w:tcBorders>
            <w:gridSpan w:val="5"/>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Consolidated Schedules of Investments as of June 30, 2022 (unaudited) and September 30, 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20" w:type="dxa"/>
            <w:vAlign w:val="bottom"/>
            <w:tcBorders>
              <w:top w:val="single" w:sz="8" w:color="0000FF"/>
              <w:bottom w:val="single" w:sz="8" w:color="0000EE"/>
            </w:tcBorders>
          </w:tcPr>
          <w:p>
            <w:pPr>
              <w:spacing w:after="0"/>
              <w:rPr>
                <w:sz w:val="24"/>
                <w:szCs w:val="24"/>
                <w:color w:val="auto"/>
              </w:rPr>
            </w:pPr>
          </w:p>
        </w:tc>
        <w:tc>
          <w:tcPr>
            <w:tcW w:w="2300" w:type="dxa"/>
            <w:vAlign w:val="bottom"/>
            <w:tcBorders>
              <w:top w:val="single" w:sz="8" w:color="0000FF"/>
            </w:tcBorders>
            <w:gridSpan w:val="5"/>
          </w:tcPr>
          <w:p>
            <w:pPr>
              <w:spacing w:after="0"/>
              <w:rPr>
                <w:sz w:val="24"/>
                <w:szCs w:val="24"/>
                <w:color w:val="auto"/>
              </w:rPr>
            </w:pPr>
          </w:p>
        </w:tc>
        <w:tc>
          <w:tcPr>
            <w:tcW w:w="3380" w:type="dxa"/>
            <w:vAlign w:val="bottom"/>
            <w:gridSpan w:val="8"/>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1"/>
        </w:trPr>
        <w:tc>
          <w:tcPr>
            <w:tcW w:w="20" w:type="dxa"/>
            <w:vAlign w:val="bottom"/>
            <w:tcBorders>
              <w:bottom w:val="single" w:sz="8" w:color="0000EE"/>
            </w:tcBorders>
          </w:tcPr>
          <w:p>
            <w:pPr>
              <w:spacing w:after="0"/>
              <w:rPr>
                <w:sz w:val="24"/>
                <w:szCs w:val="24"/>
                <w:color w:val="auto"/>
              </w:rPr>
            </w:pPr>
          </w:p>
        </w:tc>
        <w:tc>
          <w:tcPr>
            <w:tcW w:w="59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b w:val="1"/>
                <w:bCs w:val="1"/>
                <w:color w:val="0000FF"/>
              </w:rPr>
              <w:t>Item 2. Management’s Discussion and Analysis of Financial Condition and Results of Operations</w:t>
            </w:r>
          </w:p>
        </w:tc>
        <w:tc>
          <w:tcPr>
            <w:tcW w:w="334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331"/>
        </w:trPr>
        <w:tc>
          <w:tcPr>
            <w:tcW w:w="20" w:type="dxa"/>
            <w:vAlign w:val="bottom"/>
            <w:tcBorders>
              <w:bottom w:val="single" w:sz="8" w:color="0000EE"/>
            </w:tcBorders>
          </w:tcPr>
          <w:p>
            <w:pPr>
              <w:spacing w:after="0"/>
              <w:rPr>
                <w:sz w:val="24"/>
                <w:szCs w:val="24"/>
                <w:color w:val="auto"/>
              </w:rPr>
            </w:pPr>
          </w:p>
        </w:tc>
        <w:tc>
          <w:tcPr>
            <w:tcW w:w="4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b w:val="1"/>
                <w:bCs w:val="1"/>
                <w:color w:val="0000FF"/>
              </w:rPr>
              <w:t>Item 3. Quantitative and Qualitative Disclosures About Market Risk</w:t>
            </w:r>
          </w:p>
        </w:tc>
        <w:tc>
          <w:tcPr>
            <w:tcW w:w="5080" w:type="dxa"/>
            <w:vAlign w:val="bottom"/>
            <w:gridSpan w:val="10"/>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31"/>
        </w:trPr>
        <w:tc>
          <w:tcPr>
            <w:tcW w:w="20" w:type="dxa"/>
            <w:vAlign w:val="bottom"/>
          </w:tcPr>
          <w:p>
            <w:pPr>
              <w:spacing w:after="0"/>
              <w:rPr>
                <w:sz w:val="24"/>
                <w:szCs w:val="24"/>
                <w:color w:val="auto"/>
              </w:rPr>
            </w:pPr>
          </w:p>
        </w:tc>
        <w:tc>
          <w:tcPr>
            <w:tcW w:w="92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FF"/>
              </w:rPr>
              <w:t>Item 4. Controls and Procedures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331"/>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2840" w:type="dxa"/>
            <w:vAlign w:val="bottom"/>
            <w:gridSpan w:val="5"/>
          </w:tcPr>
          <w:p>
            <w:pPr>
              <w:spacing w:after="0"/>
              <w:rPr>
                <w:sz w:val="24"/>
                <w:szCs w:val="24"/>
                <w:color w:val="auto"/>
              </w:rPr>
            </w:pPr>
          </w:p>
        </w:tc>
        <w:tc>
          <w:tcPr>
            <w:tcW w:w="194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92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FF"/>
              </w:rPr>
              <w:t>Item 1. Legal Proceedings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331"/>
        </w:trPr>
        <w:tc>
          <w:tcPr>
            <w:tcW w:w="20" w:type="dxa"/>
            <w:vAlign w:val="bottom"/>
            <w:tcBorders>
              <w:top w:val="single" w:sz="8" w:color="0000EE"/>
              <w:bottom w:val="single" w:sz="8" w:color="0000EE"/>
            </w:tcBorders>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20" w:type="dxa"/>
            <w:vAlign w:val="bottom"/>
            <w:tcBorders>
              <w:top w:val="single" w:sz="8" w:color="0000FF"/>
              <w:bottom w:val="single" w:sz="8" w:color="0000EE"/>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700" w:type="dxa"/>
            <w:vAlign w:val="bottom"/>
            <w:gridSpan w:val="21"/>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331"/>
        </w:trPr>
        <w:tc>
          <w:tcPr>
            <w:tcW w:w="20" w:type="dxa"/>
            <w:vAlign w:val="bottom"/>
          </w:tcPr>
          <w:p>
            <w:pPr>
              <w:spacing w:after="0"/>
              <w:rPr>
                <w:sz w:val="24"/>
                <w:szCs w:val="24"/>
                <w:color w:val="auto"/>
              </w:rPr>
            </w:pPr>
          </w:p>
        </w:tc>
        <w:tc>
          <w:tcPr>
            <w:tcW w:w="92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FF"/>
              </w:rPr>
              <w:t>Item 2. Unregistered Sales of Equity Securities and Use of Proceeds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331"/>
        </w:trPr>
        <w:tc>
          <w:tcPr>
            <w:tcW w:w="20" w:type="dxa"/>
            <w:vAlign w:val="bottom"/>
            <w:tcBorders>
              <w:top w:val="single" w:sz="8" w:color="0000EE"/>
            </w:tcBorders>
          </w:tcPr>
          <w:p>
            <w:pPr>
              <w:spacing w:after="0"/>
              <w:rPr>
                <w:sz w:val="24"/>
                <w:szCs w:val="24"/>
                <w:color w:val="auto"/>
              </w:rPr>
            </w:pPr>
          </w:p>
        </w:tc>
        <w:tc>
          <w:tcPr>
            <w:tcW w:w="41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b w:val="1"/>
                <w:bCs w:val="1"/>
                <w:color w:val="0000FF"/>
              </w:rPr>
              <w:t>Item 3. Defaults Upon Senior Securities</w:t>
            </w:r>
          </w:p>
        </w:tc>
        <w:tc>
          <w:tcPr>
            <w:tcW w:w="516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331"/>
        </w:trPr>
        <w:tc>
          <w:tcPr>
            <w:tcW w:w="20" w:type="dxa"/>
            <w:vAlign w:val="bottom"/>
            <w:tcBorders>
              <w:top w:val="single" w:sz="8" w:color="0000EE"/>
              <w:bottom w:val="single" w:sz="8" w:color="0000EE"/>
            </w:tcBorders>
          </w:tcPr>
          <w:p>
            <w:pPr>
              <w:spacing w:after="0"/>
              <w:rPr>
                <w:sz w:val="24"/>
                <w:szCs w:val="24"/>
                <w:color w:val="auto"/>
              </w:rPr>
            </w:pPr>
          </w:p>
        </w:tc>
        <w:tc>
          <w:tcPr>
            <w:tcW w:w="19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rPr>
              <w:t>Item 4. Mine Safety Disclosures</w:t>
            </w:r>
          </w:p>
        </w:tc>
        <w:tc>
          <w:tcPr>
            <w:tcW w:w="480" w:type="dxa"/>
            <w:vAlign w:val="bottom"/>
            <w:tcBorders>
              <w:top w:val="single" w:sz="8" w:color="0000FF"/>
            </w:tcBorders>
            <w:gridSpan w:val="2"/>
          </w:tcPr>
          <w:p>
            <w:pPr>
              <w:spacing w:after="0"/>
              <w:rPr>
                <w:sz w:val="24"/>
                <w:szCs w:val="24"/>
                <w:color w:val="auto"/>
              </w:rPr>
            </w:pPr>
          </w:p>
        </w:tc>
        <w:tc>
          <w:tcPr>
            <w:tcW w:w="6860" w:type="dxa"/>
            <w:vAlign w:val="bottom"/>
            <w:gridSpan w:val="17"/>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331"/>
        </w:trPr>
        <w:tc>
          <w:tcPr>
            <w:tcW w:w="20" w:type="dxa"/>
            <w:vAlign w:val="bottom"/>
          </w:tcPr>
          <w:p>
            <w:pPr>
              <w:spacing w:after="0"/>
              <w:rPr>
                <w:sz w:val="24"/>
                <w:szCs w:val="24"/>
                <w:color w:val="auto"/>
              </w:rPr>
            </w:pPr>
          </w:p>
        </w:tc>
        <w:tc>
          <w:tcPr>
            <w:tcW w:w="928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0000FF"/>
              </w:rPr>
              <w:t>Item 5. Other Information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331"/>
        </w:trPr>
        <w:tc>
          <w:tcPr>
            <w:tcW w:w="20" w:type="dxa"/>
            <w:vAlign w:val="bottom"/>
            <w:tcBorders>
              <w:top w:val="single" w:sz="8" w:color="0000EE"/>
            </w:tcBorders>
          </w:tcPr>
          <w:p>
            <w:pPr>
              <w:spacing w:after="0"/>
              <w:rPr>
                <w:sz w:val="24"/>
                <w:szCs w:val="24"/>
                <w:color w:val="auto"/>
              </w:rPr>
            </w:pPr>
          </w:p>
        </w:tc>
        <w:tc>
          <w:tcPr>
            <w:tcW w:w="16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rPr>
              <w:t>Item 6. Exhibits</w:t>
            </w:r>
          </w:p>
        </w:tc>
        <w:tc>
          <w:tcPr>
            <w:tcW w:w="766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331"/>
        </w:trPr>
        <w:tc>
          <w:tcPr>
            <w:tcW w:w="20" w:type="dxa"/>
            <w:vAlign w:val="bottom"/>
            <w:tcBorders>
              <w:top w:val="single" w:sz="8" w:color="0000EE"/>
            </w:tcBorders>
          </w:tcPr>
          <w:p>
            <w:pPr>
              <w:spacing w:after="0"/>
              <w:rPr>
                <w:sz w:val="24"/>
                <w:szCs w:val="24"/>
                <w:color w:val="auto"/>
              </w:rPr>
            </w:pPr>
          </w:p>
        </w:tc>
        <w:tc>
          <w:tcPr>
            <w:tcW w:w="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8300" w:type="dxa"/>
            <w:vAlign w:val="bottom"/>
            <w:gridSpan w:val="24"/>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88"/>
        </w:trPr>
        <w:tc>
          <w:tcPr>
            <w:tcW w:w="2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4980" w:type="dxa"/>
            <w:vAlign w:val="bottom"/>
            <w:gridSpan w:val="17"/>
          </w:tcPr>
          <w:p>
            <w:pPr>
              <w:jc w:val="right"/>
              <w:ind w:right="18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219" w:lineRule="exact"/>
        <w:rPr>
          <w:sz w:val="20"/>
          <w:szCs w:val="20"/>
          <w:color w:val="auto"/>
        </w:rPr>
      </w:pPr>
    </w:p>
    <w:p>
      <w:pPr>
        <w:jc w:val="both"/>
        <w:ind w:firstLine="449"/>
        <w:spacing w:after="0" w:line="247" w:lineRule="auto"/>
        <w:rPr>
          <w:sz w:val="20"/>
          <w:szCs w:val="20"/>
          <w:color w:val="auto"/>
        </w:rPr>
      </w:pPr>
      <w:r>
        <w:rPr>
          <w:rFonts w:ascii="Times New Roman" w:cs="Times New Roman" w:eastAsia="Times New Roman" w:hAnsi="Times New Roman"/>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 w:name="page6"/>
    <w:bookmarkEnd w:id="5"/>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top w:val="single" w:sz="8" w:color="auto"/>
            </w:tcBorders>
            <w:shd w:val="clear" w:color="auto" w:fill="CCECFF"/>
          </w:tcPr>
          <w:p>
            <w:pPr>
              <w:spacing w:after="0"/>
              <w:rPr>
                <w:sz w:val="14"/>
                <w:szCs w:val="14"/>
                <w:color w:val="auto"/>
              </w:rPr>
            </w:pPr>
          </w:p>
        </w:tc>
        <w:tc>
          <w:tcPr>
            <w:tcW w:w="130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38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(cost—$921,967 and $729,811, respectively)</w:t>
            </w: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961,032</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820,500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 (cost—$75,825 and $78,723, respectively)</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 (cost—$381,904 and $412,587, respectively)</w:t>
            </w:r>
          </w:p>
        </w:tc>
        <w:tc>
          <w:tcPr>
            <w:tcW w:w="200" w:type="dxa"/>
            <w:vAlign w:val="bottom"/>
            <w:tcBorders>
              <w:bottom w:val="single" w:sz="8" w:color="auto"/>
            </w:tcBorders>
            <w:shd w:val="clear" w:color="auto" w:fill="CCECFF"/>
          </w:tcPr>
          <w:p>
            <w:pPr>
              <w:spacing w:after="0"/>
              <w:rPr>
                <w:sz w:val="15"/>
                <w:szCs w:val="15"/>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304,699</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384,629</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investments (cost—$1,379,696 and $1,221,121, respectively)</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1,314,828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(cost—$29,630 and $20,383, respectively)</w:t>
            </w:r>
          </w:p>
        </w:tc>
        <w:tc>
          <w:tcPr>
            <w:tcW w:w="200" w:type="dxa"/>
            <w:vAlign w:val="bottom"/>
            <w:shd w:val="clear" w:color="auto" w:fill="CCECFF"/>
          </w:tcPr>
          <w:p>
            <w:pPr>
              <w:spacing w:after="0"/>
              <w:rPr>
                <w:sz w:val="15"/>
                <w:szCs w:val="15"/>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29,547</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200" w:type="dxa"/>
            <w:vAlign w:val="bottom"/>
            <w:shd w:val="clear" w:color="auto" w:fill="CCECFF"/>
          </w:tcPr>
          <w:p>
            <w:pPr>
              <w:spacing w:after="0"/>
              <w:rPr>
                <w:sz w:val="15"/>
                <w:szCs w:val="15"/>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57,407</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receivable</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shd w:val="clear" w:color="auto" w:fill="CCECFF"/>
          </w:tcPr>
          <w:p>
            <w:pPr>
              <w:spacing w:after="0"/>
              <w:rPr>
                <w:sz w:val="15"/>
                <w:szCs w:val="15"/>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23,571</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90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1,431,085</w:t>
            </w:r>
          </w:p>
        </w:tc>
        <w:tc>
          <w:tcPr>
            <w:tcW w:w="24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1,295,092</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200" w:type="dxa"/>
            <w:vAlign w:val="bottom"/>
            <w:shd w:val="clear" w:color="auto" w:fill="CCECFF"/>
          </w:tcPr>
          <w:p>
            <w:pPr>
              <w:spacing w:after="0"/>
              <w:rPr>
                <w:sz w:val="15"/>
                <w:szCs w:val="15"/>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20,435</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Truist Credit Facility payable, at fair value (cost—$422,920 and $316,545, respectively) (See Notes 5 and 10)</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412,005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2024 Notes payable, net (par— zero and $86,250, respectively) (See Notes 5 and 10)</w:t>
            </w:r>
          </w:p>
        </w:tc>
        <w:tc>
          <w:tcPr>
            <w:tcW w:w="200" w:type="dxa"/>
            <w:vAlign w:val="bottom"/>
            <w:shd w:val="clear" w:color="auto" w:fill="CCECFF"/>
          </w:tcPr>
          <w:p>
            <w:pPr>
              <w:spacing w:after="0"/>
              <w:rPr>
                <w:sz w:val="15"/>
                <w:szCs w:val="15"/>
                <w:color w:val="auto"/>
              </w:rPr>
            </w:pPr>
          </w:p>
        </w:tc>
        <w:tc>
          <w:tcPr>
            <w:tcW w:w="15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 payable, net (par— $150,000) (See Notes 5 and 10)</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146,542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Notes-2 payable, net (par— $165,000 and zero, respectively) (See Notes 5 and 10)</w:t>
            </w:r>
          </w:p>
        </w:tc>
        <w:tc>
          <w:tcPr>
            <w:tcW w:w="200" w:type="dxa"/>
            <w:vAlign w:val="bottom"/>
            <w:shd w:val="clear" w:color="auto" w:fill="CCECFF"/>
          </w:tcPr>
          <w:p>
            <w:pPr>
              <w:spacing w:after="0"/>
              <w:rPr>
                <w:sz w:val="15"/>
                <w:szCs w:val="15"/>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161,159</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debentures payable, net (par—$27,500 and $63,500, respectively) (See Notes 5 and 10)</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Base-management fee payable, net (See Note 3)</w:t>
            </w:r>
          </w:p>
        </w:tc>
        <w:tc>
          <w:tcPr>
            <w:tcW w:w="200" w:type="dxa"/>
            <w:vAlign w:val="bottom"/>
            <w:shd w:val="clear" w:color="auto" w:fill="CCECFF"/>
          </w:tcPr>
          <w:p>
            <w:pPr>
              <w:spacing w:after="0"/>
              <w:rPr>
                <w:sz w:val="15"/>
                <w:szCs w:val="15"/>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based-incentive fee payable (See Note 3)</w:t>
            </w:r>
          </w:p>
        </w:tc>
        <w:tc>
          <w:tcPr>
            <w:tcW w:w="200" w:type="dxa"/>
            <w:vAlign w:val="bottom"/>
          </w:tcPr>
          <w:p>
            <w:pPr>
              <w:spacing w:after="0"/>
              <w:rPr>
                <w:sz w:val="15"/>
                <w:szCs w:val="15"/>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200" w:type="dxa"/>
            <w:vAlign w:val="bottom"/>
            <w:shd w:val="clear" w:color="auto" w:fill="CCECFF"/>
          </w:tcPr>
          <w:p>
            <w:pPr>
              <w:spacing w:after="0"/>
              <w:rPr>
                <w:sz w:val="15"/>
                <w:szCs w:val="15"/>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3,387</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200" w:type="dxa"/>
            <w:vAlign w:val="bottom"/>
            <w:tcBorders>
              <w:bottom w:val="single" w:sz="8" w:color="auto"/>
            </w:tcBorders>
            <w:shd w:val="clear" w:color="auto" w:fill="CCECFF"/>
          </w:tcPr>
          <w:p>
            <w:pPr>
              <w:spacing w:after="0"/>
              <w:rPr>
                <w:sz w:val="15"/>
                <w:szCs w:val="15"/>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799,575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634,948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11)</w:t>
            </w:r>
          </w:p>
        </w:tc>
        <w:tc>
          <w:tcPr>
            <w:tcW w:w="200" w:type="dxa"/>
            <w:vAlign w:val="bottom"/>
            <w:shd w:val="clear" w:color="auto" w:fill="CCECFF"/>
          </w:tcPr>
          <w:p>
            <w:pPr>
              <w:spacing w:after="0"/>
              <w:rPr>
                <w:sz w:val="14"/>
                <w:szCs w:val="14"/>
                <w:color w:val="auto"/>
              </w:rPr>
            </w:pPr>
          </w:p>
        </w:tc>
        <w:tc>
          <w:tcPr>
            <w:tcW w:w="1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90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65,413,942 and 67,045,105, respectively, shares issued and outstanding</w:t>
            </w:r>
          </w:p>
        </w:tc>
        <w:tc>
          <w:tcPr>
            <w:tcW w:w="200" w:type="dxa"/>
            <w:vAlign w:val="bottom"/>
            <w:shd w:val="clear" w:color="auto" w:fill="CCECFF"/>
          </w:tcPr>
          <w:p>
            <w:pPr>
              <w:spacing w:after="0"/>
              <w:rPr>
                <w:sz w:val="12"/>
                <w:szCs w:val="12"/>
                <w:color w:val="auto"/>
              </w:rPr>
            </w:pPr>
          </w:p>
        </w:tc>
        <w:tc>
          <w:tcPr>
            <w:tcW w:w="13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3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200" w:type="dxa"/>
            <w:vAlign w:val="bottom"/>
            <w:shd w:val="clear" w:color="auto" w:fill="CCECFF"/>
          </w:tcPr>
          <w:p>
            <w:pPr>
              <w:spacing w:after="0"/>
              <w:rPr>
                <w:sz w:val="16"/>
                <w:szCs w:val="16"/>
                <w:color w:val="auto"/>
              </w:rPr>
            </w:pPr>
          </w:p>
        </w:tc>
        <w:tc>
          <w:tcPr>
            <w:tcW w:w="130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8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795,865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CECFF"/>
          </w:tcPr>
          <w:p>
            <w:pPr>
              <w:spacing w:after="0"/>
              <w:rPr>
                <w:sz w:val="15"/>
                <w:szCs w:val="15"/>
                <w:color w:val="auto"/>
              </w:rPr>
            </w:pPr>
          </w:p>
        </w:tc>
        <w:tc>
          <w:tcPr>
            <w:tcW w:w="15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(164,420 )</w:t>
            </w:r>
          </w:p>
        </w:tc>
        <w:tc>
          <w:tcPr>
            <w:tcW w:w="12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(126,916 )</w:t>
            </w:r>
          </w:p>
        </w:tc>
        <w:tc>
          <w:tcPr>
            <w:tcW w:w="0" w:type="dxa"/>
            <w:vAlign w:val="bottom"/>
          </w:tcPr>
          <w:p>
            <w:pPr>
              <w:spacing w:after="0"/>
              <w:rPr>
                <w:sz w:val="1"/>
                <w:szCs w:val="1"/>
                <w:color w:val="auto"/>
              </w:rPr>
            </w:pPr>
          </w:p>
        </w:tc>
      </w:tr>
      <w:tr>
        <w:trPr>
          <w:trHeight w:val="169"/>
        </w:trPr>
        <w:tc>
          <w:tcPr>
            <w:tcW w:w="790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631,510</w:t>
            </w:r>
          </w:p>
        </w:tc>
        <w:tc>
          <w:tcPr>
            <w:tcW w:w="24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900" w:type="dxa"/>
            <w:vAlign w:val="bottom"/>
            <w:tcBorders>
              <w:bottom w:val="single" w:sz="8" w:color="CCECFF"/>
            </w:tcBorders>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1,431,085</w:t>
            </w:r>
          </w:p>
        </w:tc>
        <w:tc>
          <w:tcPr>
            <w:tcW w:w="2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1,295,092</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9.65</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-3436620</wp:posOffset>
            </wp:positionV>
            <wp:extent cx="7683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-2759710</wp:posOffset>
            </wp:positionV>
            <wp:extent cx="7683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-1182370</wp:posOffset>
            </wp:positionV>
            <wp:extent cx="7683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-402590</wp:posOffset>
            </wp:positionV>
            <wp:extent cx="7683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6586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5860" cy="16319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 w:name="page7"/>
    <w:bookmarkEnd w:id="6"/>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2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63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6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15,890</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11,972</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45,973</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35,074</w:t>
            </w:r>
          </w:p>
        </w:tc>
        <w:tc>
          <w:tcPr>
            <w:tcW w:w="100" w:type="dxa"/>
            <w:vAlign w:val="bottom"/>
            <w:shd w:val="clear" w:color="auto" w:fill="CCECFF"/>
          </w:tcPr>
          <w:p>
            <w:pPr>
              <w:spacing w:after="0"/>
              <w:rPr>
                <w:sz w:val="15"/>
                <w:szCs w:val="15"/>
                <w:color w:val="auto"/>
              </w:rPr>
            </w:pPr>
          </w:p>
        </w:tc>
      </w:tr>
      <w:tr>
        <w:trPr>
          <w:trHeight w:val="176"/>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100" w:type="dxa"/>
            <w:vAlign w:val="bottom"/>
          </w:tcPr>
          <w:p>
            <w:pPr>
              <w:spacing w:after="0"/>
              <w:rPr>
                <w:sz w:val="15"/>
                <w:szCs w:val="15"/>
                <w:color w:val="auto"/>
              </w:rPr>
            </w:pPr>
          </w:p>
        </w:tc>
      </w:tr>
      <w:tr>
        <w:trPr>
          <w:trHeight w:val="175"/>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shd w:val="clear" w:color="auto" w:fill="CCECFF"/>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16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CFF"/>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7,303</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100" w:type="dxa"/>
            <w:vAlign w:val="bottom"/>
            <w:shd w:val="clear" w:color="auto" w:fill="CCECFF"/>
          </w:tcPr>
          <w:p>
            <w:pPr>
              <w:spacing w:after="0"/>
              <w:rPr>
                <w:sz w:val="15"/>
                <w:szCs w:val="15"/>
                <w:color w:val="auto"/>
              </w:rPr>
            </w:pPr>
          </w:p>
        </w:tc>
      </w:tr>
      <w:tr>
        <w:trPr>
          <w:trHeight w:val="175"/>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00" w:type="dxa"/>
            <w:vAlign w:val="bottom"/>
          </w:tcPr>
          <w:p>
            <w:pPr>
              <w:spacing w:after="0"/>
              <w:rPr>
                <w:sz w:val="15"/>
                <w:szCs w:val="15"/>
                <w:color w:val="auto"/>
              </w:rPr>
            </w:pPr>
          </w:p>
        </w:tc>
      </w:tr>
      <w:tr>
        <w:trPr>
          <w:trHeight w:val="176"/>
        </w:trPr>
        <w:tc>
          <w:tcPr>
            <w:tcW w:w="63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60" w:type="dxa"/>
            <w:vAlign w:val="bottom"/>
            <w:tcBorders>
              <w:bottom w:val="single" w:sz="8" w:color="auto"/>
            </w:tcBorders>
            <w:shd w:val="clear" w:color="auto" w:fill="CCECFF"/>
          </w:tcPr>
          <w:p>
            <w:pPr>
              <w:spacing w:after="0"/>
              <w:rPr>
                <w:sz w:val="15"/>
                <w:szCs w:val="15"/>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6,655</w:t>
            </w:r>
          </w:p>
        </w:tc>
        <w:tc>
          <w:tcPr>
            <w:tcW w:w="2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23,348</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76,035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58,459</w:t>
            </w:r>
          </w:p>
        </w:tc>
        <w:tc>
          <w:tcPr>
            <w:tcW w:w="100" w:type="dxa"/>
            <w:vAlign w:val="bottom"/>
          </w:tcPr>
          <w:p>
            <w:pPr>
              <w:spacing w:after="0"/>
              <w:rPr>
                <w:sz w:val="14"/>
                <w:szCs w:val="14"/>
                <w:color w:val="auto"/>
              </w:rPr>
            </w:pPr>
          </w:p>
        </w:tc>
      </w:tr>
      <w:tr>
        <w:trPr>
          <w:trHeight w:val="169"/>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00" w:type="dxa"/>
            <w:vAlign w:val="bottom"/>
          </w:tcPr>
          <w:p>
            <w:pPr>
              <w:spacing w:after="0"/>
              <w:rPr>
                <w:sz w:val="15"/>
                <w:szCs w:val="15"/>
                <w:color w:val="auto"/>
              </w:rPr>
            </w:pPr>
          </w:p>
        </w:tc>
      </w:tr>
      <w:tr>
        <w:trPr>
          <w:trHeight w:val="176"/>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16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 (See Note 10)</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100" w:type="dxa"/>
            <w:vAlign w:val="bottom"/>
          </w:tcPr>
          <w:p>
            <w:pPr>
              <w:spacing w:after="0"/>
              <w:rPr>
                <w:sz w:val="15"/>
                <w:szCs w:val="15"/>
                <w:color w:val="auto"/>
              </w:rPr>
            </w:pPr>
          </w:p>
        </w:tc>
      </w:tr>
      <w:tr>
        <w:trPr>
          <w:trHeight w:val="176"/>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shd w:val="clear" w:color="auto" w:fill="CCECFF"/>
          </w:tcPr>
          <w:p>
            <w:pPr>
              <w:spacing w:after="0"/>
              <w:rPr>
                <w:sz w:val="15"/>
                <w:szCs w:val="15"/>
                <w:color w:val="auto"/>
              </w:rPr>
            </w:pPr>
          </w:p>
        </w:tc>
      </w:tr>
      <w:tr>
        <w:trPr>
          <w:trHeight w:val="175"/>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tcPr>
          <w:p>
            <w:pPr>
              <w:spacing w:after="0"/>
              <w:rPr>
                <w:sz w:val="15"/>
                <w:szCs w:val="15"/>
                <w:color w:val="auto"/>
              </w:rPr>
            </w:pPr>
          </w:p>
        </w:tc>
      </w:tr>
      <w:tr>
        <w:trPr>
          <w:trHeight w:val="169"/>
        </w:trPr>
        <w:tc>
          <w:tcPr>
            <w:tcW w:w="63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16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12,198</w:t>
            </w: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40,675</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32,786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4"/>
                <w:szCs w:val="14"/>
                <w:color w:val="auto"/>
              </w:rPr>
            </w:pPr>
          </w:p>
        </w:tc>
      </w:tr>
      <w:tr>
        <w:trPr>
          <w:trHeight w:val="169"/>
        </w:trPr>
        <w:tc>
          <w:tcPr>
            <w:tcW w:w="63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16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12,797</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12,348</w:t>
            </w: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41,275</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33,236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34,760</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25,223</w:t>
            </w:r>
          </w:p>
        </w:tc>
        <w:tc>
          <w:tcPr>
            <w:tcW w:w="100" w:type="dxa"/>
            <w:vAlign w:val="bottom"/>
          </w:tcPr>
          <w:p>
            <w:pPr>
              <w:spacing w:after="0"/>
              <w:rPr>
                <w:sz w:val="14"/>
                <w:szCs w:val="14"/>
                <w:color w:val="auto"/>
              </w:rPr>
            </w:pPr>
          </w:p>
        </w:tc>
      </w:tr>
      <w:tr>
        <w:trPr>
          <w:trHeight w:val="169"/>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16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41,687</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44,137</w:t>
            </w:r>
          </w:p>
        </w:tc>
        <w:tc>
          <w:tcPr>
            <w:tcW w:w="100" w:type="dxa"/>
            <w:vAlign w:val="bottom"/>
            <w:shd w:val="clear" w:color="auto" w:fill="CCECFF"/>
          </w:tcPr>
          <w:p>
            <w:pPr>
              <w:spacing w:after="0"/>
              <w:rPr>
                <w:sz w:val="15"/>
                <w:szCs w:val="15"/>
                <w:color w:val="auto"/>
              </w:rPr>
            </w:pPr>
          </w:p>
        </w:tc>
      </w:tr>
      <w:tr>
        <w:trPr>
          <w:trHeight w:val="176"/>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160" w:type="dxa"/>
            <w:vAlign w:val="bottom"/>
          </w:tcPr>
          <w:p>
            <w:pPr>
              <w:spacing w:after="0"/>
              <w:rPr>
                <w:sz w:val="15"/>
                <w:szCs w:val="15"/>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(34,381 )</w:t>
            </w:r>
          </w:p>
        </w:tc>
        <w:tc>
          <w:tcPr>
            <w:tcW w:w="240" w:type="dxa"/>
            <w:vAlign w:val="bottom"/>
          </w:tcPr>
          <w:p>
            <w:pPr>
              <w:spacing w:after="0"/>
              <w:rPr>
                <w:sz w:val="15"/>
                <w:szCs w:val="15"/>
                <w:color w:val="auto"/>
              </w:rPr>
            </w:pP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(19,708 )</w:t>
            </w:r>
          </w:p>
        </w:tc>
      </w:tr>
      <w:tr>
        <w:trPr>
          <w:trHeight w:val="176"/>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extinguishment</w:t>
            </w:r>
          </w:p>
        </w:tc>
        <w:tc>
          <w:tcPr>
            <w:tcW w:w="16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(2,801 )</w:t>
            </w:r>
          </w:p>
        </w:tc>
        <w:tc>
          <w:tcPr>
            <w:tcW w:w="2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realized gain on investments</w:t>
            </w:r>
          </w:p>
        </w:tc>
        <w:tc>
          <w:tcPr>
            <w:tcW w:w="160" w:type="dxa"/>
            <w:vAlign w:val="bottom"/>
          </w:tcPr>
          <w:p>
            <w:pPr>
              <w:spacing w:after="0"/>
              <w:rPr>
                <w:sz w:val="15"/>
                <w:szCs w:val="15"/>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(1,123 )</w:t>
            </w:r>
          </w:p>
        </w:tc>
        <w:tc>
          <w:tcPr>
            <w:tcW w:w="240" w:type="dxa"/>
            <w:vAlign w:val="bottom"/>
          </w:tcPr>
          <w:p>
            <w:pPr>
              <w:spacing w:after="0"/>
              <w:rPr>
                <w:sz w:val="15"/>
                <w:szCs w:val="15"/>
                <w:color w:val="auto"/>
              </w:rPr>
            </w:pP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(6,183 )</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3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 and debt</w:t>
            </w:r>
          </w:p>
        </w:tc>
        <w:tc>
          <w:tcPr>
            <w:tcW w:w="160" w:type="dxa"/>
            <w:vAlign w:val="bottom"/>
            <w:tcBorders>
              <w:top w:val="single" w:sz="8" w:color="auto"/>
              <w:bottom w:val="single" w:sz="8" w:color="auto"/>
            </w:tcBorders>
            <w:shd w:val="clear" w:color="auto" w:fill="CCECFF"/>
          </w:tcPr>
          <w:p>
            <w:pPr>
              <w:spacing w:after="0"/>
              <w:rPr>
                <w:sz w:val="14"/>
                <w:szCs w:val="14"/>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(35,391</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41,687</w:t>
            </w: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73,462</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24,429</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14,317</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(41,842 )</w:t>
            </w:r>
          </w:p>
        </w:tc>
        <w:tc>
          <w:tcPr>
            <w:tcW w:w="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(193,348 )</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45,770</w:t>
            </w:r>
          </w:p>
        </w:tc>
        <w:tc>
          <w:tcPr>
            <w:tcW w:w="100" w:type="dxa"/>
            <w:vAlign w:val="bottom"/>
            <w:shd w:val="clear" w:color="auto" w:fill="CCECFF"/>
          </w:tcPr>
          <w:p>
            <w:pPr>
              <w:spacing w:after="0"/>
              <w:rPr>
                <w:sz w:val="15"/>
                <w:szCs w:val="15"/>
                <w:color w:val="auto"/>
              </w:rPr>
            </w:pPr>
          </w:p>
        </w:tc>
      </w:tr>
      <w:tr>
        <w:trPr>
          <w:trHeight w:val="175"/>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160" w:type="dxa"/>
            <w:vAlign w:val="bottom"/>
          </w:tcPr>
          <w:p>
            <w:pPr>
              <w:spacing w:after="0"/>
              <w:rPr>
                <w:sz w:val="15"/>
                <w:szCs w:val="15"/>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(8,725 )</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64,581</w:t>
            </w:r>
          </w:p>
        </w:tc>
        <w:tc>
          <w:tcPr>
            <w:tcW w:w="100" w:type="dxa"/>
            <w:vAlign w:val="bottom"/>
          </w:tcPr>
          <w:p>
            <w:pPr>
              <w:spacing w:after="0"/>
              <w:rPr>
                <w:sz w:val="15"/>
                <w:szCs w:val="15"/>
                <w:color w:val="auto"/>
              </w:rPr>
            </w:pPr>
          </w:p>
        </w:tc>
      </w:tr>
      <w:tr>
        <w:trPr>
          <w:trHeight w:val="175"/>
        </w:trPr>
        <w:tc>
          <w:tcPr>
            <w:tcW w:w="6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on investments</w:t>
            </w:r>
          </w:p>
        </w:tc>
        <w:tc>
          <w:tcPr>
            <w:tcW w:w="16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(8,127 )</w:t>
            </w: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(8,127 )</w:t>
            </w:r>
          </w:p>
        </w:tc>
        <w:tc>
          <w:tcPr>
            <w:tcW w:w="2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(appreciation) depreciation (See Notes 5 and 10)</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(1,622 )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(18,494 )</w:t>
            </w:r>
          </w:p>
        </w:tc>
      </w:tr>
      <w:tr>
        <w:trPr>
          <w:trHeight w:val="169"/>
        </w:trPr>
        <w:tc>
          <w:tcPr>
            <w:tcW w:w="63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160" w:type="dxa"/>
            <w:vAlign w:val="bottom"/>
            <w:tcBorders>
              <w:top w:val="single" w:sz="8" w:color="auto"/>
              <w:bottom w:val="single" w:sz="8" w:color="auto"/>
            </w:tcBorders>
            <w:shd w:val="clear" w:color="auto" w:fill="CCECFF"/>
          </w:tcPr>
          <w:p>
            <w:pPr>
              <w:spacing w:after="0"/>
              <w:rPr>
                <w:sz w:val="14"/>
                <w:szCs w:val="14"/>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6,359</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(17,952</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(98,035</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91,857</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1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(29,032 )</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(24,573 )</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116,286</w:t>
            </w:r>
          </w:p>
        </w:tc>
        <w:tc>
          <w:tcPr>
            <w:tcW w:w="100" w:type="dxa"/>
            <w:vAlign w:val="bottom"/>
          </w:tcPr>
          <w:p>
            <w:pPr>
              <w:spacing w:after="0"/>
              <w:rPr>
                <w:sz w:val="14"/>
                <w:szCs w:val="14"/>
                <w:color w:val="auto"/>
              </w:rPr>
            </w:pPr>
          </w:p>
        </w:tc>
      </w:tr>
      <w:tr>
        <w:trPr>
          <w:trHeight w:val="209"/>
        </w:trPr>
        <w:tc>
          <w:tcPr>
            <w:tcW w:w="636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60" w:type="dxa"/>
            <w:vAlign w:val="bottom"/>
            <w:tcBorders>
              <w:top w:val="single" w:sz="8" w:color="auto"/>
              <w:bottom w:val="single" w:sz="8" w:color="auto"/>
            </w:tcBorders>
            <w:shd w:val="clear" w:color="auto" w:fill="CCECFF"/>
          </w:tcPr>
          <w:p>
            <w:pPr>
              <w:spacing w:after="0"/>
              <w:rPr>
                <w:sz w:val="18"/>
                <w:szCs w:val="18"/>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(18,481</w:t>
            </w:r>
          </w:p>
        </w:tc>
        <w:tc>
          <w:tcPr>
            <w:tcW w:w="240" w:type="dxa"/>
            <w:vAlign w:val="bottom"/>
            <w:tcBorders>
              <w:bottom w:val="single" w:sz="8" w:color="CCECFF"/>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8"/>
                <w:szCs w:val="18"/>
                <w:color w:val="auto"/>
              </w:rPr>
            </w:pP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31,880</w:t>
            </w:r>
          </w:p>
        </w:tc>
        <w:tc>
          <w:tcPr>
            <w:tcW w:w="22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10,187</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spacing w:after="0"/>
              <w:rPr>
                <w:sz w:val="18"/>
                <w:szCs w:val="18"/>
                <w:color w:val="auto"/>
              </w:rPr>
            </w:pP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141,509</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63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 (See Note 7)</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(0.28 )</w:t>
            </w:r>
          </w:p>
        </w:tc>
        <w:tc>
          <w:tcPr>
            <w:tcW w:w="2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0.48</w:t>
            </w:r>
          </w:p>
        </w:tc>
        <w:tc>
          <w:tcPr>
            <w:tcW w:w="22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0.15</w:t>
            </w:r>
          </w:p>
        </w:tc>
        <w:tc>
          <w:tcPr>
            <w:tcW w:w="22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3"/>
                <w:szCs w:val="13"/>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6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1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0.16</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0.12</w:t>
            </w:r>
          </w:p>
        </w:tc>
        <w:tc>
          <w:tcPr>
            <w:tcW w:w="22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0.52</w:t>
            </w:r>
          </w:p>
        </w:tc>
        <w:tc>
          <w:tcPr>
            <w:tcW w:w="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0.38</w:t>
            </w:r>
          </w:p>
        </w:tc>
        <w:tc>
          <w:tcPr>
            <w:tcW w:w="10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-3299460</wp:posOffset>
            </wp:positionV>
            <wp:extent cx="7747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-3299460</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-3299460</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-2382520</wp:posOffset>
            </wp:positionV>
            <wp:extent cx="7747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-2382520</wp:posOffset>
            </wp:positionV>
            <wp:extent cx="68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-2382520</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-2142490</wp:posOffset>
            </wp:positionV>
            <wp:extent cx="7747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-2142490</wp:posOffset>
            </wp:positionV>
            <wp:extent cx="6858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-2142490</wp:posOffset>
            </wp:positionV>
            <wp:extent cx="6858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-1224915</wp:posOffset>
            </wp:positionV>
            <wp:extent cx="7747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-1224915</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-1224915</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-539115</wp:posOffset>
            </wp:positionV>
            <wp:extent cx="7747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-539115</wp:posOffset>
            </wp:positionV>
            <wp:extent cx="6858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-539115</wp:posOffset>
            </wp:positionV>
            <wp:extent cx="6858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-299720</wp:posOffset>
            </wp:positionV>
            <wp:extent cx="243459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34590" cy="16256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 w:name="page8"/>
    <w:bookmarkEnd w:id="7"/>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NET ASSETS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3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59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5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10,551</w:t>
            </w:r>
          </w:p>
        </w:tc>
        <w:tc>
          <w:tcPr>
            <w:tcW w:w="24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8,145</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34,760</w:t>
            </w:r>
          </w:p>
        </w:tc>
        <w:tc>
          <w:tcPr>
            <w:tcW w:w="2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25,223</w:t>
            </w:r>
          </w:p>
        </w:tc>
        <w:tc>
          <w:tcPr>
            <w:tcW w:w="100" w:type="dxa"/>
            <w:vAlign w:val="bottom"/>
          </w:tcPr>
          <w:p>
            <w:pPr>
              <w:spacing w:after="0"/>
              <w:rPr>
                <w:sz w:val="15"/>
                <w:szCs w:val="15"/>
                <w:color w:val="auto"/>
              </w:rPr>
            </w:pPr>
          </w:p>
        </w:tc>
      </w:tr>
      <w:tr>
        <w:trPr>
          <w:trHeight w:val="175"/>
        </w:trPr>
        <w:tc>
          <w:tcPr>
            <w:tcW w:w="59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2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(34,268 )</w:t>
            </w:r>
          </w:p>
        </w:tc>
        <w:tc>
          <w:tcPr>
            <w:tcW w:w="26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41,687</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79,645</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24,429</w:t>
            </w:r>
          </w:p>
        </w:tc>
        <w:tc>
          <w:tcPr>
            <w:tcW w:w="100" w:type="dxa"/>
            <w:vAlign w:val="bottom"/>
            <w:shd w:val="clear" w:color="auto" w:fill="CCECFF"/>
          </w:tcPr>
          <w:p>
            <w:pPr>
              <w:spacing w:after="0"/>
              <w:rPr>
                <w:sz w:val="15"/>
                <w:szCs w:val="15"/>
                <w:color w:val="auto"/>
              </w:rPr>
            </w:pPr>
          </w:p>
        </w:tc>
      </w:tr>
      <w:tr>
        <w:trPr>
          <w:trHeight w:val="176"/>
        </w:trPr>
        <w:tc>
          <w:tcPr>
            <w:tcW w:w="5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(16,330 )</w:t>
            </w:r>
          </w:p>
        </w:tc>
        <w:tc>
          <w:tcPr>
            <w:tcW w:w="22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(99,091 )</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110,351</w:t>
            </w:r>
          </w:p>
        </w:tc>
        <w:tc>
          <w:tcPr>
            <w:tcW w:w="100" w:type="dxa"/>
            <w:vAlign w:val="bottom"/>
          </w:tcPr>
          <w:p>
            <w:pPr>
              <w:spacing w:after="0"/>
              <w:rPr>
                <w:sz w:val="15"/>
                <w:szCs w:val="15"/>
                <w:color w:val="auto"/>
              </w:rPr>
            </w:pPr>
          </w:p>
        </w:tc>
      </w:tr>
      <w:tr>
        <w:trPr>
          <w:trHeight w:val="175"/>
        </w:trPr>
        <w:tc>
          <w:tcPr>
            <w:tcW w:w="59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provision for taxes on net realized gain (loss) on investments</w:t>
            </w:r>
          </w:p>
        </w:tc>
        <w:tc>
          <w:tcPr>
            <w:tcW w:w="2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(1,123 )</w:t>
            </w:r>
          </w:p>
        </w:tc>
        <w:tc>
          <w:tcPr>
            <w:tcW w:w="26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(6,183 )</w:t>
            </w:r>
          </w:p>
        </w:tc>
        <w:tc>
          <w:tcPr>
            <w:tcW w:w="24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provision for taxes on unrealized appreciation on investments</w:t>
            </w:r>
          </w:p>
        </w:tc>
        <w:tc>
          <w:tcPr>
            <w:tcW w:w="22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(8,127 )</w:t>
            </w:r>
          </w:p>
        </w:tc>
        <w:tc>
          <w:tcPr>
            <w:tcW w:w="26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(8,127 )</w:t>
            </w:r>
          </w:p>
        </w:tc>
        <w:tc>
          <w:tcPr>
            <w:tcW w:w="240" w:type="dxa"/>
            <w:vAlign w:val="bottom"/>
          </w:tcPr>
          <w:p>
            <w:pPr>
              <w:spacing w:after="0"/>
              <w:rPr>
                <w:sz w:val="15"/>
                <w:szCs w:val="15"/>
                <w:color w:val="auto"/>
              </w:rPr>
            </w:pP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9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(1,622 )</w:t>
            </w:r>
          </w:p>
        </w:tc>
        <w:tc>
          <w:tcPr>
            <w:tcW w:w="22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9,183</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(18,494 )</w:t>
            </w:r>
          </w:p>
        </w:tc>
      </w:tr>
      <w:tr>
        <w:trPr>
          <w:trHeight w:val="20"/>
        </w:trPr>
        <w:tc>
          <w:tcPr>
            <w:tcW w:w="590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59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2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(18,481 )</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141,509</w:t>
            </w:r>
          </w:p>
        </w:tc>
        <w:tc>
          <w:tcPr>
            <w:tcW w:w="100" w:type="dxa"/>
            <w:vAlign w:val="bottom"/>
          </w:tcPr>
          <w:p>
            <w:pPr>
              <w:spacing w:after="0"/>
              <w:rPr>
                <w:sz w:val="14"/>
                <w:szCs w:val="14"/>
                <w:color w:val="auto"/>
              </w:rPr>
            </w:pPr>
          </w:p>
        </w:tc>
      </w:tr>
      <w:tr>
        <w:trPr>
          <w:trHeight w:val="169"/>
        </w:trPr>
        <w:tc>
          <w:tcPr>
            <w:tcW w:w="5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(9,378</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(26,808</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(24,136</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9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Repurchase of common stock (See Note 13)</w:t>
            </w:r>
          </w:p>
        </w:tc>
        <w:tc>
          <w:tcPr>
            <w:tcW w:w="2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(12,012</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22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(32,817 )</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(28,633 )</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117,373</w:t>
            </w:r>
          </w:p>
        </w:tc>
        <w:tc>
          <w:tcPr>
            <w:tcW w:w="100" w:type="dxa"/>
            <w:vAlign w:val="bottom"/>
          </w:tcPr>
          <w:p>
            <w:pPr>
              <w:spacing w:after="0"/>
              <w:rPr>
                <w:sz w:val="14"/>
                <w:szCs w:val="14"/>
                <w:color w:val="auto"/>
              </w:rPr>
            </w:pPr>
          </w:p>
        </w:tc>
      </w:tr>
      <w:tr>
        <w:trPr>
          <w:trHeight w:val="169"/>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2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5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Beginning of period</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664,327</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619,247</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525,709</w:t>
            </w:r>
          </w:p>
        </w:tc>
        <w:tc>
          <w:tcPr>
            <w:tcW w:w="100" w:type="dxa"/>
            <w:vAlign w:val="bottom"/>
          </w:tcPr>
          <w:p>
            <w:pPr>
              <w:spacing w:after="0"/>
              <w:rPr>
                <w:sz w:val="15"/>
                <w:szCs w:val="15"/>
                <w:color w:val="auto"/>
              </w:rPr>
            </w:pPr>
          </w:p>
        </w:tc>
      </w:tr>
      <w:tr>
        <w:trPr>
          <w:trHeight w:val="209"/>
        </w:trPr>
        <w:tc>
          <w:tcPr>
            <w:tcW w:w="590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End of period</w:t>
            </w:r>
          </w:p>
        </w:tc>
        <w:tc>
          <w:tcPr>
            <w:tcW w:w="22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631,510</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643,082</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631,511</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643,082</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59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Capital share activity:</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590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Shares of common stock repurchased</w:t>
            </w:r>
          </w:p>
        </w:tc>
        <w:tc>
          <w:tcPr>
            <w:tcW w:w="22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717,709</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1,631,163</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-1225550</wp:posOffset>
            </wp:positionV>
            <wp:extent cx="7683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-1225550</wp:posOffset>
            </wp:positionV>
            <wp:extent cx="6858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-1225550</wp:posOffset>
            </wp:positionV>
            <wp:extent cx="6858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-985520</wp:posOffset>
            </wp:positionV>
            <wp:extent cx="7683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-985520</wp:posOffset>
            </wp:positionV>
            <wp:extent cx="6858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-985520</wp:posOffset>
            </wp:positionV>
            <wp:extent cx="6858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-744855</wp:posOffset>
            </wp:positionV>
            <wp:extent cx="7683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-744855</wp:posOffset>
            </wp:positionV>
            <wp:extent cx="6858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-744855</wp:posOffset>
            </wp:positionV>
            <wp:extent cx="6858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-273685</wp:posOffset>
            </wp:positionV>
            <wp:extent cx="265747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7475" cy="13716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 w:name="page9"/>
    <w:bookmarkEnd w:id="8"/>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10,186</w:t>
            </w:r>
          </w:p>
        </w:tc>
        <w:tc>
          <w:tcPr>
            <w:tcW w:w="220" w:type="dxa"/>
            <w:vAlign w:val="bottom"/>
          </w:tcPr>
          <w:p>
            <w:pPr>
              <w:spacing w:after="0"/>
              <w:rPr>
                <w:sz w:val="15"/>
                <w:szCs w:val="15"/>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141,509</w:t>
            </w:r>
          </w:p>
        </w:tc>
        <w:tc>
          <w:tcPr>
            <w:tcW w:w="100" w:type="dxa"/>
            <w:vAlign w:val="bottom"/>
          </w:tcPr>
          <w:p>
            <w:pPr>
              <w:spacing w:after="0"/>
              <w:rPr>
                <w:sz w:val="15"/>
                <w:szCs w:val="15"/>
                <w:color w:val="auto"/>
              </w:rPr>
            </w:pPr>
          </w:p>
        </w:tc>
      </w:tr>
      <w:tr>
        <w:trPr>
          <w:trHeight w:val="153"/>
        </w:trPr>
        <w:tc>
          <w:tcPr>
            <w:tcW w:w="7700" w:type="dxa"/>
            <w:vAlign w:val="bottom"/>
            <w:shd w:val="clear" w:color="auto" w:fill="CCECFF"/>
          </w:tcPr>
          <w:p>
            <w:pPr>
              <w:ind w:left="380"/>
              <w:spacing w:after="0" w:line="153" w:lineRule="exact"/>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w:t>
            </w:r>
          </w:p>
        </w:tc>
        <w:tc>
          <w:tcPr>
            <w:tcW w:w="10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1"/>
        </w:trPr>
        <w:tc>
          <w:tcPr>
            <w:tcW w:w="77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operations to net cash (used in) provided by operating activities:</w:t>
            </w:r>
          </w:p>
        </w:tc>
        <w:tc>
          <w:tcPr>
            <w:tcW w:w="10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change in net unrealized (appreciation) depreciation on investments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99,091</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(110,351 )</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10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(9,183 )</w:t>
            </w: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18,494</w:t>
            </w:r>
          </w:p>
        </w:tc>
        <w:tc>
          <w:tcPr>
            <w:tcW w:w="100" w:type="dxa"/>
            <w:vAlign w:val="bottom"/>
            <w:shd w:val="clear" w:color="auto" w:fill="CCECFF"/>
          </w:tcPr>
          <w:p>
            <w:pPr>
              <w:spacing w:after="0"/>
              <w:rPr>
                <w:sz w:val="15"/>
                <w:szCs w:val="15"/>
                <w:color w:val="auto"/>
              </w:rPr>
            </w:pP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(82,446 )</w:t>
            </w: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(24,429 )</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Debt extinguishment realized loss</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(3,763 )</w:t>
            </w: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(2,919 )</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(799,414 )</w:t>
            </w: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(276,376 )</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Payment-in-kind income</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(8,785 )</w:t>
            </w: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(11,049 )</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736,031</w:t>
            </w: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358,633</w:t>
            </w:r>
          </w:p>
        </w:tc>
        <w:tc>
          <w:tcPr>
            <w:tcW w:w="100" w:type="dxa"/>
            <w:vAlign w:val="bottom"/>
            <w:shd w:val="clear" w:color="auto" w:fill="CCECFF"/>
          </w:tcPr>
          <w:p>
            <w:pPr>
              <w:spacing w:after="0"/>
              <w:rPr>
                <w:sz w:val="15"/>
                <w:szCs w:val="15"/>
                <w:color w:val="auto"/>
              </w:rPr>
            </w:pP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5"/>
                <w:szCs w:val="15"/>
                <w:color w:val="auto"/>
              </w:rPr>
            </w:pPr>
          </w:p>
        </w:tc>
      </w:tr>
      <w:tr>
        <w:trPr>
          <w:trHeight w:val="175"/>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Decrease in interest receivable</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CFF"/>
          </w:tcPr>
          <w:p>
            <w:pPr>
              <w:spacing w:after="0"/>
              <w:rPr>
                <w:sz w:val="15"/>
                <w:szCs w:val="15"/>
                <w:color w:val="auto"/>
              </w:rPr>
            </w:pP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 in receivables from investments sold</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(44,614 )</w:t>
            </w:r>
          </w:p>
        </w:tc>
        <w:tc>
          <w:tcPr>
            <w:tcW w:w="100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 in distribution receivable</w:t>
            </w:r>
          </w:p>
        </w:tc>
        <w:tc>
          <w:tcPr>
            <w:tcW w:w="10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(726 )</w:t>
            </w: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(300 )</w:t>
            </w:r>
          </w:p>
        </w:tc>
      </w:tr>
      <w:tr>
        <w:trPr>
          <w:trHeight w:val="176"/>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 decrease in prepaid expenses and other assets</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(23,571 )</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5"/>
                <w:szCs w:val="15"/>
                <w:color w:val="auto"/>
              </w:rPr>
            </w:pP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 decrease in payable for investments purchased</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12,028</w:t>
            </w: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(2,444 )</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 (decrease) in interest payable on debt</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(1,556 )</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00" w:type="dxa"/>
            <w:vAlign w:val="bottom"/>
          </w:tcPr>
          <w:p>
            <w:pPr>
              <w:spacing w:after="0"/>
              <w:rPr>
                <w:sz w:val="15"/>
                <w:szCs w:val="15"/>
                <w:color w:val="auto"/>
              </w:rPr>
            </w:pP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 (decrease) in base management fee payable, net</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Decrease in performance-based incentive fee payable, net</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(575 )</w:t>
            </w:r>
          </w:p>
        </w:tc>
        <w:tc>
          <w:tcPr>
            <w:tcW w:w="100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 in deferred tax liability</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(Decrease) increase in accrued other expenses</w:t>
            </w: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CECFF"/>
            </w:tcBorders>
            <w:shd w:val="clear" w:color="auto" w:fill="CCECFF"/>
          </w:tcPr>
          <w:p>
            <w:pPr>
              <w:ind w:left="110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020" w:type="dxa"/>
            <w:vAlign w:val="bottom"/>
            <w:tcBorders>
              <w:bottom w:val="single" w:sz="8" w:color="auto"/>
            </w:tcBorders>
            <w:shd w:val="clear" w:color="auto" w:fill="CCECFF"/>
          </w:tcPr>
          <w:p>
            <w:pPr>
              <w:spacing w:after="0"/>
              <w:rPr>
                <w:sz w:val="14"/>
                <w:szCs w:val="14"/>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(97,483</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bottom w:val="single" w:sz="8" w:color="auto"/>
            </w:tcBorders>
            <w:shd w:val="clear" w:color="auto" w:fill="CCECFF"/>
          </w:tcPr>
          <w:p>
            <w:pPr>
              <w:spacing w:after="0"/>
              <w:rPr>
                <w:sz w:val="14"/>
                <w:szCs w:val="14"/>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95,721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(12,014 )</w:t>
            </w: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(25,348 )</w:t>
            </w: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(24,136 )</w:t>
            </w: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repayments of the 2024 Notes issuance</w:t>
            </w:r>
          </w:p>
        </w:tc>
        <w:tc>
          <w:tcPr>
            <w:tcW w:w="10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(86,250 )</w:t>
            </w: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Proceeds from 2026 Notes issuance</w:t>
            </w:r>
          </w:p>
        </w:tc>
        <w:tc>
          <w:tcPr>
            <w:tcW w:w="1020" w:type="dxa"/>
            <w:vAlign w:val="bottom"/>
          </w:tcPr>
          <w:p>
            <w:pPr>
              <w:spacing w:after="0"/>
              <w:rPr>
                <w:sz w:val="15"/>
                <w:szCs w:val="15"/>
                <w:color w:val="auto"/>
              </w:rPr>
            </w:pP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145,464</w:t>
            </w:r>
          </w:p>
        </w:tc>
        <w:tc>
          <w:tcPr>
            <w:tcW w:w="100" w:type="dxa"/>
            <w:vAlign w:val="bottom"/>
          </w:tcPr>
          <w:p>
            <w:pPr>
              <w:spacing w:after="0"/>
              <w:rPr>
                <w:sz w:val="15"/>
                <w:szCs w:val="15"/>
                <w:color w:val="auto"/>
              </w:rPr>
            </w:pPr>
          </w:p>
        </w:tc>
      </w:tr>
      <w:tr>
        <w:trPr>
          <w:trHeight w:val="176"/>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Proceeds from 2026 Notes-2 issuance</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160,519</w:t>
            </w: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Repayments under SBA debentures</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(36,358 )</w:t>
            </w: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(55,000 )</w:t>
            </w:r>
          </w:p>
        </w:tc>
      </w:tr>
      <w:tr>
        <w:trPr>
          <w:trHeight w:val="175"/>
        </w:trPr>
        <w:tc>
          <w:tcPr>
            <w:tcW w:w="77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Borrowings under Truist Credit Facility</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815,841</w:t>
            </w:r>
          </w:p>
        </w:tc>
        <w:tc>
          <w:tcPr>
            <w:tcW w:w="2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148,312</w:t>
            </w:r>
          </w:p>
        </w:tc>
        <w:tc>
          <w:tcPr>
            <w:tcW w:w="100" w:type="dxa"/>
            <w:vAlign w:val="bottom"/>
            <w:shd w:val="clear" w:color="auto" w:fill="CCECFF"/>
          </w:tcPr>
          <w:p>
            <w:pPr>
              <w:spacing w:after="0"/>
              <w:rPr>
                <w:sz w:val="15"/>
                <w:szCs w:val="15"/>
                <w:color w:val="auto"/>
              </w:rPr>
            </w:pPr>
          </w:p>
        </w:tc>
      </w:tr>
      <w:tr>
        <w:trPr>
          <w:trHeight w:val="175"/>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Repayments under Truist Credit Facility</w:t>
            </w:r>
          </w:p>
        </w:tc>
        <w:tc>
          <w:tcPr>
            <w:tcW w:w="102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(709,466 )</w:t>
            </w: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(322,019 )</w:t>
            </w:r>
          </w:p>
        </w:tc>
      </w:tr>
      <w:tr>
        <w:trPr>
          <w:trHeight w:val="169"/>
        </w:trPr>
        <w:tc>
          <w:tcPr>
            <w:tcW w:w="7700" w:type="dxa"/>
            <w:vAlign w:val="bottom"/>
            <w:tcBorders>
              <w:bottom w:val="single" w:sz="8" w:color="CCECFF"/>
            </w:tcBorders>
            <w:shd w:val="clear" w:color="auto" w:fill="CCECFF"/>
          </w:tcPr>
          <w:p>
            <w:pPr>
              <w:ind w:left="11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2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106,924</w:t>
            </w:r>
          </w:p>
        </w:tc>
        <w:tc>
          <w:tcPr>
            <w:tcW w:w="220" w:type="dxa"/>
            <w:vAlign w:val="bottom"/>
            <w:tcBorders>
              <w:bottom w:val="single" w:sz="8" w:color="CCECFF"/>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(107,379</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equivalents</w:t>
            </w: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(11,658 )</w:t>
            </w:r>
          </w:p>
        </w:tc>
      </w:tr>
      <w:tr>
        <w:trPr>
          <w:trHeight w:val="175"/>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(251 )</w:t>
            </w:r>
          </w:p>
        </w:tc>
        <w:tc>
          <w:tcPr>
            <w:tcW w:w="10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CFF"/>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25,806</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20" w:type="dxa"/>
            <w:vAlign w:val="bottom"/>
            <w:tcBorders>
              <w:bottom w:val="single" w:sz="8" w:color="auto"/>
            </w:tcBorders>
            <w:shd w:val="clear" w:color="auto" w:fill="CCECFF"/>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29,547</w:t>
            </w:r>
          </w:p>
        </w:tc>
        <w:tc>
          <w:tcPr>
            <w:tcW w:w="220" w:type="dxa"/>
            <w:vAlign w:val="bottom"/>
            <w:tcBorders>
              <w:bottom w:val="single" w:sz="8" w:color="CCECFF"/>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14,212</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770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Interest paid</w:t>
            </w:r>
          </w:p>
        </w:tc>
        <w:tc>
          <w:tcPr>
            <w:tcW w:w="1020" w:type="dxa"/>
            <w:vAlign w:val="bottom"/>
            <w:tcBorders>
              <w:bottom w:val="single" w:sz="8" w:color="auto"/>
            </w:tcBorders>
            <w:shd w:val="clear" w:color="auto" w:fill="CCECFF"/>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20,170</w:t>
            </w:r>
          </w:p>
        </w:tc>
        <w:tc>
          <w:tcPr>
            <w:tcW w:w="220" w:type="dxa"/>
            <w:vAlign w:val="bottom"/>
            <w:tcBorders>
              <w:bottom w:val="single" w:sz="8" w:color="CCECFF"/>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13,081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770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Taxes paid</w:t>
            </w:r>
          </w:p>
        </w:tc>
        <w:tc>
          <w:tcPr>
            <w:tcW w:w="1020" w:type="dxa"/>
            <w:vAlign w:val="bottom"/>
            <w:tcBorders>
              <w:bottom w:val="single" w:sz="8" w:color="auto"/>
            </w:tcBorders>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5,255</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0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Non-cash exchanges and conversions</w:t>
            </w:r>
          </w:p>
        </w:tc>
        <w:tc>
          <w:tcPr>
            <w:tcW w:w="1020" w:type="dxa"/>
            <w:vAlign w:val="bottom"/>
            <w:tcBorders>
              <w:top w:val="single" w:sz="8" w:color="auto"/>
              <w:bottom w:val="single" w:sz="8" w:color="auto"/>
            </w:tcBorders>
            <w:shd w:val="clear" w:color="auto" w:fill="CCECFF"/>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(59,651</w:t>
            </w:r>
          </w:p>
        </w:tc>
        <w:tc>
          <w:tcPr>
            <w:tcW w:w="220" w:type="dxa"/>
            <w:vAlign w:val="bottom"/>
            <w:tcBorders>
              <w:bottom w:val="single" w:sz="8" w:color="CCECFF"/>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0" w:type="dxa"/>
            <w:vAlign w:val="bottom"/>
            <w:tcBorders>
              <w:top w:val="single" w:sz="8" w:color="auto"/>
              <w:bottom w:val="single" w:sz="8" w:color="auto"/>
            </w:tcBorders>
            <w:shd w:val="clear" w:color="auto" w:fill="CCECFF"/>
          </w:tcPr>
          <w:p>
            <w:pPr>
              <w:jc w:val="right"/>
              <w:ind w:right="8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16,516</w:t>
            </w:r>
          </w:p>
        </w:tc>
        <w:tc>
          <w:tcPr>
            <w:tcW w:w="10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-2142490</wp:posOffset>
            </wp:positionV>
            <wp:extent cx="6858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-1010920</wp:posOffset>
            </wp:positionV>
            <wp:extent cx="6858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-548005</wp:posOffset>
            </wp:positionV>
            <wp:extent cx="121729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17295" cy="1371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121729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1729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9" w:name="page10"/>
    <w:bookmarkEnd w:id="9"/>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40" w:type="dxa"/>
            <w:vAlign w:val="bottom"/>
          </w:tcPr>
          <w:p>
            <w:pPr>
              <w:spacing w:after="0"/>
              <w:rPr>
                <w:sz w:val="11"/>
                <w:szCs w:val="11"/>
                <w:color w:val="auto"/>
              </w:rPr>
            </w:pPr>
          </w:p>
        </w:tc>
        <w:tc>
          <w:tcPr>
            <w:tcW w:w="7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40" w:type="dxa"/>
            <w:vAlign w:val="bottom"/>
          </w:tcPr>
          <w:p>
            <w:pPr>
              <w:spacing w:after="0"/>
              <w:rPr>
                <w:sz w:val="14"/>
                <w:szCs w:val="14"/>
                <w:color w:val="auto"/>
              </w:rPr>
            </w:pPr>
          </w:p>
        </w:tc>
        <w:tc>
          <w:tcPr>
            <w:tcW w:w="7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080" w:type="dxa"/>
            <w:vAlign w:val="bottom"/>
            <w:tcBorders>
              <w:top w:val="single" w:sz="8" w:color="auto"/>
            </w:tcBorders>
            <w:shd w:val="clear" w:color="auto" w:fill="CCECFF"/>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Non-Controlled, Non-Affiliated Portfolio</w:t>
            </w:r>
          </w:p>
        </w:tc>
        <w:tc>
          <w:tcPr>
            <w:tcW w:w="120" w:type="dxa"/>
            <w:vAlign w:val="bottom"/>
            <w:shd w:val="clear" w:color="auto" w:fill="CCECFF"/>
          </w:tcPr>
          <w:p>
            <w:pPr>
              <w:spacing w:after="0"/>
              <w:rPr>
                <w:sz w:val="7"/>
                <w:szCs w:val="7"/>
                <w:color w:val="auto"/>
              </w:rPr>
            </w:pPr>
          </w:p>
        </w:tc>
        <w:tc>
          <w:tcPr>
            <w:tcW w:w="600" w:type="dxa"/>
            <w:vAlign w:val="bottom"/>
            <w:tcBorders>
              <w:top w:val="single" w:sz="8" w:color="auto"/>
            </w:tcBorders>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2480" w:type="dxa"/>
            <w:vAlign w:val="bottom"/>
            <w:tcBorders>
              <w:top w:val="single" w:sz="8" w:color="auto"/>
            </w:tcBorders>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720" w:type="dxa"/>
            <w:vAlign w:val="bottom"/>
            <w:tcBorders>
              <w:top w:val="single" w:sz="8" w:color="auto"/>
            </w:tcBorders>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40" w:type="dxa"/>
            <w:vAlign w:val="bottom"/>
            <w:tcBorders>
              <w:top w:val="single" w:sz="8" w:color="auto"/>
            </w:tcBorders>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720" w:type="dxa"/>
            <w:vAlign w:val="bottom"/>
            <w:tcBorders>
              <w:top w:val="single" w:sz="8" w:color="auto"/>
            </w:tcBorders>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160" w:type="dxa"/>
            <w:vAlign w:val="bottom"/>
            <w:tcBorders>
              <w:top w:val="single" w:sz="8" w:color="auto"/>
            </w:tcBorders>
            <w:shd w:val="clear" w:color="auto" w:fill="CCECFF"/>
          </w:tcPr>
          <w:p>
            <w:pPr>
              <w:spacing w:after="0"/>
              <w:rPr>
                <w:sz w:val="7"/>
                <w:szCs w:val="7"/>
                <w:color w:val="auto"/>
              </w:rPr>
            </w:pPr>
          </w:p>
        </w:tc>
        <w:tc>
          <w:tcPr>
            <w:tcW w:w="54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220" w:type="dxa"/>
            <w:vAlign w:val="bottom"/>
            <w:tcBorders>
              <w:top w:val="single" w:sz="8" w:color="auto"/>
            </w:tcBorders>
            <w:shd w:val="clear" w:color="auto" w:fill="CCECFF"/>
          </w:tcPr>
          <w:p>
            <w:pPr>
              <w:spacing w:after="0"/>
              <w:rPr>
                <w:sz w:val="7"/>
                <w:szCs w:val="7"/>
                <w:color w:val="auto"/>
              </w:rPr>
            </w:pPr>
          </w:p>
        </w:tc>
        <w:tc>
          <w:tcPr>
            <w:tcW w:w="480" w:type="dxa"/>
            <w:vAlign w:val="bottom"/>
            <w:tcBorders>
              <w:top w:val="single" w:sz="8" w:color="auto"/>
            </w:tcBorders>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Companies—152.2% </w:t>
            </w:r>
            <w:r>
              <w:rPr>
                <w:rFonts w:ascii="Times New Roman" w:cs="Times New Roman" w:eastAsia="Times New Roman" w:hAnsi="Times New Roman"/>
                <w:sz w:val="14"/>
                <w:szCs w:val="14"/>
                <w:b w:val="1"/>
                <w:bCs w:val="1"/>
                <w:color w:val="auto"/>
                <w:vertAlign w:val="superscript"/>
              </w:rPr>
              <w:t>(1), (2)</w:t>
            </w:r>
          </w:p>
        </w:tc>
        <w:tc>
          <w:tcPr>
            <w:tcW w:w="1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0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First Lien Secured Debt—106.9%</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05/06/2026</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07/24/2025</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10.25 %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07/24/2025</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12/21/2023</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5,842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Any Hour Services</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07/21/2027</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7.51 %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3,151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3,121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Any Hour Services Term Loan II</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01/14/2024</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07/21/2027</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07/31/2025</w:t>
            </w:r>
          </w:p>
        </w:tc>
        <w:tc>
          <w:tcPr>
            <w:tcW w:w="12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07/31/2025</w:t>
            </w:r>
          </w:p>
        </w:tc>
        <w:tc>
          <w:tcPr>
            <w:tcW w:w="12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6.62 %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1,893</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1,872</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Apex Service Partners, LLC (Revolver)</w:t>
            </w:r>
          </w:p>
        </w:tc>
        <w:tc>
          <w:tcPr>
            <w:tcW w:w="7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color w:val="auto"/>
              </w:rPr>
              <w:t>07/31/2025</w:t>
            </w:r>
          </w:p>
        </w:tc>
        <w:tc>
          <w:tcPr>
            <w:tcW w:w="12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6.62 %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L+525</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249</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249</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247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07/31/2025</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Applied Technical Services,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12/29/2026</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7.42 %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2,520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2,493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08/23/2022</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Applied Technical Services, LLC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12/29/2026</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9.50 %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P+475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400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12/29/2026</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Arcfield Acquisition Corp.</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03/07/2028</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7.44 %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SOFR+575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11,970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11,741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11,671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03/07/2028</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Berwick Industrial Park</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04/28/2023</w:t>
            </w:r>
          </w:p>
        </w:tc>
        <w:tc>
          <w:tcPr>
            <w:tcW w:w="12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07/01/2029</w:t>
            </w:r>
          </w:p>
        </w:tc>
        <w:tc>
          <w:tcPr>
            <w:tcW w:w="12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6.85 %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19,600</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7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color w:val="auto"/>
              </w:rPr>
              <w:t>09/17/2024</w:t>
            </w:r>
          </w:p>
        </w:tc>
        <w:tc>
          <w:tcPr>
            <w:tcW w:w="12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6.59 %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L+500</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1,143</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1,126</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1,132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Blackhawk Industrial Distribution, Inc.</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09/17/2024</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4,075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Blackhawk Industrial Distribution, Inc.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09/17/2024</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7.20 %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09/17/2024</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3,089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12/02/2022</w:t>
            </w:r>
          </w:p>
        </w:tc>
        <w:tc>
          <w:tcPr>
            <w:tcW w:w="12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7.39 %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20,160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05/13/2028</w:t>
            </w:r>
          </w:p>
        </w:tc>
        <w:tc>
          <w:tcPr>
            <w:tcW w:w="12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57,000</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55,865</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Cartessa Aesthetics, LLC - (Revolver)</w:t>
            </w:r>
          </w:p>
        </w:tc>
        <w:tc>
          <w:tcPr>
            <w:tcW w:w="7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color w:val="auto"/>
              </w:rPr>
              <w:t>05/13/2028</w:t>
            </w:r>
          </w:p>
        </w:tc>
        <w:tc>
          <w:tcPr>
            <w:tcW w:w="12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8.05 %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L+600</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1,265</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1,265</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1,265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Cartessa Aesthetics, LLC -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05/13/2028</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CF512, Inc.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08/20/2026</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7.36 %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6,743</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6,648</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08/20/2026</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02/09/2026</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6.78 %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Compex Legal Services, Inc.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02/07/2025</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7.50 %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393</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02/07/2025</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01/13/2023</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67"/>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07/13/2027</w:t>
            </w:r>
          </w:p>
        </w:tc>
        <w:tc>
          <w:tcPr>
            <w:tcW w:w="1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08/16/2027</w:t>
            </w:r>
          </w:p>
        </w:tc>
        <w:tc>
          <w:tcPr>
            <w:tcW w:w="12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7.12 %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2,608</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2,578</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Crane 1 Services, Inc. (Revolver)</w:t>
            </w:r>
          </w:p>
        </w:tc>
        <w:tc>
          <w:tcPr>
            <w:tcW w:w="7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color w:val="auto"/>
              </w:rPr>
              <w:t>08/16/2027</w:t>
            </w:r>
          </w:p>
        </w:tc>
        <w:tc>
          <w:tcPr>
            <w:tcW w:w="12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7.98 %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L+575</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58</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58</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08/16/2027</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Crash Champions,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08/05/2025</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19,972</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19,607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19,872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08/05/2025</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06/30/2023</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9.25 %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8,553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8,519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 Squatch,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08/31/2027</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7.89 %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9,452</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9,290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9,452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08/27/2026</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 Squatch, LLC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08/31/2027</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7.50 %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465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465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08/31/2027</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11/03/2025</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(52 )</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05/01/2028</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9.75 %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19,205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ECM Industries, LLC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12/23/2025</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6.13 %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388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388</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12/23/2025</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Intermediate II,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03/15/2027</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7.42 %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24,913</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24,555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24,539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03/15/2024</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Intermediate II, LLC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03/15/2027</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7.42 %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371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03/15/2027</w:t>
            </w:r>
          </w:p>
        </w:tc>
        <w:tc>
          <w:tcPr>
            <w:tcW w:w="1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06/17/2028</w:t>
            </w:r>
          </w:p>
        </w:tc>
        <w:tc>
          <w:tcPr>
            <w:tcW w:w="12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7.63 %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Gantech Acquisition Corp.</w:t>
            </w:r>
          </w:p>
        </w:tc>
        <w:tc>
          <w:tcPr>
            <w:tcW w:w="7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color w:val="auto"/>
              </w:rPr>
              <w:t>05/14/2026</w:t>
            </w:r>
          </w:p>
        </w:tc>
        <w:tc>
          <w:tcPr>
            <w:tcW w:w="12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7.92 %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L+625</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16,895</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16,618</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16,557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05/14/2026</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08/10/2023</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Graffiti Buyer, Inc.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08/10/2027</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7.43 %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269</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269</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08/10/2027</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12/31/2022</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12/31/2026</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6.12 %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280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280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12/31/2026</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Holdco Sands Intermediate,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11/23/2028</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7,910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7,761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7,752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11/23/2027</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(79 )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HV Watterson Holdings,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12/17/2026</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15,293</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15,065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15,064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12/17/2026</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HV Watterson Holdings, LLC - (Revolver)</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12/17/2026</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HW Holdco,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12/10/2024</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6.16 %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10,246</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10,123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12/10/2024</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3,049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HW Holdco, LLC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12/10/2024</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6.67 %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271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12/10/2024</w:t>
            </w:r>
          </w:p>
        </w:tc>
        <w:tc>
          <w:tcPr>
            <w:tcW w:w="1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(62 )</w:t>
            </w: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05/11/2028</w:t>
            </w:r>
          </w:p>
        </w:tc>
        <w:tc>
          <w:tcPr>
            <w:tcW w:w="12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5.50 %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IDC Infusion Services, Inc.</w:t>
            </w:r>
          </w:p>
        </w:tc>
        <w:tc>
          <w:tcPr>
            <w:tcW w:w="7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color w:val="auto"/>
              </w:rPr>
              <w:t>12/30/2026</w:t>
            </w:r>
          </w:p>
        </w:tc>
        <w:tc>
          <w:tcPr>
            <w:tcW w:w="12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7.83 %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7,469</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7,355</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7,394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12/30/2026</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IG Investments Holdings, LLC (Revolver)</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09/22/2027</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9.20 %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P+500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09/22/2027</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11/15/2027</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11/15/2027</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(51 )</w:t>
            </w: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Inception Fertility Ventures, LLC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12/07/2023</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9.08 %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23,148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22,770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11/01/2023</w:t>
            </w:r>
          </w:p>
        </w:tc>
        <w:tc>
          <w:tcPr>
            <w:tcW w:w="12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08/27/2025</w:t>
            </w:r>
          </w:p>
        </w:tc>
        <w:tc>
          <w:tcPr>
            <w:tcW w:w="12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6.78 %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12,482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12,405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ITI Holdings, Inc.</w:t>
            </w:r>
          </w:p>
        </w:tc>
        <w:tc>
          <w:tcPr>
            <w:tcW w:w="72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color w:val="auto"/>
              </w:rPr>
              <w:t>03/03/2028</w:t>
            </w:r>
          </w:p>
        </w:tc>
        <w:tc>
          <w:tcPr>
            <w:tcW w:w="12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7.08 %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8,950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8,800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03/03/2028</w:t>
            </w:r>
          </w:p>
        </w:tc>
        <w:tc>
          <w:tcPr>
            <w:tcW w:w="1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12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11,709</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11,649</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11,603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K2 Pure Solutions NoCal, L.P. (Revolver)</w:t>
            </w:r>
          </w:p>
        </w:tc>
        <w:tc>
          <w:tcPr>
            <w:tcW w:w="7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1"/>
                <w:szCs w:val="11"/>
                <w:color w:val="auto"/>
              </w:rPr>
              <w:t>12/20/2023</w:t>
            </w:r>
          </w:p>
        </w:tc>
        <w:tc>
          <w:tcPr>
            <w:tcW w:w="120" w:type="dxa"/>
            <w:vAlign w:val="bottom"/>
          </w:tcPr>
          <w:p>
            <w:pPr>
              <w:spacing w:after="0"/>
              <w:rPr>
                <w:sz w:val="8"/>
                <w:szCs w:val="8"/>
                <w:color w:val="auto"/>
              </w:rPr>
            </w:pPr>
          </w:p>
        </w:tc>
        <w:tc>
          <w:tcPr>
            <w:tcW w:w="24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9.67 %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L+800</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969</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969</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1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-7285990</wp:posOffset>
            </wp:positionV>
            <wp:extent cx="713232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-7114540</wp:posOffset>
            </wp:positionV>
            <wp:extent cx="713232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-6943090</wp:posOffset>
            </wp:positionV>
            <wp:extent cx="713232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-6771640</wp:posOffset>
            </wp:positionV>
            <wp:extent cx="713232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-6428740</wp:posOffset>
            </wp:positionV>
            <wp:extent cx="713232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-6257290</wp:posOffset>
            </wp:positionV>
            <wp:extent cx="713232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-6085840</wp:posOffset>
            </wp:positionV>
            <wp:extent cx="713232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-5914390</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-5571490</wp:posOffset>
            </wp:positionV>
            <wp:extent cx="713232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-5400040</wp:posOffset>
            </wp:positionV>
            <wp:extent cx="713232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-5057140</wp:posOffset>
            </wp:positionV>
            <wp:extent cx="713232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-4885690</wp:posOffset>
            </wp:positionV>
            <wp:extent cx="71323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-4714240</wp:posOffset>
            </wp:positionV>
            <wp:extent cx="713232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-3685540</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0" w:name="page11"/>
    <w:bookmarkEnd w:id="10"/>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9"/>
                <w:szCs w:val="9"/>
                <w:color w:val="auto"/>
              </w:rPr>
            </w:pPr>
          </w:p>
        </w:tc>
        <w:tc>
          <w:tcPr>
            <w:tcW w:w="960" w:type="dxa"/>
            <w:vAlign w:val="bottom"/>
            <w:gridSpan w:val="2"/>
          </w:tcPr>
          <w:p>
            <w:pPr>
              <w:jc w:val="center"/>
              <w:ind w:right="66"/>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20" w:type="dxa"/>
            <w:vAlign w:val="bottom"/>
          </w:tcPr>
          <w:p>
            <w:pPr>
              <w:spacing w:after="0"/>
              <w:rPr>
                <w:sz w:val="9"/>
                <w:szCs w:val="9"/>
                <w:color w:val="auto"/>
              </w:rPr>
            </w:pPr>
          </w:p>
        </w:tc>
        <w:tc>
          <w:tcPr>
            <w:tcW w:w="78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48"/>
        </w:trPr>
        <w:tc>
          <w:tcPr>
            <w:tcW w:w="30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20" w:type="dxa"/>
            <w:vAlign w:val="bottom"/>
          </w:tcPr>
          <w:p>
            <w:pPr>
              <w:spacing w:after="0"/>
              <w:rPr>
                <w:sz w:val="12"/>
                <w:szCs w:val="12"/>
                <w:color w:val="auto"/>
              </w:rPr>
            </w:pPr>
          </w:p>
        </w:tc>
        <w:tc>
          <w:tcPr>
            <w:tcW w:w="24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2"/>
                <w:szCs w:val="12"/>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w w:val="89"/>
              </w:rPr>
              <w:t>Index</w:t>
            </w:r>
          </w:p>
        </w:tc>
        <w:tc>
          <w:tcPr>
            <w:tcW w:w="44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7"/>
                <w:szCs w:val="7"/>
                <w:b w:val="1"/>
                <w:bCs w:val="1"/>
                <w:color w:val="auto"/>
                <w:w w:val="97"/>
              </w:rPr>
              <w:t>(4)</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1"/>
                <w:szCs w:val="11"/>
                <w:color w:val="auto"/>
              </w:rPr>
              <w:t>11/10/2027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7.75 %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L+600</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19,402</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19,047</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19,014</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Kinetic Purchaser,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11/10/2026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4,854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02/18/2027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9.25 %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L+700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12,893</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12,636</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12,764</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08/16/2026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9.38 %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L+700</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568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562</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08/16/2026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1,252</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7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color w:val="auto"/>
              </w:rPr>
              <w:t>10/31/2024</w:t>
            </w:r>
          </w:p>
        </w:tc>
        <w:tc>
          <w:tcPr>
            <w:tcW w:w="120" w:type="dxa"/>
            <w:vAlign w:val="bottom"/>
          </w:tcPr>
          <w:p>
            <w:pPr>
              <w:spacing w:after="0"/>
              <w:rPr>
                <w:sz w:val="10"/>
                <w:szCs w:val="10"/>
                <w:color w:val="auto"/>
              </w:rPr>
            </w:pPr>
          </w:p>
        </w:tc>
        <w:tc>
          <w:tcPr>
            <w:tcW w:w="2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8.89 %</w:t>
            </w:r>
          </w:p>
        </w:tc>
        <w:tc>
          <w:tcPr>
            <w:tcW w:w="120" w:type="dxa"/>
            <w:vAlign w:val="bottom"/>
          </w:tcPr>
          <w:p>
            <w:pPr>
              <w:spacing w:after="0"/>
              <w:rPr>
                <w:sz w:val="10"/>
                <w:szCs w:val="10"/>
                <w:color w:val="auto"/>
              </w:rPr>
            </w:pPr>
          </w:p>
        </w:tc>
        <w:tc>
          <w:tcPr>
            <w:tcW w:w="520" w:type="dxa"/>
            <w:vAlign w:val="bottom"/>
          </w:tcPr>
          <w:p>
            <w:pPr>
              <w:jc w:val="center"/>
              <w:ind w:left="306"/>
              <w:spacing w:after="0" w:line="122" w:lineRule="exact"/>
              <w:rPr>
                <w:sz w:val="20"/>
                <w:szCs w:val="20"/>
                <w:color w:val="auto"/>
              </w:rPr>
            </w:pPr>
            <w:r>
              <w:rPr>
                <w:rFonts w:ascii="Times New Roman" w:cs="Times New Roman" w:eastAsia="Times New Roman" w:hAnsi="Times New Roman"/>
                <w:sz w:val="11"/>
                <w:szCs w:val="11"/>
                <w:color w:val="auto"/>
              </w:rPr>
              <w:t>1M</w:t>
            </w:r>
          </w:p>
        </w:tc>
        <w:tc>
          <w:tcPr>
            <w:tcW w:w="4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L+750</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2,060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2,033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2,007</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(PIK 5.00%)</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11/09/2026</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8.50 %</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L+625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9,200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9,036</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9,108</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11/09/2026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1,933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02/03/2026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L+575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2,226</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2,209</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2,181</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02/03/2026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7.42 %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L+575</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305</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02/03/2026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855</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LSF9 Atlantis Holdings,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03/31/2029</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9.30 %</w:t>
            </w:r>
          </w:p>
        </w:tc>
        <w:tc>
          <w:tcPr>
            <w:tcW w:w="120" w:type="dxa"/>
            <w:vAlign w:val="bottom"/>
          </w:tcPr>
          <w:p>
            <w:pPr>
              <w:spacing w:after="0"/>
              <w:rPr>
                <w:sz w:val="11"/>
                <w:szCs w:val="11"/>
                <w:color w:val="auto"/>
              </w:rPr>
            </w:pPr>
          </w:p>
        </w:tc>
        <w:tc>
          <w:tcPr>
            <w:tcW w:w="9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SOFR+725</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6,000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5,765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5,448</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05/14/2026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806</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04/16/2027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694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12/10/2027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7.75 %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L+550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Term Loan I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12/10/2027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2,920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Term Loan II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12/10/2027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8,922</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(134 )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12/10/2027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1,685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LLC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05/23/2024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1,612</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09/28/2027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7.25 %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L+500</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705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678</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09/28/2027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1,175</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09/28/2027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7.25 %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L+500</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282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271</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09/28/2027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1,598</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(61 )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08/19/2026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1,163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Neptune Flood Incorporated</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10/14/2026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7.10 %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L+525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4,558</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4,528</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4,558</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07/09/2026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05/07/2027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7.92 %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L+625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7,109</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6,983</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6,967</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Acquisition,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09/03/2027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L+525</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4,465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4,465</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09/03/2027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597</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05/18/2026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9.32 %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L+700</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15,430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15,215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15,121</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05/18/2026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L+700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2,419</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2,419</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2,371</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PL Acquisitionco,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11/09/2027</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3,236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21"/>
        </w:trPr>
        <w:tc>
          <w:tcPr>
            <w:tcW w:w="30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720" w:type="dxa"/>
            <w:vAlign w:val="bottom"/>
            <w:gridSpan w:val="2"/>
            <w:shd w:val="clear" w:color="auto" w:fill="CCECFF"/>
          </w:tcPr>
          <w:p>
            <w:pPr>
              <w:ind w:left="180"/>
              <w:spacing w:after="0" w:line="122" w:lineRule="exact"/>
              <w:rPr>
                <w:sz w:val="20"/>
                <w:szCs w:val="20"/>
                <w:color w:val="auto"/>
              </w:rPr>
            </w:pPr>
            <w:r>
              <w:rPr>
                <w:rFonts w:ascii="Times New Roman" w:cs="Times New Roman" w:eastAsia="Times New Roman" w:hAnsi="Times New Roman"/>
                <w:sz w:val="11"/>
                <w:szCs w:val="11"/>
                <w:color w:val="auto"/>
              </w:rPr>
              <w:t>08/07/2025</w:t>
            </w:r>
          </w:p>
        </w:tc>
        <w:tc>
          <w:tcPr>
            <w:tcW w:w="12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12.75 %</w:t>
            </w:r>
          </w:p>
        </w:tc>
        <w:tc>
          <w:tcPr>
            <w:tcW w:w="1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00" w:type="dxa"/>
            <w:vAlign w:val="bottom"/>
            <w:gridSpan w:val="2"/>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24,967</w:t>
            </w: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21,747</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40" w:type="dxa"/>
            <w:vAlign w:val="bottom"/>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24,718</w:t>
            </w: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(PIK 11.50%)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 (Revolver)</w:t>
            </w:r>
          </w:p>
        </w:tc>
        <w:tc>
          <w:tcPr>
            <w:tcW w:w="7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color w:val="auto"/>
              </w:rPr>
              <w:t>08/07/2025</w:t>
            </w:r>
          </w:p>
        </w:tc>
        <w:tc>
          <w:tcPr>
            <w:tcW w:w="120" w:type="dxa"/>
            <w:vAlign w:val="bottom"/>
          </w:tcPr>
          <w:p>
            <w:pPr>
              <w:spacing w:after="0"/>
              <w:rPr>
                <w:sz w:val="10"/>
                <w:szCs w:val="10"/>
                <w:color w:val="auto"/>
              </w:rPr>
            </w:pPr>
          </w:p>
        </w:tc>
        <w:tc>
          <w:tcPr>
            <w:tcW w:w="2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12.75 %</w:t>
            </w:r>
          </w:p>
        </w:tc>
        <w:tc>
          <w:tcPr>
            <w:tcW w:w="120" w:type="dxa"/>
            <w:vAlign w:val="bottom"/>
          </w:tcPr>
          <w:p>
            <w:pPr>
              <w:spacing w:after="0"/>
              <w:rPr>
                <w:sz w:val="10"/>
                <w:szCs w:val="10"/>
                <w:color w:val="auto"/>
              </w:rPr>
            </w:pPr>
          </w:p>
        </w:tc>
        <w:tc>
          <w:tcPr>
            <w:tcW w:w="96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2,621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2,283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2,595</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(PIK 11.50%)</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11/19/2026</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7.53 %</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L+625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485</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480</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475</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11/19/2026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1,609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11/19/2026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7.57 %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L+600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115</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112</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11/19/2026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414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09/09/2024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L+500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21,654</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21,470</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20,679</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09/09/2024</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3,590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(162 )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Radius Aerospace, Inc.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03/31/2025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7.62 %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L+575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742</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742</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731</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03/31/2025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1,485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1,050</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02/28/2028</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8.20 %</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SOFR+600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5,985</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5,897</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5,746</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01/29/2026</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8.25 %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L+600</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376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366</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01/29/2026</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751</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12/20/2024</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6.50 %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L+550</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06/20/2025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364</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03/10/2025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7.82 %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L+625</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12,880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12,661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12,623</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01/03/2025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732</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12/20/2024</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L+550</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598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592</w:t>
            </w:r>
          </w:p>
        </w:tc>
        <w:tc>
          <w:tcPr>
            <w:tcW w:w="0" w:type="dxa"/>
            <w:vAlign w:val="bottom"/>
          </w:tcPr>
          <w:p>
            <w:pPr>
              <w:spacing w:after="0"/>
              <w:rPr>
                <w:sz w:val="1"/>
                <w:szCs w:val="1"/>
                <w:color w:val="auto"/>
              </w:rPr>
            </w:pPr>
          </w:p>
        </w:tc>
      </w:tr>
      <w:tr>
        <w:trPr>
          <w:trHeight w:val="121"/>
        </w:trPr>
        <w:tc>
          <w:tcPr>
            <w:tcW w:w="30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720" w:type="dxa"/>
            <w:vAlign w:val="bottom"/>
            <w:gridSpan w:val="2"/>
            <w:shd w:val="clear" w:color="auto" w:fill="CCECFF"/>
          </w:tcPr>
          <w:p>
            <w:pPr>
              <w:ind w:left="180"/>
              <w:spacing w:after="0" w:line="122" w:lineRule="exact"/>
              <w:rPr>
                <w:sz w:val="20"/>
                <w:szCs w:val="20"/>
                <w:color w:val="auto"/>
              </w:rPr>
            </w:pPr>
            <w:r>
              <w:rPr>
                <w:rFonts w:ascii="Times New Roman" w:cs="Times New Roman" w:eastAsia="Times New Roman" w:hAnsi="Times New Roman"/>
                <w:sz w:val="11"/>
                <w:szCs w:val="11"/>
                <w:color w:val="auto"/>
              </w:rPr>
              <w:t>07/14/2025</w:t>
            </w:r>
          </w:p>
        </w:tc>
        <w:tc>
          <w:tcPr>
            <w:tcW w:w="120" w:type="dxa"/>
            <w:vAlign w:val="bottom"/>
            <w:shd w:val="clear" w:color="auto" w:fill="CCECFF"/>
          </w:tcPr>
          <w:p>
            <w:pPr>
              <w:spacing w:after="0"/>
              <w:rPr>
                <w:sz w:val="10"/>
                <w:szCs w:val="10"/>
                <w:color w:val="auto"/>
              </w:rPr>
            </w:pPr>
          </w:p>
        </w:tc>
        <w:tc>
          <w:tcPr>
            <w:tcW w:w="24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8.67 %</w:t>
            </w: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center"/>
              <w:ind w:left="306"/>
              <w:spacing w:after="0" w:line="122" w:lineRule="exact"/>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L+700</w:t>
            </w:r>
          </w:p>
        </w:tc>
        <w:tc>
          <w:tcPr>
            <w:tcW w:w="900" w:type="dxa"/>
            <w:vAlign w:val="bottom"/>
            <w:gridSpan w:val="2"/>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4,710</w:t>
            </w: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40" w:type="dxa"/>
            <w:vAlign w:val="bottom"/>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4,652</w:t>
            </w:r>
          </w:p>
        </w:tc>
        <w:tc>
          <w:tcPr>
            <w:tcW w:w="1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40" w:type="dxa"/>
            <w:vAlign w:val="bottom"/>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4,639</w:t>
            </w: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(PIK 1.00%)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 (Revolver)</w:t>
            </w:r>
          </w:p>
        </w:tc>
        <w:tc>
          <w:tcPr>
            <w:tcW w:w="7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color w:val="auto"/>
              </w:rPr>
              <w:t>07/14/2025</w:t>
            </w:r>
          </w:p>
        </w:tc>
        <w:tc>
          <w:tcPr>
            <w:tcW w:w="120" w:type="dxa"/>
            <w:vAlign w:val="bottom"/>
          </w:tcPr>
          <w:p>
            <w:pPr>
              <w:spacing w:after="0"/>
              <w:rPr>
                <w:sz w:val="10"/>
                <w:szCs w:val="10"/>
                <w:color w:val="auto"/>
              </w:rPr>
            </w:pPr>
          </w:p>
        </w:tc>
        <w:tc>
          <w:tcPr>
            <w:tcW w:w="24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7.01 %</w:t>
            </w:r>
          </w:p>
        </w:tc>
        <w:tc>
          <w:tcPr>
            <w:tcW w:w="120" w:type="dxa"/>
            <w:vAlign w:val="bottom"/>
          </w:tcPr>
          <w:p>
            <w:pPr>
              <w:spacing w:after="0"/>
              <w:rPr>
                <w:sz w:val="10"/>
                <w:szCs w:val="10"/>
                <w:color w:val="auto"/>
              </w:rPr>
            </w:pPr>
          </w:p>
        </w:tc>
        <w:tc>
          <w:tcPr>
            <w:tcW w:w="520" w:type="dxa"/>
            <w:vAlign w:val="bottom"/>
          </w:tcPr>
          <w:p>
            <w:pPr>
              <w:jc w:val="center"/>
              <w:ind w:left="306"/>
              <w:spacing w:after="0" w:line="122" w:lineRule="exact"/>
              <w:rPr>
                <w:sz w:val="20"/>
                <w:szCs w:val="20"/>
                <w:color w:val="auto"/>
              </w:rPr>
            </w:pPr>
            <w:r>
              <w:rPr>
                <w:rFonts w:ascii="Times New Roman" w:cs="Times New Roman" w:eastAsia="Times New Roman" w:hAnsi="Times New Roman"/>
                <w:sz w:val="11"/>
                <w:szCs w:val="11"/>
                <w:color w:val="auto"/>
              </w:rPr>
              <w:t>3M</w:t>
            </w:r>
          </w:p>
        </w:tc>
        <w:tc>
          <w:tcPr>
            <w:tcW w:w="4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L+600</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(PIK 1.00%)</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07/14/2025</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06/14/2029</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7.90 %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L+575</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19,800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19,504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19,503</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06/14/2029</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7.90 %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L+575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Seaway Buyer, LLC (Revolver)</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06/14/2029</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Shiftkey,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06/21/2027</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7.96 %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L+575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18,000</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17,821</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17,820</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10.75 %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L+850</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31,884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31,160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31,406</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10.75 %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L+850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1,131</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1,131</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1,114</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12/18/2025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1,845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05/03/2024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8.75 %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L+650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1,129</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1,129</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1,123</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05/03/2024</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887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01/17/2024</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1,665</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(63 )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02/26/2025</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6.75 %</w:t>
            </w:r>
          </w:p>
        </w:tc>
        <w:tc>
          <w:tcPr>
            <w:tcW w:w="120" w:type="dxa"/>
            <w:vAlign w:val="bottom"/>
          </w:tcPr>
          <w:p>
            <w:pPr>
              <w:spacing w:after="0"/>
              <w:rPr>
                <w:sz w:val="11"/>
                <w:szCs w:val="11"/>
                <w:color w:val="auto"/>
              </w:rPr>
            </w:pPr>
          </w:p>
        </w:tc>
        <w:tc>
          <w:tcPr>
            <w:tcW w:w="520" w:type="dxa"/>
            <w:vAlign w:val="bottom"/>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L+525</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12,049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11,970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12,049</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03/01/2028</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1M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L+575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7,841</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7,728</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7,638</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03/01/2023</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4,671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 - Funded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03/01/2028</w:t>
            </w:r>
          </w:p>
        </w:tc>
        <w:tc>
          <w:tcPr>
            <w:tcW w:w="120" w:type="dxa"/>
            <w:vAlign w:val="bottom"/>
            <w:shd w:val="clear" w:color="auto" w:fill="CCECFF"/>
          </w:tcPr>
          <w:p>
            <w:pPr>
              <w:spacing w:after="0"/>
              <w:rPr>
                <w:sz w:val="11"/>
                <w:szCs w:val="11"/>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7.38 %</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center"/>
              <w:ind w:left="306"/>
              <w:spacing w:after="0"/>
              <w:rPr>
                <w:sz w:val="20"/>
                <w:szCs w:val="20"/>
                <w:color w:val="auto"/>
              </w:rPr>
            </w:pPr>
            <w:r>
              <w:rPr>
                <w:rFonts w:ascii="Times New Roman" w:cs="Times New Roman" w:eastAsia="Times New Roman" w:hAnsi="Times New Roman"/>
                <w:sz w:val="11"/>
                <w:szCs w:val="11"/>
                <w:color w:val="auto"/>
              </w:rPr>
              <w:t>3M</w:t>
            </w: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L+575</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187</w:t>
            </w: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Spendmend Holdings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03/01/2028</w:t>
            </w:r>
          </w:p>
        </w:tc>
        <w:tc>
          <w:tcPr>
            <w:tcW w:w="120" w:type="dxa"/>
            <w:vAlign w:val="bottom"/>
          </w:tcPr>
          <w:p>
            <w:pPr>
              <w:spacing w:after="0"/>
              <w:rPr>
                <w:sz w:val="11"/>
                <w:szCs w:val="11"/>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1,215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08"/>
        </w:trPr>
        <w:tc>
          <w:tcPr>
            <w:tcW w:w="306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System Planning and Analysis, Inc. (f/k/a Management Consulting &amp;</w:t>
            </w: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24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08/16/2027</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8.83 %</w:t>
            </w: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SOFR+600</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6,206</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6,094</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6,107</w:t>
            </w:r>
          </w:p>
        </w:tc>
        <w:tc>
          <w:tcPr>
            <w:tcW w:w="0" w:type="dxa"/>
            <w:vAlign w:val="bottom"/>
          </w:tcPr>
          <w:p>
            <w:pPr>
              <w:spacing w:after="0"/>
              <w:rPr>
                <w:sz w:val="1"/>
                <w:szCs w:val="1"/>
                <w:color w:val="auto"/>
              </w:rPr>
            </w:pPr>
          </w:p>
        </w:tc>
      </w:tr>
      <w:tr>
        <w:trPr>
          <w:trHeight w:val="108"/>
        </w:trPr>
        <w:tc>
          <w:tcPr>
            <w:tcW w:w="306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System Planning and Analysis, Inc. - (Revolver) </w:t>
            </w:r>
            <w:r>
              <w:rPr>
                <w:rFonts w:ascii="Times New Roman" w:cs="Times New Roman" w:eastAsia="Times New Roman" w:hAnsi="Times New Roman"/>
                <w:sz w:val="12"/>
                <w:szCs w:val="12"/>
                <w:color w:val="auto"/>
                <w:vertAlign w:val="superscript"/>
              </w:rPr>
              <w:t>(7)</w:t>
            </w:r>
            <w:r>
              <w:rPr>
                <w:rFonts w:ascii="Times New Roman" w:cs="Times New Roman" w:eastAsia="Times New Roman" w:hAnsi="Times New Roman"/>
                <w:sz w:val="9"/>
                <w:szCs w:val="9"/>
                <w:color w:val="auto"/>
              </w:rPr>
              <w:t xml:space="preserve"> (f/k/a</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Management Consulting &amp; Research,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08/16/2027</w:t>
            </w:r>
          </w:p>
        </w:tc>
        <w:tc>
          <w:tcPr>
            <w:tcW w:w="12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2,925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03/01/2026</w:t>
            </w:r>
          </w:p>
        </w:tc>
        <w:tc>
          <w:tcPr>
            <w:tcW w:w="120" w:type="dxa"/>
            <w:vAlign w:val="bottom"/>
            <w:shd w:val="clear" w:color="auto" w:fill="CCECFF"/>
          </w:tcPr>
          <w:p>
            <w:pPr>
              <w:spacing w:after="0"/>
              <w:rPr>
                <w:sz w:val="12"/>
                <w:szCs w:val="12"/>
                <w:color w:val="auto"/>
              </w:rPr>
            </w:pP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1" w:name="page12"/>
    <w:bookmarkEnd w:id="11"/>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40" w:type="dxa"/>
            <w:vAlign w:val="bottom"/>
          </w:tcPr>
          <w:p>
            <w:pPr>
              <w:spacing w:after="0"/>
              <w:rPr>
                <w:sz w:val="9"/>
                <w:szCs w:val="9"/>
                <w:color w:val="auto"/>
              </w:rPr>
            </w:pPr>
          </w:p>
        </w:tc>
        <w:tc>
          <w:tcPr>
            <w:tcW w:w="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48"/>
        </w:trPr>
        <w:tc>
          <w:tcPr>
            <w:tcW w:w="3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6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40" w:type="dxa"/>
            <w:vAlign w:val="bottom"/>
          </w:tcPr>
          <w:p>
            <w:pPr>
              <w:spacing w:after="0"/>
              <w:rPr>
                <w:sz w:val="12"/>
                <w:szCs w:val="12"/>
                <w:color w:val="auto"/>
              </w:rPr>
            </w:pP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2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07/27/2026</w:t>
            </w:r>
          </w:p>
        </w:tc>
        <w:tc>
          <w:tcPr>
            <w:tcW w:w="260" w:type="dxa"/>
            <w:vAlign w:val="bottom"/>
            <w:shd w:val="clear" w:color="auto" w:fill="CCECFF"/>
          </w:tcPr>
          <w:p>
            <w:pPr>
              <w:spacing w:after="0"/>
              <w:rPr>
                <w:sz w:val="11"/>
                <w:szCs w:val="11"/>
                <w:color w:val="auto"/>
              </w:rPr>
            </w:pPr>
          </w:p>
        </w:tc>
        <w:tc>
          <w:tcPr>
            <w:tcW w:w="24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240" w:type="dxa"/>
            <w:vAlign w:val="bottom"/>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w w:val="86"/>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24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4,909</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4,816</w:t>
            </w: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07/27/2026</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08/30/2027</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7.01 %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08/30/2027</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08/30/2027</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03/26/2026</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7.67 %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03/26/2026</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06/16/2025</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8.76 %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06/16/2025</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04/01/2026</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05/24/2027</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7.45 %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23,441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Unique Indoor Comfort, LLC </w:t>
            </w:r>
            <w:r>
              <w:rPr>
                <w:rFonts w:ascii="Times New Roman" w:cs="Times New Roman" w:eastAsia="Times New Roman" w:hAnsi="Times New Roman"/>
                <w:sz w:val="14"/>
                <w:szCs w:val="14"/>
                <w:color w:val="auto"/>
                <w:vertAlign w:val="superscript"/>
              </w:rPr>
              <w:t>(7)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05/24/2027</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(150 )</w:t>
            </w: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05/24/2027</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03/31/2027</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25,238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24,727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02/27/2026</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7.54 %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Term Loan C </w:t>
            </w:r>
            <w:r>
              <w:rPr>
                <w:rFonts w:ascii="Times New Roman" w:cs="Times New Roman" w:eastAsia="Times New Roman" w:hAnsi="Times New Roman"/>
                <w:sz w:val="14"/>
                <w:szCs w:val="14"/>
                <w:color w:val="auto"/>
                <w:vertAlign w:val="superscript"/>
              </w:rPr>
              <w:t>(7)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05/11/2023</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 (Revolver)</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02/27/2026</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6.99 %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02/27/2026</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03/01/2024</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8.28 %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14,903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Zips Car Wash, LLC Term Loan </w:t>
            </w:r>
            <w:r>
              <w:rPr>
                <w:rFonts w:ascii="Times New Roman" w:cs="Times New Roman" w:eastAsia="Times New Roman" w:hAnsi="Times New Roman"/>
                <w:sz w:val="14"/>
                <w:szCs w:val="14"/>
                <w:color w:val="auto"/>
                <w:vertAlign w:val="superscript"/>
              </w:rPr>
              <w:t>(7)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03/01/2024</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29"/>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677,462</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top w:val="single" w:sz="8" w:color="auto"/>
              <w:bottom w:val="single" w:sz="8" w:color="auto"/>
            </w:tcBorders>
            <w:shd w:val="clear" w:color="auto" w:fill="CCECFF"/>
          </w:tcPr>
          <w:p>
            <w:pPr>
              <w:spacing w:after="0"/>
              <w:rPr>
                <w:sz w:val="11"/>
                <w:szCs w:val="11"/>
                <w:color w:val="auto"/>
              </w:rPr>
            </w:pP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675,315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Debt—19.5%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05/07/2029</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11.19 %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16,539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Best Practice Associates LLC</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06/29/2027</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10.04 %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04/03/2024</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11.50 %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20,270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08/19/2029</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9.75 %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7,430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07/06/2026</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9.92 %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32,149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30,794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09/29/2024</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9.73 %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16,363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02/04/2027</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11.12 %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08/17/2026</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8.59 %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14,930</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125,322</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123,143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Notes—5.2%</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Flock Financial, LLC</w:t>
            </w:r>
          </w:p>
        </w:tc>
        <w:tc>
          <w:tcPr>
            <w:tcW w:w="74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05/26/2027</w:t>
            </w: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80" w:type="dxa"/>
            <w:vAlign w:val="bottom"/>
            <w:tcBorders>
              <w:bottom w:val="single" w:sz="8" w:color="CCECFF"/>
            </w:tcBorders>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12.50 %</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34,000</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33,157</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33,150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33,157</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Interests—1.1%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8.00 %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12.00 %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TWD Parent Holdings, LLC</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4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5,026</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Interests/Warrants—19.4%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7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04/10/2024</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Athletico Holdings,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9,357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Atlas Investment Aggregator,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3,562,500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0"/>
                <w:szCs w:val="10"/>
                <w:color w:val="auto"/>
              </w:rPr>
            </w:pPr>
          </w:p>
        </w:tc>
        <w:tc>
          <w:tcPr>
            <w:tcW w:w="960" w:type="dxa"/>
            <w:vAlign w:val="bottom"/>
            <w:gridSpan w:val="2"/>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9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26,360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2,782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Delta InvestCo LP</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Telecommunications</w:t>
            </w:r>
          </w:p>
        </w:tc>
        <w:tc>
          <w:tcPr>
            <w:tcW w:w="1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698,889</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684</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1,271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tcPr>
          <w:p>
            <w:pPr>
              <w:ind w:left="20"/>
              <w:spacing w:after="0" w:line="117" w:lineRule="exact"/>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3"/>
                <w:szCs w:val="13"/>
                <w:color w:val="auto"/>
                <w:vertAlign w:val="superscript"/>
              </w:rPr>
              <w:t>(7)</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Telecommunications</w:t>
            </w:r>
          </w:p>
        </w:tc>
        <w:tc>
          <w:tcPr>
            <w:tcW w:w="120" w:type="dxa"/>
            <w:vAlign w:val="bottom"/>
          </w:tcPr>
          <w:p>
            <w:pPr>
              <w:spacing w:after="0"/>
              <w:rPr>
                <w:sz w:val="10"/>
                <w:szCs w:val="10"/>
                <w:color w:val="auto"/>
              </w:rPr>
            </w:pPr>
          </w:p>
        </w:tc>
        <w:tc>
          <w:tcPr>
            <w:tcW w:w="960" w:type="dxa"/>
            <w:vAlign w:val="bottom"/>
            <w:gridSpan w:val="2"/>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442,155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4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(7), (9)</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1,458,333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6,384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II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810,645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3,100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Building Materials</w:t>
            </w:r>
          </w:p>
        </w:tc>
        <w:tc>
          <w:tcPr>
            <w:tcW w:w="1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675,325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750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0"/>
                <w:szCs w:val="10"/>
                <w:color w:val="auto"/>
              </w:rPr>
            </w:pPr>
          </w:p>
        </w:tc>
        <w:tc>
          <w:tcPr>
            <w:tcW w:w="9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5,346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4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2"/>
                <w:szCs w:val="12"/>
                <w:color w:val="auto"/>
              </w:rPr>
            </w:pP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1,600,000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-5463540</wp:posOffset>
            </wp:positionV>
            <wp:extent cx="68580" cy="93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-5463540</wp:posOffset>
            </wp:positionV>
            <wp:extent cx="6858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-4589145</wp:posOffset>
            </wp:positionV>
            <wp:extent cx="6858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-4589145</wp:posOffset>
            </wp:positionV>
            <wp:extent cx="68580" cy="93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-4408805</wp:posOffset>
            </wp:positionV>
            <wp:extent cx="6858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-3277235</wp:posOffset>
            </wp:positionV>
            <wp:extent cx="6858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-3277235</wp:posOffset>
            </wp:positionV>
            <wp:extent cx="6858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 w:name="page13"/>
    <w:bookmarkEnd w:id="12"/>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6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040" w:type="dxa"/>
            <w:vAlign w:val="bottom"/>
            <w:tcBorders>
              <w:top w:val="single" w:sz="8" w:color="auto"/>
            </w:tcBorders>
            <w:gridSpan w:val="2"/>
          </w:tcPr>
          <w:p>
            <w:pPr>
              <w:ind w:left="20"/>
              <w:spacing w:after="0" w:line="97" w:lineRule="exact"/>
              <w:rPr>
                <w:sz w:val="20"/>
                <w:szCs w:val="20"/>
                <w:color w:val="auto"/>
              </w:rPr>
            </w:pPr>
            <w:r>
              <w:rPr>
                <w:rFonts w:ascii="Times New Roman" w:cs="Times New Roman" w:eastAsia="Times New Roman" w:hAnsi="Times New Roman"/>
                <w:sz w:val="11"/>
                <w:szCs w:val="11"/>
                <w:color w:val="auto"/>
              </w:rPr>
              <w:t>Icon Partners V C, L.P.</w:t>
            </w:r>
          </w:p>
        </w:tc>
        <w:tc>
          <w:tcPr>
            <w:tcW w:w="120" w:type="dxa"/>
            <w:vAlign w:val="bottom"/>
          </w:tcPr>
          <w:p>
            <w:pPr>
              <w:spacing w:after="0"/>
              <w:rPr>
                <w:sz w:val="8"/>
                <w:szCs w:val="8"/>
                <w:color w:val="auto"/>
              </w:rPr>
            </w:pPr>
          </w:p>
        </w:tc>
        <w:tc>
          <w:tcPr>
            <w:tcW w:w="620" w:type="dxa"/>
            <w:vAlign w:val="bottom"/>
            <w:tcBorders>
              <w:top w:val="single" w:sz="8" w:color="auto"/>
            </w:tcBorders>
          </w:tcPr>
          <w:p>
            <w:pPr>
              <w:ind w:left="500"/>
              <w:spacing w:after="0" w:line="9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44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8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1,111,111</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4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1,111</w:t>
            </w:r>
          </w:p>
        </w:tc>
        <w:tc>
          <w:tcPr>
            <w:tcW w:w="220" w:type="dxa"/>
            <w:vAlign w:val="bottom"/>
          </w:tcPr>
          <w:p>
            <w:pPr>
              <w:spacing w:after="0"/>
              <w:rPr>
                <w:sz w:val="8"/>
                <w:szCs w:val="8"/>
                <w:color w:val="auto"/>
              </w:rPr>
            </w:pPr>
          </w:p>
        </w:tc>
        <w:tc>
          <w:tcPr>
            <w:tcW w:w="200" w:type="dxa"/>
            <w:vAlign w:val="bottom"/>
            <w:tcBorders>
              <w:top w:val="single" w:sz="8" w:color="auto"/>
            </w:tcBorders>
          </w:tcPr>
          <w:p>
            <w:pPr>
              <w:jc w:val="right"/>
              <w:ind w:right="66"/>
              <w:spacing w:after="0" w:line="9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1,221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388,889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Infogroup Parent Holdings, Inc.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Other Media</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181,495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2,042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(Data Axle, Inc.)</w:t>
            </w:r>
          </w:p>
        </w:tc>
        <w:tc>
          <w:tcPr>
            <w:tcW w:w="120" w:type="dxa"/>
            <w:vAlign w:val="bottom"/>
          </w:tcPr>
          <w:p>
            <w:pPr>
              <w:spacing w:after="0"/>
              <w:rPr>
                <w:sz w:val="12"/>
                <w:szCs w:val="12"/>
                <w:color w:val="auto"/>
              </w:rPr>
            </w:pPr>
          </w:p>
        </w:tc>
        <w:tc>
          <w:tcPr>
            <w:tcW w:w="620" w:type="dxa"/>
            <w:vAlign w:val="bottom"/>
            <w:vMerge w:val="restart"/>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40" w:type="dxa"/>
            <w:vAlign w:val="bottom"/>
            <w:gridSpan w:val="2"/>
            <w:shd w:val="clear" w:color="auto" w:fill="CCECFF"/>
          </w:tcPr>
          <w:p>
            <w:pPr>
              <w:ind w:left="20"/>
              <w:spacing w:after="0" w:line="107" w:lineRule="exact"/>
              <w:rPr>
                <w:sz w:val="20"/>
                <w:szCs w:val="20"/>
                <w:color w:val="auto"/>
              </w:rPr>
            </w:pPr>
            <w:r>
              <w:rPr>
                <w:rFonts w:ascii="Times New Roman" w:cs="Times New Roman" w:eastAsia="Times New Roman" w:hAnsi="Times New Roman"/>
                <w:sz w:val="11"/>
                <w:szCs w:val="11"/>
                <w:color w:val="auto"/>
              </w:rPr>
              <w:t>Ironclad Holdco, LLC</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304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40" w:type="dxa"/>
            <w:vAlign w:val="bottom"/>
            <w:gridSpan w:val="2"/>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ITC Infusion Co-invest, LP</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82,895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40" w:type="dxa"/>
            <w:vAlign w:val="bottom"/>
            <w:gridSpan w:val="2"/>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ITC Rumba, LLC</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375,675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21,863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04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(Cano Health,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40" w:type="dxa"/>
            <w:vAlign w:val="bottom"/>
            <w:gridSpan w:val="2"/>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4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8"/>
                <w:szCs w:val="8"/>
                <w:color w:val="auto"/>
              </w:rPr>
            </w:pP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4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tcPr>
          <w:p>
            <w:pPr>
              <w:spacing w:after="0"/>
              <w:rPr>
                <w:sz w:val="8"/>
                <w:szCs w:val="8"/>
                <w:color w:val="auto"/>
              </w:rPr>
            </w:pPr>
          </w:p>
        </w:tc>
        <w:tc>
          <w:tcPr>
            <w:tcW w:w="96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2,688</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783</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Kentucky Racing Holdco, LLC (Warrants)</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Kinetic Purchaser, LLC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1,308,814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KL Stockton Co-Invest LP</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04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040" w:type="dxa"/>
            <w:vAlign w:val="bottom"/>
            <w:gridSpan w:val="2"/>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44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84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5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50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363,656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273,143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Intermidiate Holdings II,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815,385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3,920,145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4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NEPRT Parent Holdings, LLC</w:t>
            </w:r>
          </w:p>
        </w:tc>
        <w:tc>
          <w:tcPr>
            <w:tcW w:w="120" w:type="dxa"/>
            <w:vAlign w:val="bottom"/>
          </w:tcPr>
          <w:p>
            <w:pPr>
              <w:spacing w:after="0"/>
              <w:rPr>
                <w:sz w:val="8"/>
                <w:szCs w:val="8"/>
                <w:color w:val="auto"/>
              </w:rPr>
            </w:pP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4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8"/>
                <w:szCs w:val="8"/>
                <w:color w:val="auto"/>
              </w:rPr>
            </w:pPr>
          </w:p>
        </w:tc>
        <w:tc>
          <w:tcPr>
            <w:tcW w:w="96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1,299</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1,261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583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(Recteq,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North Haven Saints Equity Holdings, LP</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351,553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tcPr>
          <w:p>
            <w:pPr>
              <w:spacing w:after="0"/>
              <w:rPr>
                <w:sz w:val="12"/>
                <w:szCs w:val="12"/>
                <w:color w:val="auto"/>
              </w:rPr>
            </w:pPr>
          </w:p>
        </w:tc>
        <w:tc>
          <w:tcPr>
            <w:tcW w:w="620" w:type="dxa"/>
            <w:vAlign w:val="bottom"/>
            <w:vMerge w:val="restart"/>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98,286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40" w:type="dxa"/>
            <w:vAlign w:val="bottom"/>
            <w:gridSpan w:val="2"/>
            <w:shd w:val="clear" w:color="auto" w:fill="CCECFF"/>
          </w:tcPr>
          <w:p>
            <w:pPr>
              <w:ind w:left="20"/>
              <w:spacing w:after="0" w:line="107" w:lineRule="exact"/>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3040" w:type="dxa"/>
            <w:vAlign w:val="bottom"/>
            <w:gridSpan w:val="2"/>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40" w:type="dxa"/>
            <w:vAlign w:val="bottom"/>
            <w:gridSpan w:val="2"/>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4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OHCP V BC COI, L.P.</w:t>
            </w:r>
          </w:p>
        </w:tc>
        <w:tc>
          <w:tcPr>
            <w:tcW w:w="120" w:type="dxa"/>
            <w:vAlign w:val="bottom"/>
          </w:tcPr>
          <w:p>
            <w:pPr>
              <w:spacing w:after="0"/>
              <w:rPr>
                <w:sz w:val="8"/>
                <w:szCs w:val="8"/>
                <w:color w:val="auto"/>
              </w:rPr>
            </w:pP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4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8"/>
                <w:szCs w:val="8"/>
                <w:color w:val="auto"/>
              </w:rPr>
            </w:pPr>
          </w:p>
        </w:tc>
        <w:tc>
          <w:tcPr>
            <w:tcW w:w="96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446,250</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446</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303,750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4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PennantPark-TSO Senior Loan Fund II, LP</w:t>
            </w:r>
          </w:p>
        </w:tc>
        <w:tc>
          <w:tcPr>
            <w:tcW w:w="120" w:type="dxa"/>
            <w:vAlign w:val="bottom"/>
          </w:tcPr>
          <w:p>
            <w:pPr>
              <w:spacing w:after="0"/>
              <w:rPr>
                <w:sz w:val="8"/>
                <w:szCs w:val="8"/>
                <w:color w:val="auto"/>
              </w:rPr>
            </w:pP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4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8"/>
                <w:szCs w:val="8"/>
                <w:color w:val="auto"/>
              </w:rPr>
            </w:pPr>
          </w:p>
        </w:tc>
        <w:tc>
          <w:tcPr>
            <w:tcW w:w="96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15,038,871</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15,039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15,363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1"/>
              </w:rPr>
              <w:t>Retail</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040" w:type="dxa"/>
            <w:vAlign w:val="bottom"/>
            <w:gridSpan w:val="2"/>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RFMG Parent, LP</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1,050,000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(Rancho Health MSO, Inc.)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SBI Holdings Investments LLC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36,585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Topco, LP</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 L2 Holdings,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881,966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StellPen Holdings, LLC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153,846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40" w:type="dxa"/>
            <w:vAlign w:val="bottom"/>
            <w:gridSpan w:val="2"/>
          </w:tcPr>
          <w:p>
            <w:pPr>
              <w:ind w:left="100"/>
              <w:spacing w:after="0" w:line="117" w:lineRule="exact"/>
              <w:rPr>
                <w:sz w:val="20"/>
                <w:szCs w:val="20"/>
                <w:color w:val="auto"/>
              </w:rPr>
            </w:pPr>
            <w:r>
              <w:rPr>
                <w:rFonts w:ascii="Times New Roman" w:cs="Times New Roman" w:eastAsia="Times New Roman" w:hAnsi="Times New Roman"/>
                <w:sz w:val="11"/>
                <w:szCs w:val="11"/>
                <w:color w:val="auto"/>
              </w:rPr>
              <w:t>(CF512, Inc.)</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531,293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(7), (9)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364,151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304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color w:val="auto"/>
              </w:rPr>
              <w:t>(The Vertex Companies, LLC)</w:t>
            </w: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44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84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5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50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4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U.S. Well Services, Inc. - Class A </w:t>
            </w:r>
            <w:r>
              <w:rPr>
                <w:rFonts w:ascii="Times New Roman" w:cs="Times New Roman" w:eastAsia="Times New Roman" w:hAnsi="Times New Roman"/>
                <w:sz w:val="11"/>
                <w:szCs w:val="11"/>
                <w:color w:val="auto"/>
                <w:vertAlign w:val="superscript"/>
              </w:rPr>
              <w:t>(5), (11)</w:t>
            </w:r>
          </w:p>
        </w:tc>
        <w:tc>
          <w:tcPr>
            <w:tcW w:w="120" w:type="dxa"/>
            <w:vAlign w:val="bottom"/>
          </w:tcPr>
          <w:p>
            <w:pPr>
              <w:spacing w:after="0"/>
              <w:rPr>
                <w:sz w:val="8"/>
                <w:szCs w:val="8"/>
                <w:color w:val="auto"/>
              </w:rPr>
            </w:pP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4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8"/>
                <w:szCs w:val="8"/>
                <w:color w:val="auto"/>
              </w:rPr>
            </w:pPr>
          </w:p>
        </w:tc>
        <w:tc>
          <w:tcPr>
            <w:tcW w:w="96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360,343</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3,022</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338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WCP Ivyrehab QP CF Feeder, LP</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4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0"/>
                <w:szCs w:val="10"/>
                <w:color w:val="auto"/>
              </w:rPr>
            </w:pPr>
          </w:p>
        </w:tc>
        <w:tc>
          <w:tcPr>
            <w:tcW w:w="96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3,762,257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WCP Ivyrehab QP CF Feeder, LP - Unfunded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Wildcat Parent, LP</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(Wildcat Buyerco, Inc.)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81,000</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122,653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4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921,967</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961,032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780" w:type="dxa"/>
            <w:vAlign w:val="bottom"/>
            <w:gridSpan w:val="4"/>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Investments in Non-Controlled, Affiliated Portfolio Companies—7.8% </w:t>
            </w:r>
            <w:r>
              <w:rPr>
                <w:rFonts w:ascii="Times New Roman" w:cs="Times New Roman" w:eastAsia="Times New Roman" w:hAnsi="Times New Roman"/>
                <w:sz w:val="11"/>
                <w:szCs w:val="11"/>
                <w:b w:val="1"/>
                <w:bCs w:val="1"/>
                <w:color w:val="auto"/>
                <w:vertAlign w:val="superscript"/>
              </w:rPr>
              <w:t>(1), (2)</w:t>
            </w:r>
          </w:p>
        </w:tc>
        <w:tc>
          <w:tcPr>
            <w:tcW w:w="2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Interests—7.8%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5,887,236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MidOcean JF Holdings Corp. (Series B)</w:t>
            </w:r>
          </w:p>
        </w:tc>
        <w:tc>
          <w:tcPr>
            <w:tcW w:w="1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CFF"/>
            </w:tcBorders>
            <w:shd w:val="clear" w:color="auto" w:fill="CCECFF"/>
          </w:tcPr>
          <w:p>
            <w:pPr>
              <w:spacing w:after="0"/>
              <w:rPr>
                <w:sz w:val="12"/>
                <w:szCs w:val="12"/>
                <w:color w:val="auto"/>
              </w:rPr>
            </w:pPr>
          </w:p>
        </w:tc>
        <w:tc>
          <w:tcPr>
            <w:tcW w:w="24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143,183</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14,318</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10,937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48,183</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49,097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Interests/Warrants—0%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1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7,444,347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CFF"/>
            </w:tcBorders>
            <w:shd w:val="clear" w:color="auto" w:fill="CCECFF"/>
          </w:tcPr>
          <w:p>
            <w:pPr>
              <w:spacing w:after="0"/>
              <w:rPr>
                <w:sz w:val="12"/>
                <w:szCs w:val="12"/>
                <w:color w:val="auto"/>
              </w:rPr>
            </w:pPr>
          </w:p>
        </w:tc>
        <w:tc>
          <w:tcPr>
            <w:tcW w:w="24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24,790</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27,642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8"/>
        </w:trPr>
        <w:tc>
          <w:tcPr>
            <w:tcW w:w="3040" w:type="dxa"/>
            <w:vAlign w:val="bottom"/>
            <w:gridSpan w:val="2"/>
            <w:shd w:val="clear" w:color="auto" w:fill="CCECFF"/>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w:t>
            </w:r>
          </w:p>
        </w:tc>
        <w:tc>
          <w:tcPr>
            <w:tcW w:w="12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244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72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40" w:type="dxa"/>
            <w:vAlign w:val="bottom"/>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56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60" w:type="dxa"/>
            <w:vAlign w:val="bottom"/>
            <w:tcBorders>
              <w:top w:val="single" w:sz="8" w:color="auto"/>
            </w:tcBorders>
            <w:shd w:val="clear" w:color="auto" w:fill="CCECFF"/>
          </w:tcPr>
          <w:p>
            <w:pPr>
              <w:spacing w:after="0"/>
              <w:rPr>
                <w:sz w:val="7"/>
                <w:szCs w:val="7"/>
                <w:color w:val="auto"/>
              </w:rPr>
            </w:pPr>
          </w:p>
        </w:tc>
        <w:tc>
          <w:tcPr>
            <w:tcW w:w="52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75,825</w:t>
            </w:r>
          </w:p>
        </w:tc>
        <w:tc>
          <w:tcPr>
            <w:tcW w:w="220" w:type="dxa"/>
            <w:vAlign w:val="bottom"/>
            <w:shd w:val="clear" w:color="auto" w:fill="CCECFF"/>
          </w:tcPr>
          <w:p>
            <w:pPr>
              <w:spacing w:after="0"/>
              <w:rPr>
                <w:sz w:val="7"/>
                <w:szCs w:val="7"/>
                <w:color w:val="auto"/>
              </w:rPr>
            </w:pPr>
          </w:p>
        </w:tc>
        <w:tc>
          <w:tcPr>
            <w:tcW w:w="200" w:type="dxa"/>
            <w:vAlign w:val="bottom"/>
            <w:tcBorders>
              <w:top w:val="single" w:sz="8" w:color="auto"/>
            </w:tcBorders>
            <w:shd w:val="clear" w:color="auto" w:fill="CCECFF"/>
          </w:tcPr>
          <w:p>
            <w:pPr>
              <w:spacing w:after="0"/>
              <w:rPr>
                <w:sz w:val="7"/>
                <w:szCs w:val="7"/>
                <w:color w:val="auto"/>
              </w:rPr>
            </w:pPr>
          </w:p>
        </w:tc>
        <w:tc>
          <w:tcPr>
            <w:tcW w:w="5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49,097</w:t>
            </w: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4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vMerge w:val="continue"/>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vMerge w:val="continue"/>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040" w:type="dxa"/>
            <w:vAlign w:val="bottom"/>
            <w:gridSpan w:val="2"/>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48.2%</w:t>
            </w:r>
          </w:p>
        </w:tc>
        <w:tc>
          <w:tcPr>
            <w:tcW w:w="2700" w:type="dxa"/>
            <w:vAlign w:val="bottom"/>
          </w:tcPr>
          <w:p>
            <w:pPr>
              <w:jc w:val="right"/>
              <w:ind w:right="2444"/>
              <w:spacing w:after="0"/>
              <w:rPr>
                <w:sz w:val="20"/>
                <w:szCs w:val="20"/>
                <w:color w:val="auto"/>
              </w:rPr>
            </w:pPr>
            <w:r>
              <w:rPr>
                <w:rFonts w:ascii="Times New Roman" w:cs="Times New Roman" w:eastAsia="Times New Roman" w:hAnsi="Times New Roman"/>
                <w:sz w:val="7"/>
                <w:szCs w:val="7"/>
                <w:b w:val="1"/>
                <w:bCs w:val="1"/>
                <w:color w:val="auto"/>
              </w:rPr>
              <w:t>(1), (2)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4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First Lien Secured Debt—7.4%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03/13/2024</w:t>
            </w:r>
          </w:p>
        </w:tc>
        <w:tc>
          <w:tcPr>
            <w:tcW w:w="2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8.26 %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38,250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46,453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46,453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-7157085</wp:posOffset>
            </wp:positionV>
            <wp:extent cx="71323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-6728460</wp:posOffset>
            </wp:positionV>
            <wp:extent cx="713232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-6471285</wp:posOffset>
            </wp:positionV>
            <wp:extent cx="713232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-5956935</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-5699760</wp:posOffset>
            </wp:positionV>
            <wp:extent cx="713232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-5528310</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-4842510</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-4585335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-4243070</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-4071620</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-2785110</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-2613660</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-2442210</wp:posOffset>
            </wp:positionV>
            <wp:extent cx="192849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284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-2013585</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-702310</wp:posOffset>
            </wp:positionV>
            <wp:extent cx="68580"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3" w:name="page14"/>
    <w:bookmarkEnd w:id="13"/>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(Unaudited)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6481445</wp:posOffset>
            </wp:positionH>
            <wp:positionV relativeFrom="paragraph">
              <wp:posOffset>-6985</wp:posOffset>
            </wp:positionV>
            <wp:extent cx="668655" cy="265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8655"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94"/>
        </w:trPr>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Basis Point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49"/>
        </w:trPr>
        <w:tc>
          <w:tcPr>
            <w:tcW w:w="3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6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Debt—1.0%</w:t>
            </w:r>
          </w:p>
        </w:tc>
        <w:tc>
          <w:tcPr>
            <w:tcW w:w="12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4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Mailsouth Inc.</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04/23/2025</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top w:val="single" w:sz="8" w:color="CCECFF"/>
              <w:bottom w:val="single" w:sz="8" w:color="CCECFF"/>
            </w:tcBorders>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620" w:type="dxa"/>
            <w:vAlign w:val="bottom"/>
            <w:tcBorders>
              <w:top w:val="single" w:sz="8" w:color="CCECFF"/>
              <w:bottom w:val="single" w:sz="8" w:color="CCECFF"/>
            </w:tcBorders>
            <w:shd w:val="clear" w:color="auto" w:fill="CCECFF"/>
          </w:tcPr>
          <w:p>
            <w:pPr>
              <w:spacing w:after="0"/>
              <w:rPr>
                <w:sz w:val="11"/>
                <w:szCs w:val="11"/>
                <w:color w:val="auto"/>
              </w:rPr>
            </w:pPr>
          </w:p>
        </w:tc>
        <w:tc>
          <w:tcPr>
            <w:tcW w:w="260" w:type="dxa"/>
            <w:vAlign w:val="bottom"/>
            <w:tcBorders>
              <w:top w:val="single" w:sz="8" w:color="CCECFF"/>
              <w:bottom w:val="single" w:sz="8" w:color="CCECFF"/>
            </w:tcBorders>
            <w:shd w:val="clear" w:color="auto" w:fill="CCECFF"/>
          </w:tcPr>
          <w:p>
            <w:pPr>
              <w:spacing w:after="0"/>
              <w:rPr>
                <w:sz w:val="11"/>
                <w:szCs w:val="11"/>
                <w:color w:val="auto"/>
              </w:rPr>
            </w:pPr>
          </w:p>
        </w:tc>
        <w:tc>
          <w:tcPr>
            <w:tcW w:w="244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72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840" w:type="dxa"/>
            <w:vAlign w:val="bottom"/>
            <w:tcBorders>
              <w:top w:val="single" w:sz="8" w:color="CCECFF"/>
              <w:bottom w:val="single" w:sz="8" w:color="CCECFF"/>
            </w:tcBorders>
            <w:shd w:val="clear" w:color="auto" w:fill="CCECFF"/>
          </w:tcPr>
          <w:p>
            <w:pPr>
              <w:spacing w:after="0"/>
              <w:rPr>
                <w:sz w:val="11"/>
                <w:szCs w:val="11"/>
                <w:color w:val="auto"/>
              </w:rPr>
            </w:pPr>
          </w:p>
        </w:tc>
        <w:tc>
          <w:tcPr>
            <w:tcW w:w="240" w:type="dxa"/>
            <w:vAlign w:val="bottom"/>
            <w:tcBorders>
              <w:top w:val="single" w:sz="8" w:color="CCECFF"/>
              <w:bottom w:val="single" w:sz="8" w:color="CCECFF"/>
            </w:tcBorders>
            <w:shd w:val="clear" w:color="auto" w:fill="CCECFF"/>
          </w:tcPr>
          <w:p>
            <w:pPr>
              <w:spacing w:after="0"/>
              <w:rPr>
                <w:sz w:val="11"/>
                <w:szCs w:val="11"/>
                <w:color w:val="auto"/>
              </w:rPr>
            </w:pPr>
          </w:p>
        </w:tc>
        <w:tc>
          <w:tcPr>
            <w:tcW w:w="120" w:type="dxa"/>
            <w:vAlign w:val="bottom"/>
            <w:tcBorders>
              <w:top w:val="single" w:sz="8" w:color="CCECFF"/>
              <w:bottom w:val="single" w:sz="8" w:color="CCECFF"/>
            </w:tcBorders>
            <w:shd w:val="clear" w:color="auto" w:fill="CCECFF"/>
          </w:tcPr>
          <w:p>
            <w:pPr>
              <w:spacing w:after="0"/>
              <w:rPr>
                <w:sz w:val="11"/>
                <w:szCs w:val="11"/>
                <w:color w:val="auto"/>
              </w:rPr>
            </w:pPr>
          </w:p>
        </w:tc>
        <w:tc>
          <w:tcPr>
            <w:tcW w:w="560" w:type="dxa"/>
            <w:vAlign w:val="bottom"/>
            <w:tcBorders>
              <w:top w:val="single" w:sz="8" w:color="CCECFF"/>
              <w:bottom w:val="single" w:sz="8" w:color="CCECFF"/>
            </w:tcBorders>
            <w:shd w:val="clear" w:color="auto" w:fill="CCECFF"/>
          </w:tcPr>
          <w:p>
            <w:pPr>
              <w:spacing w:after="0"/>
              <w:rPr>
                <w:sz w:val="11"/>
                <w:szCs w:val="11"/>
                <w:color w:val="auto"/>
              </w:rPr>
            </w:pP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220" w:type="dxa"/>
            <w:vAlign w:val="bottom"/>
            <w:tcBorders>
              <w:top w:val="single" w:sz="8" w:color="CCECFF"/>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6,561</w:t>
            </w: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Debt—13.9%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4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07/31/2027</w:t>
            </w: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80" w:type="dxa"/>
            <w:vAlign w:val="bottom"/>
            <w:tcBorders>
              <w:bottom w:val="single" w:sz="8" w:color="CCECFF"/>
            </w:tcBorders>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9.29 %</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Equity—25.9%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51,151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PennantPark Senior Loan Fund, LLC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49,298,789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49,362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RAM Energy Holdings LLC </w:t>
            </w:r>
            <w:r>
              <w:rPr>
                <w:rFonts w:ascii="Times New Roman" w:cs="Times New Roman" w:eastAsia="Times New Roman" w:hAnsi="Times New Roman"/>
                <w:sz w:val="14"/>
                <w:szCs w:val="14"/>
                <w:color w:val="auto"/>
                <w:vertAlign w:val="superscript"/>
              </w:rPr>
              <w:t>(9)</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Energy and Utilities</w:t>
            </w:r>
          </w:p>
        </w:tc>
        <w:tc>
          <w:tcPr>
            <w:tcW w:w="12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109,469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228,718</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381,904</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304,699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Investments—208.2%</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1,379,696</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1,314,828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Equivalents—4.7%</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13,849</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13,766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29,630</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Equivalents—212.9%</w:t>
            </w:r>
          </w:p>
        </w:tc>
        <w:tc>
          <w:tcPr>
            <w:tcW w:w="120" w:type="dxa"/>
            <w:vAlign w:val="bottom"/>
            <w:tcBorders>
              <w:bottom w:val="single" w:sz="8" w:color="CCECFF"/>
            </w:tcBorders>
            <w:shd w:val="clear" w:color="auto" w:fill="CCECFF"/>
          </w:tcPr>
          <w:p>
            <w:pPr>
              <w:spacing w:after="0"/>
              <w:rPr>
                <w:sz w:val="14"/>
                <w:szCs w:val="14"/>
                <w:color w:val="auto"/>
              </w:rPr>
            </w:pPr>
          </w:p>
        </w:tc>
        <w:tc>
          <w:tcPr>
            <w:tcW w:w="6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CCECFF"/>
            </w:tcBorders>
            <w:shd w:val="clear" w:color="auto" w:fill="CCECFF"/>
          </w:tcPr>
          <w:p>
            <w:pPr>
              <w:spacing w:after="0"/>
              <w:rPr>
                <w:sz w:val="14"/>
                <w:szCs w:val="14"/>
                <w:color w:val="auto"/>
              </w:rPr>
            </w:pPr>
          </w:p>
        </w:tc>
        <w:tc>
          <w:tcPr>
            <w:tcW w:w="24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1,409,326</w:t>
            </w:r>
          </w:p>
        </w:tc>
        <w:tc>
          <w:tcPr>
            <w:tcW w:w="2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1,344,375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04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Assets—(112.9%)</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(712,865 )</w:t>
            </w:r>
          </w:p>
        </w:tc>
        <w:tc>
          <w:tcPr>
            <w:tcW w:w="0" w:type="dxa"/>
            <w:vAlign w:val="bottom"/>
          </w:tcPr>
          <w:p>
            <w:pPr>
              <w:spacing w:after="0"/>
              <w:rPr>
                <w:sz w:val="1"/>
                <w:szCs w:val="1"/>
                <w:color w:val="auto"/>
              </w:rPr>
            </w:pPr>
          </w:p>
        </w:tc>
      </w:tr>
      <w:tr>
        <w:trPr>
          <w:trHeight w:val="175"/>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2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5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5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631,510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-1778000</wp:posOffset>
            </wp:positionV>
            <wp:extent cx="7145020" cy="2012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020" cy="20129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-1490980</wp:posOffset>
            </wp:positionV>
            <wp:extent cx="6858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-959485</wp:posOffset>
            </wp:positionV>
            <wp:extent cx="6858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-770890</wp:posOffset>
            </wp:positionV>
            <wp:extent cx="6858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-410845</wp:posOffset>
            </wp:positionV>
            <wp:extent cx="6858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-222250</wp:posOffset>
            </wp:positionV>
            <wp:extent cx="643255" cy="1117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3255"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left="360" w:right="20" w:hanging="339"/>
        <w:spacing w:after="0" w:line="182" w:lineRule="auto"/>
        <w:tabs>
          <w:tab w:leader="none" w:pos="3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spacing w:after="0" w:line="26" w:lineRule="exact"/>
        <w:rPr>
          <w:rFonts w:ascii="Times New Roman" w:cs="Times New Roman" w:eastAsia="Times New Roman" w:hAnsi="Times New Roman"/>
          <w:sz w:val="20"/>
          <w:szCs w:val="20"/>
          <w:color w:val="auto"/>
          <w:vertAlign w:val="superscript"/>
        </w:rPr>
      </w:pPr>
    </w:p>
    <w:p>
      <w:pPr>
        <w:ind w:left="360" w:right="20" w:hanging="339"/>
        <w:spacing w:after="0" w:line="182" w:lineRule="auto"/>
        <w:tabs>
          <w:tab w:leader="none" w:pos="3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Times New Roman" w:cs="Times New Roman" w:eastAsia="Times New Roman" w:hAnsi="Times New Roman"/>
          <w:sz w:val="20"/>
          <w:szCs w:val="20"/>
          <w:color w:val="auto"/>
          <w:vertAlign w:val="superscript"/>
        </w:rPr>
      </w:pPr>
    </w:p>
    <w:p>
      <w:pPr>
        <w:ind w:left="360" w:hanging="339"/>
        <w:spacing w:after="0" w:line="183" w:lineRule="auto"/>
        <w:tabs>
          <w:tab w:leader="none" w:pos="36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Valued based on our accounting policy (See Note 2).</w:t>
      </w:r>
    </w:p>
    <w:p>
      <w:pPr>
        <w:spacing w:after="0" w:line="37" w:lineRule="exact"/>
        <w:rPr>
          <w:rFonts w:ascii="Times New Roman" w:cs="Times New Roman" w:eastAsia="Times New Roman" w:hAnsi="Times New Roman"/>
          <w:sz w:val="20"/>
          <w:szCs w:val="20"/>
          <w:color w:val="auto"/>
          <w:vertAlign w:val="superscript"/>
        </w:rPr>
      </w:pPr>
    </w:p>
    <w:p>
      <w:pPr>
        <w:ind w:left="360" w:right="80" w:hanging="339"/>
        <w:spacing w:after="0" w:line="182" w:lineRule="auto"/>
        <w:tabs>
          <w:tab w:leader="none" w:pos="36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 w:lineRule="exact"/>
        <w:rPr>
          <w:rFonts w:ascii="Times New Roman" w:cs="Times New Roman" w:eastAsia="Times New Roman" w:hAnsi="Times New Roman"/>
          <w:sz w:val="23"/>
          <w:szCs w:val="23"/>
          <w:color w:val="auto"/>
          <w:vertAlign w:val="superscript"/>
        </w:rPr>
      </w:pPr>
    </w:p>
    <w:p>
      <w:pPr>
        <w:ind w:left="360" w:hanging="339"/>
        <w:spacing w:after="0" w:line="187" w:lineRule="auto"/>
        <w:tabs>
          <w:tab w:leader="none" w:pos="36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The security was not valued using significant unobservable inputs. The value of all other securities was determined using significant unobservable inputs (See Note 5).</w:t>
      </w:r>
    </w:p>
    <w:p>
      <w:pPr>
        <w:spacing w:after="0" w:line="38" w:lineRule="exact"/>
        <w:rPr>
          <w:rFonts w:ascii="Times New Roman" w:cs="Times New Roman" w:eastAsia="Times New Roman" w:hAnsi="Times New Roman"/>
          <w:sz w:val="18"/>
          <w:szCs w:val="18"/>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Non-income producing securities.</w:t>
      </w:r>
    </w:p>
    <w:p>
      <w:pPr>
        <w:spacing w:after="0" w:line="37" w:lineRule="exact"/>
        <w:rPr>
          <w:rFonts w:ascii="Times New Roman" w:cs="Times New Roman" w:eastAsia="Times New Roman" w:hAnsi="Times New Roman"/>
          <w:sz w:val="16"/>
          <w:szCs w:val="16"/>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6"/>
          <w:szCs w:val="16"/>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Non-U.S. company or principal place of business outside the United States.</w:t>
      </w:r>
    </w:p>
    <w:p>
      <w:pPr>
        <w:spacing w:after="0" w:line="37" w:lineRule="exact"/>
        <w:rPr>
          <w:rFonts w:ascii="Times New Roman" w:cs="Times New Roman" w:eastAsia="Times New Roman" w:hAnsi="Times New Roman"/>
          <w:sz w:val="16"/>
          <w:szCs w:val="16"/>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Investment is held through our Taxable Subsidiary (See Note 1).</w:t>
      </w:r>
    </w:p>
    <w:p>
      <w:pPr>
        <w:spacing w:after="0" w:line="37" w:lineRule="exact"/>
        <w:rPr>
          <w:rFonts w:ascii="Times New Roman" w:cs="Times New Roman" w:eastAsia="Times New Roman" w:hAnsi="Times New Roman"/>
          <w:sz w:val="16"/>
          <w:szCs w:val="16"/>
          <w:color w:val="auto"/>
          <w:vertAlign w:val="superscript"/>
        </w:rPr>
      </w:pPr>
    </w:p>
    <w:p>
      <w:pPr>
        <w:ind w:left="360" w:hanging="339"/>
        <w:spacing w:after="0" w:line="180" w:lineRule="auto"/>
        <w:tabs>
          <w:tab w:leader="none" w:pos="36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Par / Shares amount is denominated in British Pounds (£) as denoted.</w:t>
      </w:r>
    </w:p>
    <w:p>
      <w:pPr>
        <w:spacing w:after="0" w:line="37" w:lineRule="exact"/>
        <w:rPr>
          <w:rFonts w:ascii="Times New Roman" w:cs="Times New Roman" w:eastAsia="Times New Roman" w:hAnsi="Times New Roman"/>
          <w:sz w:val="16"/>
          <w:szCs w:val="16"/>
          <w:color w:val="auto"/>
          <w:vertAlign w:val="superscript"/>
        </w:rPr>
      </w:pPr>
    </w:p>
    <w:p>
      <w:pPr>
        <w:ind w:left="360" w:right="40" w:hanging="339"/>
        <w:spacing w:after="0" w:line="186" w:lineRule="auto"/>
        <w:tabs>
          <w:tab w:leader="none" w:pos="3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2022, qualifying assets represent 83% of the Company’s total assets and non-qualifying assets represent 17%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4" w:name="page15"/>
    <w:bookmarkEnd w:id="14"/>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40" w:type="dxa"/>
            <w:vAlign w:val="bottom"/>
          </w:tcPr>
          <w:p>
            <w:pPr>
              <w:spacing w:after="0"/>
              <w:rPr>
                <w:sz w:val="9"/>
                <w:szCs w:val="9"/>
                <w:color w:val="auto"/>
              </w:rPr>
            </w:pPr>
          </w:p>
        </w:tc>
        <w:tc>
          <w:tcPr>
            <w:tcW w:w="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70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20" w:type="dxa"/>
            <w:vAlign w:val="bottom"/>
          </w:tcPr>
          <w:p>
            <w:pPr>
              <w:spacing w:after="0"/>
              <w:rPr>
                <w:sz w:val="12"/>
                <w:szCs w:val="12"/>
                <w:color w:val="auto"/>
              </w:rPr>
            </w:pPr>
          </w:p>
        </w:tc>
        <w:tc>
          <w:tcPr>
            <w:tcW w:w="25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40" w:type="dxa"/>
            <w:vAlign w:val="bottom"/>
          </w:tcPr>
          <w:p>
            <w:pPr>
              <w:spacing w:after="0"/>
              <w:rPr>
                <w:sz w:val="12"/>
                <w:szCs w:val="12"/>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w w:val="96"/>
              </w:rPr>
              <w:t>Index</w:t>
            </w:r>
          </w:p>
        </w:tc>
        <w:tc>
          <w:tcPr>
            <w:tcW w:w="3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7"/>
                <w:szCs w:val="7"/>
                <w:b w:val="1"/>
                <w:bCs w:val="1"/>
                <w:color w:val="auto"/>
                <w:w w:val="97"/>
              </w:rPr>
              <w:t>(4)</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00" w:type="dxa"/>
            <w:vAlign w:val="bottom"/>
            <w:gridSpan w:val="4"/>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w w:val="97"/>
              </w:rPr>
              <w:t xml:space="preserve">Investments in Non-Controlled, Non-Affiliated Portfolio Companies—124.3% </w:t>
            </w:r>
            <w:r>
              <w:rPr>
                <w:rFonts w:ascii="Times New Roman" w:cs="Times New Roman" w:eastAsia="Times New Roman" w:hAnsi="Times New Roman"/>
                <w:sz w:val="14"/>
                <w:szCs w:val="14"/>
                <w:b w:val="1"/>
                <w:bCs w:val="1"/>
                <w:color w:val="auto"/>
                <w:w w:val="97"/>
                <w:vertAlign w:val="superscript"/>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Debt—77.5%</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08/11/2025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9.50 %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L+800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6,815</w:t>
            </w:r>
          </w:p>
        </w:tc>
        <w:tc>
          <w:tcPr>
            <w:tcW w:w="44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05/06/2026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05/06/2026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07/24/2025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07/24/2025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12/21/2023</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15,795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07/21/2027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07/21/2027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07/31/2025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07/31/2025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Term Loan 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01/31/2022</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6,658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07/29/2024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07/29/2024</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06/29/2022</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12/29/2026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02/13/2023</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12/02/2022</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9.75 %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L+850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08/20/2026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08/20/2026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08/20/2026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02/09/2026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Compex Legal Services, Inc.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02/07/2025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02/07/2025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07/13/2027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01/13/2023</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07/13/2027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07/13/2027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08/16/2027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1,847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08/16/2023</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08/16/2027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08/05/2025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05/14/2022</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03/03/2022</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8,041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08/27/2026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13,515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08/27/2026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1,706</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08/27/2026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11/03/2025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9,882</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11/03/2025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03/31/2028</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L+750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8,664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12/23/2025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06/17/2028</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5.50 %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L+475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3,487</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05/14/2026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05/14/2026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05/14/2026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08/10/2027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1,955</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08/10/2023</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08/10/2027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12/31/2022</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12/31/2026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12/10/2024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5.50 %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2,541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12/10/2024</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5.50 %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L+450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12/10/2024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09/22/2028</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4,518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09/22/2027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04/09/2027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13,589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13,341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04/09/2027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08/27/2025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6.49 %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17,220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17,116</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07/09/2023</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12/22/2021</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11,712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 (Revolver)</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12/20/2023</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02/18/2027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29,335</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08/16/2026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08/19/2026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7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color w:val="auto"/>
              </w:rPr>
              <w:t>10/31/2024</w:t>
            </w:r>
          </w:p>
        </w:tc>
        <w:tc>
          <w:tcPr>
            <w:tcW w:w="12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108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520" w:type="dxa"/>
            <w:vAlign w:val="bottom"/>
          </w:tcPr>
          <w:p>
            <w:pPr>
              <w:jc w:val="center"/>
              <w:ind w:left="286"/>
              <w:spacing w:after="0" w:line="122" w:lineRule="exact"/>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L+750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5.00%)</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02/03/2026</w:t>
            </w:r>
          </w:p>
        </w:tc>
        <w:tc>
          <w:tcPr>
            <w:tcW w:w="120" w:type="dxa"/>
            <w:vAlign w:val="bottom"/>
            <w:shd w:val="clear" w:color="auto" w:fill="CCECFF"/>
          </w:tcPr>
          <w:p>
            <w:pPr>
              <w:spacing w:after="0"/>
              <w:rPr>
                <w:sz w:val="12"/>
                <w:szCs w:val="12"/>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4,922</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02/03/2026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72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04/13/2023</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04/13/2023</w:t>
            </w:r>
          </w:p>
        </w:tc>
        <w:tc>
          <w:tcPr>
            <w:tcW w:w="120" w:type="dxa"/>
            <w:vAlign w:val="bottom"/>
          </w:tcPr>
          <w:p>
            <w:pPr>
              <w:spacing w:after="0"/>
              <w:rPr>
                <w:sz w:val="12"/>
                <w:szCs w:val="12"/>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5" w:name="page16"/>
    <w:bookmarkEnd w:id="15"/>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40" w:type="dxa"/>
            <w:vAlign w:val="bottom"/>
          </w:tcPr>
          <w:p>
            <w:pPr>
              <w:spacing w:after="0"/>
              <w:rPr>
                <w:sz w:val="9"/>
                <w:szCs w:val="9"/>
                <w:color w:val="auto"/>
              </w:rPr>
            </w:pPr>
          </w:p>
        </w:tc>
        <w:tc>
          <w:tcPr>
            <w:tcW w:w="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49"/>
        </w:trPr>
        <w:tc>
          <w:tcPr>
            <w:tcW w:w="3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2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w w:val="96"/>
              </w:rPr>
              <w:t>Index</w:t>
            </w:r>
          </w:p>
        </w:tc>
        <w:tc>
          <w:tcPr>
            <w:tcW w:w="320" w:type="dxa"/>
            <w:vAlign w:val="bottom"/>
          </w:tcPr>
          <w:p>
            <w:pPr>
              <w:jc w:val="right"/>
              <w:ind w:right="166"/>
              <w:spacing w:after="0"/>
              <w:rPr>
                <w:sz w:val="20"/>
                <w:szCs w:val="20"/>
                <w:color w:val="auto"/>
              </w:rPr>
            </w:pPr>
            <w:r>
              <w:rPr>
                <w:rFonts w:ascii="Times New Roman" w:cs="Times New Roman" w:eastAsia="Times New Roman" w:hAnsi="Times New Roman"/>
                <w:sz w:val="7"/>
                <w:szCs w:val="7"/>
                <w:b w:val="1"/>
                <w:bCs w:val="1"/>
                <w:color w:val="auto"/>
                <w:w w:val="97"/>
              </w:rPr>
              <w:t>(4)</w:t>
            </w:r>
          </w:p>
        </w:tc>
        <w:tc>
          <w:tcPr>
            <w:tcW w:w="240" w:type="dxa"/>
            <w:vAlign w:val="bottom"/>
          </w:tcPr>
          <w:p>
            <w:pPr>
              <w:spacing w:after="0"/>
              <w:rPr>
                <w:sz w:val="12"/>
                <w:szCs w:val="12"/>
                <w:color w:val="auto"/>
              </w:rPr>
            </w:pP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shd w:val="clear" w:color="auto" w:fill="CCECFF"/>
          </w:tcPr>
          <w:p>
            <w:pPr>
              <w:spacing w:after="0"/>
              <w:rPr>
                <w:sz w:val="11"/>
                <w:szCs w:val="11"/>
                <w:color w:val="auto"/>
              </w:rPr>
            </w:pPr>
          </w:p>
        </w:tc>
        <w:tc>
          <w:tcPr>
            <w:tcW w:w="25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04/16/2027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6,953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08/19/2026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7,561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08/19/2026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07/09/2026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5.75 %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07/09/2023</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07/09/2026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05/07/2027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Acquisition, Inc.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09/03/2027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09/03/2027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05/18/2026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L+600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15,671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(Revolver)</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05/18/2026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05/18/2026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21"/>
        </w:trPr>
        <w:tc>
          <w:tcPr>
            <w:tcW w:w="30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08/07/2025</w:t>
            </w:r>
          </w:p>
        </w:tc>
        <w:tc>
          <w:tcPr>
            <w:tcW w:w="12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23,675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20,421</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22,373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11.50%)</w:t>
            </w:r>
          </w:p>
        </w:tc>
        <w:tc>
          <w:tcPr>
            <w:tcW w:w="5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08/07/2025</w:t>
            </w:r>
          </w:p>
        </w:tc>
        <w:tc>
          <w:tcPr>
            <w:tcW w:w="12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2,461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11.50%)</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shd w:val="clear" w:color="auto" w:fill="CCECFF"/>
          </w:tcPr>
          <w:p>
            <w:pPr>
              <w:spacing w:after="0"/>
              <w:rPr>
                <w:sz w:val="12"/>
                <w:szCs w:val="12"/>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6,188</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6,095</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2,094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 (Revolver)</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(86 )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03/31/2025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(63 )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01/29/2026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Horizons,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06/28/2022</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28,796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28,682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03/10/2025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0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520" w:type="dxa"/>
            <w:vAlign w:val="bottom"/>
          </w:tcPr>
          <w:p>
            <w:pPr>
              <w:jc w:val="center"/>
              <w:ind w:left="286"/>
              <w:spacing w:after="0" w:line="122" w:lineRule="exact"/>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5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9.75 %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L+875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6,520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 Term Loan II</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12/31/2021</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8.50 %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L+750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8.50 %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02/26/2025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14,781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02/26/2022</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L+900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20,972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03/01/2026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07/27/2026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07/27/2026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08/30/2027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4,577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08/30/2027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08/30/2027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(8),(11)</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03/26/2026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15,506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15,347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03/26/2026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04/01/2026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03/31/2027</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L+575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24,293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02/27/2026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L+500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02/27/2022</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02/27/2026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28"/>
        </w:trPr>
        <w:tc>
          <w:tcPr>
            <w:tcW w:w="30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top w:val="single" w:sz="8" w:color="CCECFF"/>
            </w:tcBorders>
          </w:tcPr>
          <w:p>
            <w:pPr>
              <w:spacing w:after="0"/>
              <w:rPr>
                <w:sz w:val="11"/>
                <w:szCs w:val="11"/>
                <w:color w:val="auto"/>
              </w:rPr>
            </w:pPr>
          </w:p>
        </w:tc>
        <w:tc>
          <w:tcPr>
            <w:tcW w:w="600" w:type="dxa"/>
            <w:vAlign w:val="bottom"/>
            <w:tcBorders>
              <w:top w:val="single" w:sz="8" w:color="CCECFF"/>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2580" w:type="dxa"/>
            <w:vAlign w:val="bottom"/>
            <w:tcBorders>
              <w:top w:val="single" w:sz="8" w:color="CCECFF"/>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720" w:type="dxa"/>
            <w:vAlign w:val="bottom"/>
            <w:tcBorders>
              <w:top w:val="single" w:sz="8" w:color="CCECFF"/>
            </w:tcBorders>
          </w:tcPr>
          <w:p>
            <w:pPr>
              <w:spacing w:after="0"/>
              <w:rPr>
                <w:sz w:val="11"/>
                <w:szCs w:val="11"/>
                <w:color w:val="auto"/>
              </w:rPr>
            </w:pPr>
          </w:p>
        </w:tc>
        <w:tc>
          <w:tcPr>
            <w:tcW w:w="240" w:type="dxa"/>
            <w:vAlign w:val="bottom"/>
            <w:tcBorders>
              <w:top w:val="single" w:sz="8" w:color="CCECFF"/>
            </w:tcBorders>
          </w:tcPr>
          <w:p>
            <w:pPr>
              <w:spacing w:after="0"/>
              <w:rPr>
                <w:sz w:val="11"/>
                <w:szCs w:val="11"/>
                <w:color w:val="auto"/>
              </w:rPr>
            </w:pPr>
          </w:p>
        </w:tc>
        <w:tc>
          <w:tcPr>
            <w:tcW w:w="520" w:type="dxa"/>
            <w:vAlign w:val="bottom"/>
            <w:tcBorders>
              <w:top w:val="single" w:sz="8" w:color="CCECFF"/>
            </w:tcBorders>
          </w:tcPr>
          <w:p>
            <w:pPr>
              <w:spacing w:after="0"/>
              <w:rPr>
                <w:sz w:val="11"/>
                <w:szCs w:val="11"/>
                <w:color w:val="auto"/>
              </w:rPr>
            </w:pPr>
          </w:p>
        </w:tc>
        <w:tc>
          <w:tcPr>
            <w:tcW w:w="320" w:type="dxa"/>
            <w:vAlign w:val="bottom"/>
            <w:tcBorders>
              <w:top w:val="single" w:sz="8" w:color="CCECFF"/>
            </w:tcBorders>
          </w:tcPr>
          <w:p>
            <w:pPr>
              <w:spacing w:after="0"/>
              <w:rPr>
                <w:sz w:val="11"/>
                <w:szCs w:val="11"/>
                <w:color w:val="auto"/>
              </w:rPr>
            </w:pPr>
          </w:p>
        </w:tc>
        <w:tc>
          <w:tcPr>
            <w:tcW w:w="240" w:type="dxa"/>
            <w:vAlign w:val="bottom"/>
            <w:tcBorders>
              <w:top w:val="single" w:sz="8" w:color="CCECFF"/>
            </w:tcBorders>
          </w:tcPr>
          <w:p>
            <w:pPr>
              <w:spacing w:after="0"/>
              <w:rPr>
                <w:sz w:val="11"/>
                <w:szCs w:val="11"/>
                <w:color w:val="auto"/>
              </w:rPr>
            </w:pPr>
          </w:p>
        </w:tc>
        <w:tc>
          <w:tcPr>
            <w:tcW w:w="68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509,046</w:t>
            </w:r>
          </w:p>
        </w:tc>
        <w:tc>
          <w:tcPr>
            <w:tcW w:w="220" w:type="dxa"/>
            <w:vAlign w:val="bottom"/>
            <w:tcBorders>
              <w:top w:val="single" w:sz="8" w:color="CCEC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511,405</w:t>
            </w: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Debt—16.2%</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05/07/2029</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9.75 %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L+900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Other Media</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L+925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20,220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08/19/2029</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07/06/2026</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9.25 %</w:t>
            </w:r>
          </w:p>
        </w:tc>
        <w:tc>
          <w:tcPr>
            <w:tcW w:w="520" w:type="dxa"/>
            <w:vAlign w:val="bottom"/>
            <w:shd w:val="clear" w:color="auto" w:fill="CCECFF"/>
          </w:tcPr>
          <w:p>
            <w:pPr>
              <w:jc w:val="center"/>
              <w:ind w:left="286"/>
              <w:spacing w:after="0"/>
              <w:rPr>
                <w:sz w:val="20"/>
                <w:szCs w:val="20"/>
                <w:color w:val="auto"/>
              </w:rPr>
            </w:pPr>
            <w:r>
              <w:rPr>
                <w:rFonts w:ascii="Times New Roman" w:cs="Times New Roman" w:eastAsia="Times New Roman" w:hAnsi="Times New Roman"/>
                <w:sz w:val="11"/>
                <w:szCs w:val="11"/>
                <w:color w:val="auto"/>
                <w:w w:val="91"/>
              </w:rPr>
              <w:t>1M</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4"/>
              </w:rPr>
              <w:t>L+825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32,106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09/29/2024</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9.50 %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L+850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16,292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02/04/2027</w:t>
            </w:r>
          </w:p>
        </w:tc>
        <w:tc>
          <w:tcPr>
            <w:tcW w:w="12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08/17/2026</w:t>
            </w:r>
          </w:p>
        </w:tc>
        <w:tc>
          <w:tcPr>
            <w:tcW w:w="12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7.06 %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1"/>
              </w:rPr>
              <w:t>3M</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L+675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14,922</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107,620</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107,225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-890905</wp:posOffset>
            </wp:positionV>
            <wp:extent cx="6858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6" w:name="page17"/>
    <w:bookmarkEnd w:id="16"/>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40" w:type="dxa"/>
            <w:vAlign w:val="bottom"/>
          </w:tcPr>
          <w:p>
            <w:pPr>
              <w:spacing w:after="0"/>
              <w:rPr>
                <w:sz w:val="9"/>
                <w:szCs w:val="9"/>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7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4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4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Notes—8.6%</w:t>
            </w:r>
          </w:p>
        </w:tc>
        <w:tc>
          <w:tcPr>
            <w:tcW w:w="12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74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color w:val="auto"/>
              </w:rPr>
              <w:t>03/17/2025</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6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12.00 %</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14,335</w:t>
            </w:r>
          </w:p>
        </w:tc>
        <w:tc>
          <w:tcPr>
            <w:tcW w:w="3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14,165</w:t>
            </w:r>
          </w:p>
        </w:tc>
        <w:tc>
          <w:tcPr>
            <w:tcW w:w="44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2.00%)</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Cascade Environmental LLC</w:t>
            </w:r>
          </w:p>
        </w:tc>
        <w:tc>
          <w:tcPr>
            <w:tcW w:w="7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12/30/2023</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13.00 %</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42,468</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42,150</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42,680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5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94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13.00%)</w:t>
            </w:r>
          </w:p>
        </w:tc>
        <w:tc>
          <w:tcPr>
            <w:tcW w:w="8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56,315</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2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Interests—3.9%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Cascade Environmental LLC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16.00 %</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178,304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Intermediate Holdings II, Inc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12.00 %</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 (The Vertex Companies, LLC)</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CFF"/>
            </w:tcBorders>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auto"/>
            </w:tcBorders>
            <w:shd w:val="clear" w:color="auto" w:fill="CCECFF"/>
          </w:tcPr>
          <w:p>
            <w:pPr>
              <w:spacing w:after="0"/>
              <w:rPr>
                <w:sz w:val="11"/>
                <w:szCs w:val="11"/>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21,295</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2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Interests/Warrants—18.0%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Holdings, Inc. (9)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7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1"/>
                <w:szCs w:val="11"/>
                <w:color w:val="auto"/>
              </w:rPr>
              <w:t>04/10/2024</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Atlas Investment Aggregator,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475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5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1,902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 Holdings,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570,522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570,522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(82 )</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4,072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810,645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02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1,855</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809</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Building Materials</w:t>
            </w: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675,325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844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5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0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2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Infogroup Parent Holdings, Inc. (Data Axle, Inc.)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1,906,433</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6,616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5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Kadmon Holdings, Inc. </w:t>
            </w:r>
            <w:r>
              <w:rPr>
                <w:rFonts w:ascii="Times New Roman" w:cs="Times New Roman" w:eastAsia="Times New Roman" w:hAnsi="Times New Roman"/>
                <w:sz w:val="14"/>
                <w:szCs w:val="14"/>
                <w:color w:val="auto"/>
                <w:vertAlign w:val="superscript"/>
              </w:rPr>
              <w:t>(5)</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252,014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Intermidiate Holdings II, Inc.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1,593,514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98,286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979</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-5862955</wp:posOffset>
            </wp:positionV>
            <wp:extent cx="6858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-5862955</wp:posOffset>
            </wp:positionV>
            <wp:extent cx="6858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-4817110</wp:posOffset>
            </wp:positionV>
            <wp:extent cx="6858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7" w:name="page18"/>
    <w:bookmarkEnd w:id="17"/>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RFMG Parent, LP (Rancho Health MSO, Inc.)</w:t>
            </w:r>
          </w:p>
        </w:tc>
        <w:tc>
          <w:tcPr>
            <w:tcW w:w="12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SBI Holdings Investments LLC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36,585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StellPen Holdings, LLC (CF512, Inc.)</w:t>
            </w:r>
          </w:p>
        </w:tc>
        <w:tc>
          <w:tcPr>
            <w:tcW w:w="120" w:type="dxa"/>
            <w:vAlign w:val="bottom"/>
          </w:tcPr>
          <w:p>
            <w:pPr>
              <w:spacing w:after="0"/>
              <w:rPr>
                <w:sz w:val="8"/>
                <w:szCs w:val="8"/>
                <w:color w:val="auto"/>
              </w:rPr>
            </w:pPr>
          </w:p>
        </w:tc>
        <w:tc>
          <w:tcPr>
            <w:tcW w:w="62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8"/>
                <w:szCs w:val="8"/>
                <w:color w:val="auto"/>
              </w:rPr>
            </w:pPr>
          </w:p>
        </w:tc>
        <w:tc>
          <w:tcPr>
            <w:tcW w:w="25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8"/>
                <w:szCs w:val="8"/>
                <w:color w:val="auto"/>
              </w:rPr>
            </w:pPr>
          </w:p>
        </w:tc>
        <w:tc>
          <w:tcPr>
            <w:tcW w:w="960" w:type="dxa"/>
            <w:vAlign w:val="bottom"/>
            <w:gridSpan w:val="2"/>
          </w:tcPr>
          <w:p>
            <w:pPr>
              <w:jc w:val="right"/>
              <w:ind w:right="2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153,846</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12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TWD Parent Holdings, LLC (The Vertex Companies, LLC)</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14"/>
                <w:szCs w:val="14"/>
                <w:color w:val="auto"/>
                <w:vertAlign w:val="superscript"/>
              </w:rPr>
              <w:t>(5), (11)</w:t>
            </w: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1,261,201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UniVista Insurance</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Wildcat Parent, LP (Wildcat Buyerco, Inc.)</w:t>
            </w:r>
          </w:p>
        </w:tc>
        <w:tc>
          <w:tcPr>
            <w:tcW w:w="120" w:type="dxa"/>
            <w:vAlign w:val="bottom"/>
          </w:tcPr>
          <w:p>
            <w:pPr>
              <w:spacing w:after="0"/>
              <w:rPr>
                <w:sz w:val="10"/>
                <w:szCs w:val="10"/>
                <w:color w:val="auto"/>
              </w:rPr>
            </w:pPr>
          </w:p>
        </w:tc>
        <w:tc>
          <w:tcPr>
            <w:tcW w:w="62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ZS Juniper L.P.</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Personal, Food and Miscellaneous Services</w:t>
            </w: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1,056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1,056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00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(Juniper Landscaping of Florida,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tcBorders>
              <w:bottom w:val="single" w:sz="8" w:color="CCECFF"/>
            </w:tcBorders>
            <w:vMerge w:val="continue"/>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35,536</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118,982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4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729,811</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820,500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74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Investments in Non-Controlled, Affiliated Portfolio Companies—7.6% </w:t>
            </w:r>
            <w:r>
              <w:rPr>
                <w:rFonts w:ascii="Times New Roman" w:cs="Times New Roman" w:eastAsia="Times New Roman" w:hAnsi="Times New Roman"/>
                <w:sz w:val="11"/>
                <w:szCs w:val="11"/>
                <w:b w:val="1"/>
                <w:bCs w:val="1"/>
                <w:color w:val="auto"/>
                <w:vertAlign w:val="superscript"/>
              </w:rPr>
              <w:t>(1), (2)</w:t>
            </w:r>
          </w:p>
        </w:tc>
        <w:tc>
          <w:tcPr>
            <w:tcW w:w="2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Interests—6.2%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ETX Energy, LLC - Series X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22,660</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41,023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Equity/Partnership Interests/Warrants—1.4% </w:t>
            </w:r>
            <w:r>
              <w:rPr>
                <w:rFonts w:ascii="Times New Roman" w:cs="Times New Roman" w:eastAsia="Times New Roman" w:hAnsi="Times New Roman"/>
                <w:sz w:val="11"/>
                <w:szCs w:val="11"/>
                <w:b w:val="1"/>
                <w:bCs w:val="1"/>
                <w:color w:val="auto"/>
                <w:vertAlign w:val="superscript"/>
              </w:rPr>
              <w:t>(6)</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1,658,389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29,712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ETX Energy Management Company, LLC</w:t>
            </w:r>
          </w:p>
        </w:tc>
        <w:tc>
          <w:tcPr>
            <w:tcW w:w="1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1,754,104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bottom w:val="single" w:sz="8" w:color="CCECFF"/>
            </w:tcBorders>
            <w:shd w:val="clear" w:color="auto" w:fill="CCECFF"/>
          </w:tcPr>
          <w:p>
            <w:pPr>
              <w:spacing w:after="0"/>
              <w:rPr>
                <w:sz w:val="12"/>
                <w:szCs w:val="12"/>
                <w:color w:val="auto"/>
              </w:rPr>
            </w:pPr>
          </w:p>
        </w:tc>
        <w:tc>
          <w:tcPr>
            <w:tcW w:w="25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24,790</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56,064</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4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78,723</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50,161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7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Companies—58.3% </w:t>
            </w:r>
            <w:r>
              <w:rPr>
                <w:rFonts w:ascii="Times New Roman" w:cs="Times New Roman" w:eastAsia="Times New Roman" w:hAnsi="Times New Roman"/>
                <w:sz w:val="13"/>
                <w:szCs w:val="13"/>
                <w:b w:val="1"/>
                <w:bCs w:val="1"/>
                <w:color w:val="auto"/>
                <w:vertAlign w:val="superscript"/>
              </w:rPr>
              <w:t>(1), (2)</w:t>
            </w: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00" w:type="dxa"/>
            <w:vAlign w:val="bottom"/>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First Lien Secured Debt—6.2%</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03/13/2024</w:t>
            </w: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7.50 %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30,500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42,389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41,125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42,389</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41,125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Debt—10.6%</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Mailsouth Inc.</w:t>
            </w:r>
          </w:p>
        </w:tc>
        <w:tc>
          <w:tcPr>
            <w:tcW w:w="740" w:type="dxa"/>
            <w:vAlign w:val="bottom"/>
            <w:gridSpan w:val="2"/>
            <w:shd w:val="clear" w:color="auto" w:fill="CCECFF"/>
          </w:tcPr>
          <w:p>
            <w:pPr>
              <w:ind w:left="180"/>
              <w:spacing w:after="0" w:line="122" w:lineRule="exact"/>
              <w:rPr>
                <w:sz w:val="20"/>
                <w:szCs w:val="20"/>
                <w:color w:val="auto"/>
              </w:rPr>
            </w:pPr>
            <w:r>
              <w:rPr>
                <w:rFonts w:ascii="Times New Roman" w:cs="Times New Roman" w:eastAsia="Times New Roman" w:hAnsi="Times New Roman"/>
                <w:sz w:val="11"/>
                <w:szCs w:val="11"/>
                <w:color w:val="auto"/>
              </w:rPr>
              <w:t>04/23/2025</w:t>
            </w:r>
          </w:p>
        </w:tc>
        <w:tc>
          <w:tcPr>
            <w:tcW w:w="240" w:type="dxa"/>
            <w:vAlign w:val="bottom"/>
            <w:shd w:val="clear" w:color="auto" w:fill="CCECFF"/>
          </w:tcPr>
          <w:p>
            <w:pPr>
              <w:spacing w:after="0"/>
              <w:rPr>
                <w:sz w:val="10"/>
                <w:szCs w:val="10"/>
                <w:color w:val="auto"/>
              </w:rPr>
            </w:pPr>
          </w:p>
        </w:tc>
        <w:tc>
          <w:tcPr>
            <w:tcW w:w="25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08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15.00 %</w:t>
            </w: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15.00%)</w:t>
            </w: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PT Network Intermediate Holdings, LLC</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11/30/2024</w:t>
            </w:r>
          </w:p>
        </w:tc>
        <w:tc>
          <w:tcPr>
            <w:tcW w:w="2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58,276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11.00%)</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69,363</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69,668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00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Subordinated Debt—9.7%</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07/31/2027</w:t>
            </w: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64,155</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64,155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 xml:space="preserve">Preferred Equity—2.0%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7"/>
        </w:trPr>
        <w:tc>
          <w:tcPr>
            <w:tcW w:w="3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11,272</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13,412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Equity—29.7% </w:t>
            </w:r>
            <w:r>
              <w:rPr>
                <w:rFonts w:ascii="Times New Roman" w:cs="Times New Roman" w:eastAsia="Times New Roman" w:hAnsi="Times New Roman"/>
                <w:sz w:val="11"/>
                <w:szCs w:val="11"/>
                <w:b w:val="1"/>
                <w:bCs w:val="1"/>
                <w:color w:val="auto"/>
                <w:vertAlign w:val="superscript"/>
              </w:rPr>
              <w:t>(6)</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56"/>
        </w:trPr>
        <w:tc>
          <w:tcPr>
            <w:tcW w:w="3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MSpark, LLC</w:t>
            </w:r>
          </w:p>
        </w:tc>
        <w:tc>
          <w:tcPr>
            <w:tcW w:w="120" w:type="dxa"/>
            <w:vAlign w:val="bottom"/>
          </w:tcPr>
          <w:p>
            <w:pPr>
              <w:spacing w:after="0"/>
              <w:rPr>
                <w:sz w:val="10"/>
                <w:szCs w:val="10"/>
                <w:color w:val="auto"/>
              </w:rPr>
            </w:pPr>
          </w:p>
        </w:tc>
        <w:tc>
          <w:tcPr>
            <w:tcW w:w="62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51,151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16,516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11,013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33,830,005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RAM Energy Holdings LLC</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12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81,710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225,408</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196,269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Total Investments in Controlled, Affiliated Portfolio Companies</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412,587</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384,628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Investments—190.2%</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1,221,121</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1,255,289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Equivalents—3.1%</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2,163</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Equivalents—193.2%</w:t>
            </w:r>
          </w:p>
        </w:tc>
        <w:tc>
          <w:tcPr>
            <w:tcW w:w="120" w:type="dxa"/>
            <w:vAlign w:val="bottom"/>
            <w:tcBorders>
              <w:bottom w:val="single" w:sz="8" w:color="CCECFF"/>
            </w:tcBorders>
            <w:shd w:val="clear" w:color="auto" w:fill="CCECFF"/>
          </w:tcPr>
          <w:p>
            <w:pPr>
              <w:spacing w:after="0"/>
              <w:rPr>
                <w:sz w:val="14"/>
                <w:szCs w:val="14"/>
                <w:color w:val="auto"/>
              </w:rPr>
            </w:pPr>
          </w:p>
        </w:tc>
        <w:tc>
          <w:tcPr>
            <w:tcW w:w="6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25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90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54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1,241,504</w:t>
            </w: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1,275,646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Assets—(93.2%)</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(615,502 )</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2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5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90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5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5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660,144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-5382895</wp:posOffset>
            </wp:positionV>
            <wp:extent cx="7132320"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-4868545</wp:posOffset>
            </wp:positionV>
            <wp:extent cx="7132320" cy="85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7132320" cy="3689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265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-3625215</wp:posOffset>
            </wp:positionV>
            <wp:extent cx="7132320" cy="3689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-3076575</wp:posOffset>
            </wp:positionV>
            <wp:extent cx="68580" cy="939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368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-959485</wp:posOffset>
            </wp:positionV>
            <wp:extent cx="68580" cy="1028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1028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-770890</wp:posOffset>
            </wp:positionV>
            <wp:extent cx="68580" cy="1028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-410845</wp:posOffset>
            </wp:positionV>
            <wp:extent cx="68580" cy="1028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1028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-222250</wp:posOffset>
            </wp:positionV>
            <wp:extent cx="634365" cy="1111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4365"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8" w:name="page19"/>
    <w:bookmarkEnd w:id="18"/>
    <w:p>
      <w:pPr>
        <w:ind w:left="340" w:hanging="339"/>
        <w:spacing w:after="0" w:line="182" w:lineRule="auto"/>
        <w:tabs>
          <w:tab w:leader="none" w:pos="3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6" w:lineRule="exact"/>
        <w:rPr>
          <w:rFonts w:ascii="Times New Roman" w:cs="Times New Roman" w:eastAsia="Times New Roman" w:hAnsi="Times New Roman"/>
          <w:sz w:val="20"/>
          <w:szCs w:val="20"/>
          <w:color w:val="auto"/>
          <w:vertAlign w:val="superscript"/>
        </w:rPr>
      </w:pPr>
    </w:p>
    <w:p>
      <w:pPr>
        <w:ind w:left="340" w:hanging="339"/>
        <w:spacing w:after="0" w:line="182" w:lineRule="auto"/>
        <w:tabs>
          <w:tab w:leader="none" w:pos="3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 w:lineRule="exact"/>
        <w:rPr>
          <w:rFonts w:ascii="Times New Roman" w:cs="Times New Roman" w:eastAsia="Times New Roman" w:hAnsi="Times New Roman"/>
          <w:sz w:val="20"/>
          <w:szCs w:val="20"/>
          <w:color w:val="auto"/>
          <w:vertAlign w:val="superscript"/>
        </w:rPr>
      </w:pPr>
    </w:p>
    <w:p>
      <w:pPr>
        <w:ind w:left="340" w:hanging="339"/>
        <w:spacing w:after="0" w:line="183" w:lineRule="auto"/>
        <w:tabs>
          <w:tab w:leader="none" w:pos="3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Valued based on our accounting policy (See Note 2).</w:t>
      </w:r>
    </w:p>
    <w:p>
      <w:pPr>
        <w:spacing w:after="0" w:line="37" w:lineRule="exact"/>
        <w:rPr>
          <w:rFonts w:ascii="Times New Roman" w:cs="Times New Roman" w:eastAsia="Times New Roman" w:hAnsi="Times New Roman"/>
          <w:sz w:val="20"/>
          <w:szCs w:val="20"/>
          <w:color w:val="auto"/>
          <w:vertAlign w:val="superscript"/>
        </w:rPr>
      </w:pPr>
    </w:p>
    <w:p>
      <w:pPr>
        <w:ind w:left="340" w:right="120" w:hanging="339"/>
        <w:spacing w:after="0" w:line="190" w:lineRule="auto"/>
        <w:tabs>
          <w:tab w:leader="none" w:pos="3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22"/>
          <w:szCs w:val="22"/>
          <w:color w:val="auto"/>
          <w:vertAlign w:val="superscript"/>
        </w:rPr>
      </w:pPr>
    </w:p>
    <w:p>
      <w:pPr>
        <w:ind w:left="340" w:hanging="339"/>
        <w:spacing w:after="0" w:line="183" w:lineRule="auto"/>
        <w:tabs>
          <w:tab w:leader="none" w:pos="3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1"/>
          <w:szCs w:val="11"/>
          <w:color w:val="auto"/>
        </w:rPr>
        <w:t>The security was not valued using significant unobservable inputs. The value of all other securities was determined using significant unobservable inputs (See Note 5).</w:t>
      </w:r>
    </w:p>
    <w:p>
      <w:pPr>
        <w:spacing w:after="0" w:line="37" w:lineRule="exact"/>
        <w:rPr>
          <w:rFonts w:ascii="Times New Roman" w:cs="Times New Roman" w:eastAsia="Times New Roman" w:hAnsi="Times New Roman"/>
          <w:sz w:val="20"/>
          <w:szCs w:val="20"/>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Non-income producing securities.</w:t>
      </w:r>
    </w:p>
    <w:p>
      <w:pPr>
        <w:spacing w:after="0" w:line="37" w:lineRule="exact"/>
        <w:rPr>
          <w:rFonts w:ascii="Times New Roman" w:cs="Times New Roman" w:eastAsia="Times New Roman" w:hAnsi="Times New Roman"/>
          <w:sz w:val="16"/>
          <w:szCs w:val="16"/>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6"/>
          <w:szCs w:val="16"/>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Non-U.S. company or principal place of business outside the United States.</w:t>
      </w:r>
    </w:p>
    <w:p>
      <w:pPr>
        <w:spacing w:after="0" w:line="37" w:lineRule="exact"/>
        <w:rPr>
          <w:rFonts w:ascii="Times New Roman" w:cs="Times New Roman" w:eastAsia="Times New Roman" w:hAnsi="Times New Roman"/>
          <w:sz w:val="16"/>
          <w:szCs w:val="16"/>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Investment is held through our Taxable Subsidiary (See Note 1).</w:t>
      </w:r>
    </w:p>
    <w:p>
      <w:pPr>
        <w:spacing w:after="0" w:line="37" w:lineRule="exact"/>
        <w:rPr>
          <w:rFonts w:ascii="Times New Roman" w:cs="Times New Roman" w:eastAsia="Times New Roman" w:hAnsi="Times New Roman"/>
          <w:sz w:val="16"/>
          <w:szCs w:val="16"/>
          <w:color w:val="auto"/>
          <w:vertAlign w:val="superscript"/>
        </w:rPr>
      </w:pPr>
    </w:p>
    <w:p>
      <w:pPr>
        <w:ind w:left="340" w:hanging="339"/>
        <w:spacing w:after="0" w:line="180" w:lineRule="auto"/>
        <w:tabs>
          <w:tab w:leader="none" w:pos="3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Par / Shares amount is denominated in British Pounds (£) as denoted.</w:t>
      </w:r>
    </w:p>
    <w:p>
      <w:pPr>
        <w:spacing w:after="0" w:line="37" w:lineRule="exact"/>
        <w:rPr>
          <w:rFonts w:ascii="Times New Roman" w:cs="Times New Roman" w:eastAsia="Times New Roman" w:hAnsi="Times New Roman"/>
          <w:sz w:val="16"/>
          <w:szCs w:val="16"/>
          <w:color w:val="auto"/>
          <w:vertAlign w:val="superscript"/>
        </w:rPr>
      </w:pPr>
    </w:p>
    <w:p>
      <w:pPr>
        <w:ind w:left="340" w:right="20" w:hanging="339"/>
        <w:spacing w:after="0" w:line="186" w:lineRule="auto"/>
        <w:tabs>
          <w:tab w:leader="none" w:pos="3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88% of the Company’s total assets and non-qualifying assets represent 12% of the Company’s total assets.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19" w:name="page20"/>
    <w:bookmarkEnd w:id="19"/>
    <w:p>
      <w:pPr>
        <w:ind w:left="32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20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w:t>
      </w:r>
    </w:p>
    <w:p>
      <w:pPr>
        <w:spacing w:after="0" w:line="1"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4"/>
          <w:szCs w:val="14"/>
          <w:color w:val="auto"/>
        </w:rPr>
        <w:t>investments. We invest primarily in U.S. middle-market companies in the form of first lien secured debt, second lien secured debt, subordinated debt and, to a lesser extent, equity investments. On April 24, 2007, we closed our initial public offering. On April 14, 2022, listing and trading of the Company's common stock commenced on the New York Stock Exchange after the Company</w:t>
      </w:r>
    </w:p>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4"/>
          <w:szCs w:val="14"/>
          <w:color w:val="auto"/>
        </w:rPr>
        <w:t>voluntarily withdrew the principal listing of its common stock from the Nasdaq Stock Market LLC effective at market close on April 13, 2022. Our common stock trades on the New York Stock Exchange under the symbol “PNNT.”</w:t>
      </w:r>
    </w:p>
    <w:p>
      <w:pPr>
        <w:spacing w:after="0" w:line="15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6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or Pantheon, entered into a limited liability</w:t>
      </w:r>
    </w:p>
    <w:p>
      <w:pPr>
        <w:spacing w:after="0" w:line="1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and other corporate debt securities consistent with our strategy. PSLF was formed as a Delaware limited liability company. See Note 4.</w:t>
      </w:r>
    </w:p>
    <w:p>
      <w:pPr>
        <w:spacing w:after="0" w:line="18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w:t>
      </w:r>
    </w:p>
    <w:p>
      <w:pPr>
        <w:spacing w:after="0" w:line="1"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4"/>
          <w:szCs w:val="14"/>
          <w:color w:val="auto"/>
        </w:rPr>
        <w:t>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5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99.436%. Interest on the 2026 Notes is paid semi-annually on May 1 and November 1 of each year, at a rate of 4.00% per year, commencing May 1, 2022. The 2026 Notes-2 mature on November 1, 2026 and may be redeemed in whole or in part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assets securing such indebtedness and structurally subordinated to all existing and future indebtedness and other obligations of any of our subsidiaries, financing vehicles, or similar facilities.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intend to list the 2026 Notes-2 on any securities exchange or automated dealer quotation system.</w:t>
      </w:r>
    </w:p>
    <w:p>
      <w:pPr>
        <w:spacing w:after="0" w:line="17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spacing w:after="0" w:line="14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January 2022, we funded PennantPark-TSO Senior Loan Fund II LP, ("PTSF II"), an unconsolidated limited partnership, organized as a Delaware limited liability partnership. We sold $82.3 million in investments to a wholly-owned subsidiary of PTSF II in exchange for cash in the amount of $75.7 million and an $6.6 million equity interest in PTSF II representing 23.1% of the total outstanding Class A Units of PTSF II. We recognized $0.2 million of realized gain upon the formation of PTSF II. As of June 30, 2022, our capital commitment of $15.0 million is 100% funded and we hold 23.1% of the total outstanding Class A Units of PTSF II and a 4.99% voting interest in the general partner which manages PTSF II.</w:t>
      </w:r>
    </w:p>
    <w:p>
      <w:pPr>
        <w:spacing w:after="0" w:line="164" w:lineRule="exact"/>
        <w:rPr>
          <w:sz w:val="20"/>
          <w:szCs w:val="20"/>
          <w:color w:val="auto"/>
        </w:rPr>
      </w:pPr>
    </w:p>
    <w:p>
      <w:pPr>
        <w:jc w:val="both"/>
        <w:ind w:firstLine="449"/>
        <w:spacing w:after="0" w:line="302"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219"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periods. In the opinion of management, all adjustments, which are of a normal recurring nature, considered necessary for the fair presentation of financial statements have been included. Changes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in the economic and regulatory environment, financial markets, the credit worthiness of our portfolio companies, the novel coronavirus (“COVID-19”) and any other parameters used in determining these estimates and assumptions could cause actual results to differ from such estimates and assumptions. We may reclassify certain prior period amounts to conform to the current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period presentation. We have eliminated all intercompany balances and transactions in consolidation. References to the Financial Accounting Standards Board’s, or FASB’s, Accounting</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Standards Codification, as amended, or ASC, serve as a single source of accounting literature. Subsequent events are evaluated and disclosed as appropriate for events occurring through the date the Consolidated Financial Statements are issued.</w:t>
      </w:r>
    </w:p>
    <w:p>
      <w:pPr>
        <w:spacing w:after="0" w:line="176"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 of Changes in Net Assets in lieu of a Consolidated Statement of Changes in Stockholders’ Equity.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0" w:name="page21"/>
    <w:bookmarkEnd w:id="20"/>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389" w:lineRule="exact"/>
        <w:rPr>
          <w:sz w:val="20"/>
          <w:szCs w:val="20"/>
          <w:color w:val="auto"/>
        </w:rPr>
      </w:pPr>
    </w:p>
    <w:p>
      <w:pPr>
        <w:ind w:left="640" w:hanging="377"/>
        <w:spacing w:after="0"/>
        <w:tabs>
          <w:tab w:leader="none" w:pos="64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Valuations</w:t>
      </w:r>
    </w:p>
    <w:p>
      <w:pPr>
        <w:spacing w:after="0" w:line="208" w:lineRule="exact"/>
        <w:rPr>
          <w:sz w:val="20"/>
          <w:szCs w:val="20"/>
          <w:color w:val="auto"/>
        </w:rPr>
      </w:pPr>
    </w:p>
    <w:p>
      <w:pPr>
        <w:ind w:firstLine="449"/>
        <w:spacing w:after="0" w:line="243"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market value, the price used in an actual transaction may be different than our valuation and the difference may be material. See Note 5.</w:t>
      </w:r>
    </w:p>
    <w:p>
      <w:pPr>
        <w:spacing w:after="0" w:line="18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3" w:lineRule="exact"/>
        <w:rPr>
          <w:sz w:val="20"/>
          <w:szCs w:val="20"/>
          <w:color w:val="auto"/>
        </w:rPr>
      </w:pPr>
    </w:p>
    <w:p>
      <w:pPr>
        <w:ind w:left="840" w:right="20" w:hanging="383"/>
        <w:spacing w:after="0" w:line="282"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94"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49" w:lineRule="exact"/>
        <w:rPr>
          <w:rFonts w:ascii="Times New Roman" w:cs="Times New Roman" w:eastAsia="Times New Roman" w:hAnsi="Times New Roman"/>
          <w:sz w:val="14"/>
          <w:szCs w:val="14"/>
          <w:color w:val="auto"/>
        </w:rPr>
      </w:pPr>
    </w:p>
    <w:p>
      <w:pPr>
        <w:jc w:val="both"/>
        <w:ind w:left="840" w:hanging="383"/>
        <w:spacing w:after="0" w:line="26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jc w:val="both"/>
        <w:ind w:left="840" w:right="20" w:hanging="383"/>
        <w:spacing w:after="0" w:line="27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2" w:lineRule="exact"/>
        <w:rPr>
          <w:rFonts w:ascii="Times New Roman" w:cs="Times New Roman" w:eastAsia="Times New Roman" w:hAnsi="Times New Roman"/>
          <w:sz w:val="14"/>
          <w:szCs w:val="14"/>
          <w:color w:val="auto"/>
        </w:rPr>
      </w:pPr>
    </w:p>
    <w:p>
      <w:pPr>
        <w:ind w:left="840" w:hanging="383"/>
        <w:spacing w:after="0" w:line="282"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4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left="640" w:hanging="377"/>
        <w:spacing w:after="0"/>
        <w:tabs>
          <w:tab w:leader="none" w:pos="640"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Security Transactions, Revenue Recognition, and Realized/Unrealized Gains or Losses</w:t>
      </w:r>
    </w:p>
    <w:p>
      <w:pPr>
        <w:spacing w:after="0" w:line="20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spacing w:after="0" w:line="177"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2022, we had one portfolio company on non-accrual, representing 0.9% and 0.5% of our overall portfolio on a cost and fair value basis, respectively. As of September 30, 2021, we had no portfolio companies on non-accrual.</w:t>
      </w:r>
    </w:p>
    <w:p>
      <w:pPr>
        <w:spacing w:after="0" w:line="163" w:lineRule="exact"/>
        <w:rPr>
          <w:sz w:val="20"/>
          <w:szCs w:val="20"/>
          <w:color w:val="auto"/>
        </w:rPr>
      </w:pPr>
    </w:p>
    <w:p>
      <w:pPr>
        <w:ind w:left="640" w:hanging="377"/>
        <w:spacing w:after="0"/>
        <w:tabs>
          <w:tab w:leader="none" w:pos="640"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Income Taxes</w:t>
      </w:r>
    </w:p>
    <w:p>
      <w:pPr>
        <w:spacing w:after="0" w:line="221" w:lineRule="exact"/>
        <w:rPr>
          <w:sz w:val="20"/>
          <w:szCs w:val="20"/>
          <w:color w:val="auto"/>
        </w:rPr>
      </w:pPr>
    </w:p>
    <w:p>
      <w:pPr>
        <w:jc w:val="both"/>
        <w:ind w:firstLine="449"/>
        <w:spacing w:after="0" w:line="250"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and nine months ended June 30, 2022, we recorded a provision for taxes on net investment income of $0.2 million and $0.6 million respectively, all of which pertains to U.S. federal excise tax. For the three and nine months ended June 30, 2021, we recorded a provision for taxes on net investment income of $0.2 million and $0.5 million respectively, all of which pertains to U.S. federal excise tax.</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9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For the three and nine months ended June 30, 2022, the Company recognized a provision for taxes of $1.1 million and $6.2 million, respectively, on net realized gain on investments by the Taxable Subsidiary. For the three and nine months ended June 30, 2022, the Company recognized a provision for taxes of $8.1 million and $8.1 million,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fiscal year ending September 30, 2022 and (ii) the expected tax benefit resulting from the use of loss carryforwards to offset such gains. For the three and nine months ended June 30, 2021, the Company recognized a provision for taxes of zero on net realized and unrealized gains on investments by the Taxable Subsidiary.</w:t>
      </w:r>
    </w:p>
    <w:p>
      <w:pPr>
        <w:spacing w:after="0" w:line="167" w:lineRule="exact"/>
        <w:rPr>
          <w:sz w:val="20"/>
          <w:szCs w:val="20"/>
          <w:color w:val="auto"/>
        </w:rPr>
      </w:pPr>
    </w:p>
    <w:p>
      <w:pPr>
        <w:jc w:val="both"/>
        <w:ind w:firstLine="449"/>
        <w:spacing w:after="0" w:line="264" w:lineRule="auto"/>
        <w:rPr>
          <w:sz w:val="20"/>
          <w:szCs w:val="20"/>
          <w:color w:val="auto"/>
        </w:rPr>
      </w:pPr>
      <w:r>
        <w:rPr>
          <w:rFonts w:ascii="Times New Roman" w:cs="Times New Roman" w:eastAsia="Times New Roman" w:hAnsi="Times New Roman"/>
          <w:sz w:val="14"/>
          <w:szCs w:val="14"/>
          <w:color w:val="auto"/>
        </w:rPr>
        <w:t>During the three and nine months ended June 30, 2022, the Company paid zero and $4.0 million, respectively, in federal taxes on realized gains on the sale of investments held by the Taxable Subsidiary. Due to offsetting losses in the three months ended June 30, 2022 the $4.0 million is expected to be refunded and is shown on the consolidated statement of assets and liabilities under prepaid expenses and other assets. The state and local tax liability of $6.2 million as of June 30, 2022 is included under accrued other expenses in the consolidated statement of assets and liabilities.</w:t>
      </w:r>
    </w:p>
    <w:p>
      <w:pPr>
        <w:spacing w:after="0" w:line="2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73" w:lineRule="exact"/>
        <w:rPr>
          <w:sz w:val="20"/>
          <w:szCs w:val="20"/>
          <w:color w:val="auto"/>
        </w:rPr>
      </w:pPr>
    </w:p>
    <w:p>
      <w:pPr>
        <w:ind w:left="640" w:hanging="377"/>
        <w:spacing w:after="0"/>
        <w:tabs>
          <w:tab w:leader="none" w:pos="64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Distributions and Capital Transactions</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7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44" w:lineRule="exact"/>
        <w:rPr>
          <w:sz w:val="20"/>
          <w:szCs w:val="20"/>
          <w:color w:val="auto"/>
        </w:rPr>
      </w:pPr>
    </w:p>
    <w:p>
      <w:pPr>
        <w:ind w:left="640" w:hanging="377"/>
        <w:spacing w:after="0"/>
        <w:tabs>
          <w:tab w:leader="none" w:pos="640"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840" w:hanging="383"/>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217"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57"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53" w:lineRule="exact"/>
        <w:rPr>
          <w:sz w:val="20"/>
          <w:szCs w:val="20"/>
          <w:color w:val="auto"/>
        </w:rPr>
      </w:pPr>
    </w:p>
    <w:p>
      <w:pPr>
        <w:ind w:left="640" w:hanging="377"/>
        <w:spacing w:after="0"/>
        <w:tabs>
          <w:tab w:leader="none" w:pos="640"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Consolidation</w:t>
      </w:r>
    </w:p>
    <w:p>
      <w:pPr>
        <w:spacing w:after="0" w:line="15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 in PSLF or PTSF II. See further description of our investment in PSLF in Note 4.</w:t>
      </w:r>
    </w:p>
    <w:p>
      <w:pPr>
        <w:spacing w:after="0" w:line="153" w:lineRule="exact"/>
        <w:rPr>
          <w:sz w:val="20"/>
          <w:szCs w:val="20"/>
          <w:color w:val="auto"/>
        </w:rPr>
      </w:pPr>
    </w:p>
    <w:p>
      <w:pPr>
        <w:ind w:left="640" w:hanging="377"/>
        <w:spacing w:after="0"/>
        <w:tabs>
          <w:tab w:leader="none" w:pos="640"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Asset Transfers and Servicing</w:t>
      </w:r>
    </w:p>
    <w:p>
      <w:pPr>
        <w:spacing w:after="0" w:line="2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144" w:lineRule="exact"/>
        <w:rPr>
          <w:sz w:val="20"/>
          <w:szCs w:val="20"/>
          <w:color w:val="auto"/>
        </w:rPr>
      </w:pPr>
    </w:p>
    <w:p>
      <w:pPr>
        <w:ind w:left="620" w:hanging="388"/>
        <w:spacing w:after="0"/>
        <w:tabs>
          <w:tab w:leader="none" w:pos="620"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currently evaluating the impact the adoption of this new accounting standard will have on its consolidated financial statements, but the impact of the adoption is not expected to be material.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39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4"/>
          <w:szCs w:val="14"/>
          <w:color w:val="auto"/>
        </w:rPr>
        <w:t>In June 2022, the FASB issued Accounting Standards Update,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AGREEMENTS AND RELATED PARTY TRANSACTIONS</w:t>
      </w:r>
    </w:p>
    <w:p>
      <w:pPr>
        <w:spacing w:after="0" w:line="215" w:lineRule="exact"/>
        <w:rPr>
          <w:rFonts w:ascii="Times New Roman" w:cs="Times New Roman" w:eastAsia="Times New Roman" w:hAnsi="Times New Roman"/>
          <w:sz w:val="14"/>
          <w:szCs w:val="14"/>
          <w:b w:val="1"/>
          <w:bCs w:val="1"/>
          <w:color w:val="auto"/>
        </w:rPr>
      </w:pPr>
    </w:p>
    <w:p>
      <w:pPr>
        <w:ind w:left="500" w:hanging="267"/>
        <w:spacing w:after="0"/>
        <w:tabs>
          <w:tab w:leader="none" w:pos="500" w:val="left"/>
        </w:tabs>
        <w:numPr>
          <w:ilvl w:val="1"/>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Management Agreement</w:t>
      </w:r>
    </w:p>
    <w:p>
      <w:pPr>
        <w:spacing w:after="0" w:line="2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Base Management Fee</w:t>
      </w:r>
    </w:p>
    <w:p>
      <w:pPr>
        <w:spacing w:after="0" w:line="221"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2022, the Investment Adviser earned a base management fee of $4.9 million and $15.0 million, respectively, from us. For the three and nine months ended June 30, 2021, the Investment Adviser earned a base management fee of $4.4 million and $12.8 million, respectively, from us.</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Incentive Fee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36" w:lineRule="exact"/>
        <w:rPr>
          <w:sz w:val="20"/>
          <w:szCs w:val="20"/>
          <w:color w:val="auto"/>
        </w:rPr>
      </w:pPr>
    </w:p>
    <w:p>
      <w:pPr>
        <w:jc w:val="both"/>
        <w:ind w:firstLine="449"/>
        <w:spacing w:after="0" w:line="250"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21"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Beginning April 1, 2020 and through June 30, 2021, the Investment Adviser has voluntarily agreed, in consultation with our board of directors, to irrevocably waive the performance-based incentive fees. For the three and nine months ended June 30, 2022, the Investment Adviser earned an incentive fee of zero and $2.7 million, respectively, on net investment income from us. For the three and nine months ended June 30, 2021, the Investment Adviser did not earn an incentive fee on net investment income from us.</w:t>
      </w:r>
    </w:p>
    <w:p>
      <w:pPr>
        <w:spacing w:after="0" w:line="10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Times New Roman" w:cs="Times New Roman" w:eastAsia="Times New Roman" w:hAnsi="Times New Roman"/>
          <w:sz w:val="14"/>
          <w:szCs w:val="14"/>
          <w:color w:val="auto"/>
          <w:strike w:val="1"/>
        </w:rPr>
        <w:t>,</w:t>
      </w:r>
      <w:r>
        <w:rPr>
          <w:rFonts w:ascii="Times New Roman" w:cs="Times New Roman" w:eastAsia="Times New Roman" w:hAnsi="Times New Roman"/>
          <w:sz w:val="14"/>
          <w:szCs w:val="14"/>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three and nine months ended June 30, 2022 and 2021, the Investment Adviser did not accrue an incentive fee on capital gains as calculated under the Investment Management Agreement (as described above).</w:t>
      </w:r>
    </w:p>
    <w:p>
      <w:pPr>
        <w:spacing w:after="0" w:line="100"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3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each of the three and nine months ended June 30, 2022 and 2021, the Investment Adviser did not accrue an incentive fee on capital gains as calculated under GAAP.</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(b) Administration Agreement</w:t>
      </w:r>
    </w:p>
    <w:p>
      <w:pPr>
        <w:spacing w:after="0" w:line="2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2022,we reimbursed the Administrator approximately $(0.2) million and $0.7 million, respectively, for the services described above. For the three and nine months ended June 30, 2021, we reimbursed the Administrator approximately $0.1 million and $0.8 million, respectively, for the services described above.</w:t>
      </w:r>
    </w:p>
    <w:p>
      <w:pPr>
        <w:spacing w:after="0" w:line="1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on matters related to potential or actual investments and transactions, including tax structuring and/or due diligence.</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 Other Related Party Transactions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each of the three and nine months ended June 30, 2022 and 2021.</w:t>
      </w:r>
    </w:p>
    <w:p>
      <w:pPr>
        <w:spacing w:after="0" w:line="21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and nine months ended June 30, 2022 we sold $176.0 million and $235.6 million in investments to PSLF at fair value, respectively, and recognized $0.1 million and $0.2 million of net realized gains, respectively. For the three and nine months ended June 30, 2021, we sold $54.1 million $and $91.9 million in investments to PSLF at fair value, respectively, and recognized $0.1 million and $0.6 million of net realized gains, respectively.</w:t>
      </w:r>
    </w:p>
    <w:p>
      <w:pPr>
        <w:spacing w:after="0" w:line="17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For the three and nine months ended June 30, 2022, we sold zero and $82.3 million in investments to PTSF II at fair value, respectively, and recognized zero and $0.2 million of net realized gains,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219" w:lineRule="exact"/>
        <w:rPr>
          <w:sz w:val="20"/>
          <w:szCs w:val="20"/>
          <w:color w:val="auto"/>
        </w:rPr>
      </w:pPr>
    </w:p>
    <w:p>
      <w:pPr>
        <w:jc w:val="both"/>
        <w:ind w:firstLine="449"/>
        <w:spacing w:after="0" w:line="264" w:lineRule="auto"/>
        <w:rPr>
          <w:sz w:val="20"/>
          <w:szCs w:val="20"/>
          <w:color w:val="auto"/>
        </w:rPr>
      </w:pPr>
      <w:r>
        <w:rPr>
          <w:rFonts w:ascii="Times New Roman" w:cs="Times New Roman" w:eastAsia="Times New Roman" w:hAnsi="Times New Roman"/>
          <w:sz w:val="14"/>
          <w:szCs w:val="14"/>
          <w:color w:val="auto"/>
        </w:rPr>
        <w:t>Purchases of investments, including PIK interest, for the three and nine months ended June 30, 2022 totaled $326.3 million and $808.2 million, respectively. For the same periods in the prior year, purchases of investments, including PIK interest, totaled $137.4 million and $287.4 million, respectively. Sales and repayments of investments for the three and nine months ended June 30, 2022 totaled $198.3 million and $736.0 million, respectively. For the same periods in the prior year, sales and repayments of investments totaled $191.0 million and $358.6 million, respectively.</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Classification </w:t>
            </w: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730,254</w:t>
            </w:r>
          </w:p>
        </w:tc>
        <w:tc>
          <w:tcPr>
            <w:tcW w:w="2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721,770</w:t>
            </w:r>
          </w:p>
        </w:tc>
        <w:tc>
          <w:tcPr>
            <w:tcW w:w="22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551,435</w:t>
            </w:r>
          </w:p>
        </w:tc>
        <w:tc>
          <w:tcPr>
            <w:tcW w:w="22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552,530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137,705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129,706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176,983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3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33,157</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33,150</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56,315</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57,015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Subordinated notes in PSLF</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341,207</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289,099</w:t>
            </w: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338,341</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363,537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PSLF</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49,362</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53,092</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6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1,379,696</w:t>
            </w:r>
          </w:p>
        </w:tc>
        <w:tc>
          <w:tcPr>
            <w:tcW w:w="26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1,314,828</w:t>
            </w:r>
          </w:p>
        </w:tc>
        <w:tc>
          <w:tcPr>
            <w:tcW w:w="22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1,221,121</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29,630</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29,547</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1,409,326</w:t>
            </w:r>
          </w:p>
        </w:tc>
        <w:tc>
          <w:tcPr>
            <w:tcW w:w="26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1,344,375</w:t>
            </w:r>
          </w:p>
        </w:tc>
        <w:tc>
          <w:tcPr>
            <w:tcW w:w="22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1,241,504</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1,275,647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-265430</wp:posOffset>
            </wp:positionV>
            <wp:extent cx="7747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-265430</wp:posOffset>
            </wp:positionV>
            <wp:extent cx="68580"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-265430</wp:posOffset>
            </wp:positionV>
            <wp:extent cx="68580"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-25400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9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120" w:type="dxa"/>
            <w:vAlign w:val="bottom"/>
          </w:tcPr>
          <w:p>
            <w:pPr>
              <w:spacing w:after="0"/>
              <w:rPr>
                <w:sz w:val="18"/>
                <w:szCs w:val="18"/>
                <w:color w:val="auto"/>
              </w:rPr>
            </w:pPr>
          </w:p>
        </w:tc>
        <w:tc>
          <w:tcPr>
            <w:tcW w:w="23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June 30, 2022</w:t>
            </w:r>
            <w:r>
              <w:rPr>
                <w:rFonts w:ascii="Times New Roman" w:cs="Times New Roman" w:eastAsia="Times New Roman" w:hAnsi="Times New Roman"/>
                <w:sz w:val="19"/>
                <w:szCs w:val="19"/>
                <w:b w:val="1"/>
                <w:bCs w:val="1"/>
                <w:color w:val="auto"/>
                <w:vertAlign w:val="superscript"/>
              </w:rPr>
              <w:t>(1)</w:t>
            </w:r>
          </w:p>
        </w:tc>
        <w:tc>
          <w:tcPr>
            <w:tcW w:w="340" w:type="dxa"/>
            <w:vAlign w:val="bottom"/>
          </w:tcPr>
          <w:p>
            <w:pPr>
              <w:spacing w:after="0"/>
              <w:rPr>
                <w:sz w:val="18"/>
                <w:szCs w:val="18"/>
                <w:color w:val="auto"/>
              </w:rPr>
            </w:pPr>
          </w:p>
        </w:tc>
        <w:tc>
          <w:tcPr>
            <w:tcW w:w="28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 xml:space="preserve">September 30, 2021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8"/>
                <w:szCs w:val="18"/>
                <w:color w:val="auto"/>
              </w:rPr>
            </w:pPr>
          </w:p>
        </w:tc>
      </w:tr>
      <w:tr>
        <w:trPr>
          <w:trHeight w:val="169"/>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20" w:type="dxa"/>
            <w:vAlign w:val="bottom"/>
            <w:shd w:val="clear" w:color="auto" w:fill="CCECFF"/>
          </w:tcPr>
          <w:p>
            <w:pPr>
              <w:spacing w:after="0"/>
              <w:rPr>
                <w:sz w:val="14"/>
                <w:szCs w:val="14"/>
                <w:color w:val="auto"/>
              </w:rPr>
            </w:pP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5"/>
                <w:szCs w:val="15"/>
                <w:color w:val="auto"/>
              </w:rPr>
            </w:pPr>
          </w:p>
        </w:tc>
      </w:tr>
      <w:tr>
        <w:trPr>
          <w:trHeight w:val="176"/>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CFF"/>
          </w:tcPr>
          <w:p>
            <w:pPr>
              <w:spacing w:after="0"/>
              <w:rPr>
                <w:sz w:val="15"/>
                <w:szCs w:val="15"/>
                <w:color w:val="auto"/>
              </w:rPr>
            </w:pP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Energy and Utilities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5"/>
                <w:szCs w:val="15"/>
                <w:color w:val="auto"/>
              </w:rPr>
            </w:pPr>
          </w:p>
        </w:tc>
      </w:tr>
      <w:tr>
        <w:trPr>
          <w:trHeight w:val="176"/>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CECFF"/>
          </w:tcPr>
          <w:p>
            <w:pPr>
              <w:spacing w:after="0"/>
              <w:rPr>
                <w:sz w:val="15"/>
                <w:szCs w:val="15"/>
                <w:color w:val="auto"/>
              </w:rPr>
            </w:pP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76"/>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r>
      <w:tr>
        <w:trPr>
          <w:trHeight w:val="175"/>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CECFF"/>
          </w:tcPr>
          <w:p>
            <w:pPr>
              <w:spacing w:after="0"/>
              <w:rPr>
                <w:sz w:val="15"/>
                <w:szCs w:val="15"/>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Telecommunications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r>
      <w:tr>
        <w:trPr>
          <w:trHeight w:val="175"/>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Auto Sector</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175"/>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Environmental Services</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CFF"/>
          </w:tcPr>
          <w:p>
            <w:pPr>
              <w:spacing w:after="0"/>
              <w:rPr>
                <w:sz w:val="15"/>
                <w:szCs w:val="15"/>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Materials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r>
      <w:tr>
        <w:trPr>
          <w:trHeight w:val="176"/>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Education</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CFF"/>
          </w:tcPr>
          <w:p>
            <w:pPr>
              <w:spacing w:after="0"/>
              <w:rPr>
                <w:sz w:val="15"/>
                <w:szCs w:val="15"/>
                <w:color w:val="auto"/>
              </w:rPr>
            </w:pP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Electronics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r>
      <w:tr>
        <w:trPr>
          <w:trHeight w:val="176"/>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Hotels, Motels, Inns and Gaming</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CFF"/>
          </w:tcPr>
          <w:p>
            <w:pPr>
              <w:spacing w:after="0"/>
              <w:rPr>
                <w:sz w:val="15"/>
                <w:szCs w:val="15"/>
                <w:color w:val="auto"/>
              </w:rPr>
            </w:pP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Media</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r>
      <w:tr>
        <w:trPr>
          <w:trHeight w:val="176"/>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Transportation</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Cargo Transport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175"/>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Manufacturing / Basic Industries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175"/>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Personal and Non-Durable Consumer Products</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Personal, Food and Miscellaneous Services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175"/>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Printing and Publishing</w:t>
            </w:r>
          </w:p>
        </w:tc>
        <w:tc>
          <w:tcPr>
            <w:tcW w:w="2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CFF"/>
          </w:tcPr>
          <w:p>
            <w:pPr>
              <w:spacing w:after="0"/>
              <w:rPr>
                <w:sz w:val="15"/>
                <w:szCs w:val="15"/>
                <w:color w:val="auto"/>
              </w:rPr>
            </w:pP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r>
      <w:tr>
        <w:trPr>
          <w:trHeight w:val="17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r>
      <w:tr>
        <w:trPr>
          <w:trHeight w:val="176"/>
        </w:trPr>
        <w:tc>
          <w:tcPr>
            <w:tcW w:w="53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CFF"/>
            </w:tcBorders>
            <w:shd w:val="clear" w:color="auto" w:fill="CCECFF"/>
          </w:tcPr>
          <w:p>
            <w:pPr>
              <w:spacing w:after="0"/>
              <w:rPr>
                <w:sz w:val="15"/>
                <w:szCs w:val="15"/>
                <w:color w:val="auto"/>
              </w:rPr>
            </w:pPr>
          </w:p>
        </w:tc>
        <w:tc>
          <w:tcPr>
            <w:tcW w:w="2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CFF"/>
            </w:tcBorders>
            <w:shd w:val="clear" w:color="auto" w:fill="CCECFF"/>
          </w:tcPr>
          <w:p>
            <w:pPr>
              <w:spacing w:after="0"/>
              <w:rPr>
                <w:sz w:val="15"/>
                <w:szCs w:val="15"/>
                <w:color w:val="auto"/>
              </w:rPr>
            </w:pPr>
          </w:p>
        </w:tc>
        <w:tc>
          <w:tcPr>
            <w:tcW w:w="2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r>
      <w:tr>
        <w:trPr>
          <w:trHeight w:val="169"/>
        </w:trPr>
        <w:tc>
          <w:tcPr>
            <w:tcW w:w="53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4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34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-144780</wp:posOffset>
            </wp:positionV>
            <wp:extent cx="6858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-144780</wp:posOffset>
            </wp:positionV>
            <wp:extent cx="6858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1912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6"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investments in PSLF.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206"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June 30, 2022 and September 30, 2021, PSLF had total assets of $664.6 million and $417.4 million, respectively. PSLF’s portfolio consisted of debt investments in 72 and 47 portfolio companies as of June 30, 2022 and September 30, 2021, respectively. As of the same dates, we and Pantheon had no remaining commitments to fund first lien secured debt and equity interests in PSLF. As of June 30, 2022, at fair value, the largest investment in a single portfolio company in PSLF was $17.9 million and the five largest investments totaled $87.2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1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June 30, 2022 and September 30, 2021, we and Pantheon owned 60.5% and 39.5%, respectively, of each of the outstanding subordinated notes and equity interests of PSLF. As of June 30, 2022 and September 30, 2021 our investment in PSLF consisted of subordinated notes of $88.0 million and $64.2 million, respectively, and equity interests of $53.1 million and $41.2 million, respectively.</w:t>
      </w:r>
    </w:p>
    <w:p>
      <w:pPr>
        <w:spacing w:after="0" w:line="16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67"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Additionally, PSLF, through its wholly-owned subsidiary, or PSLF Subsidiary, has entered into a $225.0 million (reduced from $275.0 million on March 2, 2022) senior secured revolving credit facility which bears interest at SOFR (or an alternative risk-free interest rate index) plus 255 basis points during the investment period, or the PSLF Credit Facility, with BNP Paribas, subject to leverage and borrowing base restrictions.</w:t>
      </w:r>
    </w:p>
    <w:p>
      <w:pPr>
        <w:spacing w:after="0" w:line="15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3500" w:type="dxa"/>
            <w:vAlign w:val="bottom"/>
            <w:gridSpan w:val="2"/>
          </w:tcPr>
          <w:p>
            <w:pPr>
              <w:jc w:val="right"/>
              <w:ind w:right="180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6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4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608,375</w:t>
            </w:r>
          </w:p>
        </w:tc>
        <w:tc>
          <w:tcPr>
            <w:tcW w:w="24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405,233</w:t>
            </w:r>
          </w:p>
        </w:tc>
        <w:tc>
          <w:tcPr>
            <w:tcW w:w="140" w:type="dxa"/>
            <w:vAlign w:val="bottom"/>
            <w:shd w:val="clear" w:color="auto" w:fill="CCECFF"/>
          </w:tcPr>
          <w:p>
            <w:pPr>
              <w:spacing w:after="0"/>
              <w:rPr>
                <w:sz w:val="14"/>
                <w:szCs w:val="14"/>
                <w:color w:val="auto"/>
              </w:rPr>
            </w:pPr>
          </w:p>
        </w:tc>
      </w:tr>
      <w:tr>
        <w:trPr>
          <w:trHeight w:val="175"/>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7.9 %</w:t>
            </w:r>
          </w:p>
        </w:tc>
        <w:tc>
          <w:tcPr>
            <w:tcW w:w="14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176"/>
        </w:trPr>
        <w:tc>
          <w:tcPr>
            <w:tcW w:w="4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3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CFF"/>
          </w:tcPr>
          <w:p>
            <w:pPr>
              <w:spacing w:after="0"/>
              <w:rPr>
                <w:sz w:val="15"/>
                <w:szCs w:val="15"/>
                <w:color w:val="auto"/>
              </w:rPr>
            </w:pPr>
          </w:p>
        </w:tc>
      </w:tr>
      <w:tr>
        <w:trPr>
          <w:trHeight w:val="175"/>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17,897</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140" w:type="dxa"/>
            <w:vAlign w:val="bottom"/>
          </w:tcPr>
          <w:p>
            <w:pPr>
              <w:spacing w:after="0"/>
              <w:rPr>
                <w:sz w:val="15"/>
                <w:szCs w:val="15"/>
                <w:color w:val="auto"/>
              </w:rPr>
            </w:pPr>
          </w:p>
        </w:tc>
      </w:tr>
      <w:tr>
        <w:trPr>
          <w:trHeight w:val="176"/>
        </w:trPr>
        <w:tc>
          <w:tcPr>
            <w:tcW w:w="4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50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87,170</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74,445</w:t>
            </w:r>
          </w:p>
        </w:tc>
        <w:tc>
          <w:tcPr>
            <w:tcW w:w="140" w:type="dxa"/>
            <w:vAlign w:val="bottom"/>
            <w:shd w:val="clear" w:color="auto" w:fill="CCECFF"/>
          </w:tcPr>
          <w:p>
            <w:pPr>
              <w:spacing w:after="0"/>
              <w:rPr>
                <w:sz w:val="15"/>
                <w:szCs w:val="15"/>
                <w:color w:val="auto"/>
              </w:rPr>
            </w:pPr>
          </w:p>
        </w:tc>
      </w:tr>
    </w:tbl>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June 30, 2022 ($ in thousands, except share data)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700" w:type="dxa"/>
            <w:vAlign w:val="bottom"/>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60" w:type="dxa"/>
            <w:vAlign w:val="bottom"/>
          </w:tcPr>
          <w:p>
            <w:pPr>
              <w:spacing w:after="0"/>
              <w:rPr>
                <w:sz w:val="14"/>
                <w:szCs w:val="14"/>
                <w:color w:val="auto"/>
              </w:rPr>
            </w:pPr>
          </w:p>
        </w:tc>
        <w:tc>
          <w:tcPr>
            <w:tcW w:w="4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- 693.3%</w:t>
            </w: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5/6/2026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34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3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11/30/2026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Containers, Packaging and Glass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7.22 %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7/24/2025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9.24 %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876</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12/21/2023</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17,463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8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Amsive Holding Corporation (f/k/a Vision Purchaser</w:t>
            </w:r>
          </w:p>
        </w:tc>
        <w:tc>
          <w:tcPr>
            <w:tcW w:w="120" w:type="dxa"/>
            <w:vAlign w:val="bottom"/>
            <w:shd w:val="clear" w:color="auto" w:fill="CCECFF"/>
          </w:tcPr>
          <w:p>
            <w:pPr>
              <w:spacing w:after="0"/>
              <w:rPr>
                <w:sz w:val="8"/>
                <w:szCs w:val="8"/>
                <w:color w:val="auto"/>
              </w:rPr>
            </w:pPr>
          </w:p>
        </w:tc>
        <w:tc>
          <w:tcPr>
            <w:tcW w:w="8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27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Corporation)</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6/10/2025</w:t>
            </w:r>
          </w:p>
        </w:tc>
        <w:tc>
          <w:tcPr>
            <w:tcW w:w="120" w:type="dxa"/>
            <w:vAlign w:val="bottom"/>
            <w:shd w:val="clear" w:color="auto" w:fill="CCECFF"/>
          </w:tcPr>
          <w:p>
            <w:pPr>
              <w:spacing w:after="0"/>
              <w:rPr>
                <w:sz w:val="14"/>
                <w:szCs w:val="14"/>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13,905</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13,757</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13,835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7/21/2027</w:t>
            </w:r>
          </w:p>
        </w:tc>
        <w:tc>
          <w:tcPr>
            <w:tcW w:w="12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6,498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 Term Loan 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12/29/2026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9/17/2024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18,078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17,829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7.58 %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7/13/2027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6.91 %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9,190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9,236</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8/5/2025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6.83 %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15,940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6,445</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11/3/2025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7.42 %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15,182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6.87 %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8,049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5/1/2028</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6.32 %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3/15/2027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6.81 %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3/16/2026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8/10/2027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7.09 %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11/23/2028</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13,990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12/10/2024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14,325</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12/30/2026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9/22/2028</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11/15/2027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6.91 %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5,660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12/7/2023</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9.08 %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16,979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11/1/2026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8/27/2025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7.83 %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17,490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17,412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14,475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8.50 %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2/18/2027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9.25 %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2/3/2026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7.42 %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12,377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12,137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4/1/2027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7,880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4/16/2027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12/10/2027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6.84 %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5/23/2024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15,276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9/28/2027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8/19/2026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6.37 %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7/9/2026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5.61 %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5,316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5,266</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2/4/2028</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(New Issue)</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5/18/2026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4,933</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11/9/2027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8.17 %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5/8/2026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6.76 %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12,676</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2/28/2028</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4,915</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1/29/2026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14,468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6/20/2025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3/10/2025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1/3/2025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5/3/2024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1/17/2024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7.42 %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6.92 %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8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 (f/k/a Management</w:t>
            </w:r>
          </w:p>
        </w:tc>
        <w:tc>
          <w:tcPr>
            <w:tcW w:w="120" w:type="dxa"/>
            <w:vAlign w:val="bottom"/>
            <w:shd w:val="clear" w:color="auto" w:fill="CCECFF"/>
          </w:tcPr>
          <w:p>
            <w:pPr>
              <w:spacing w:after="0"/>
              <w:rPr>
                <w:sz w:val="8"/>
                <w:szCs w:val="8"/>
                <w:color w:val="auto"/>
              </w:rPr>
            </w:pPr>
          </w:p>
        </w:tc>
        <w:tc>
          <w:tcPr>
            <w:tcW w:w="8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27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Consulting &amp; Research,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shd w:val="clear" w:color="auto" w:fill="CCECFF"/>
          </w:tcPr>
          <w:p>
            <w:pPr>
              <w:spacing w:after="0"/>
              <w:rPr>
                <w:sz w:val="14"/>
                <w:szCs w:val="14"/>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8.83 %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9,962</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9,704</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9,803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3/1/2026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7/18/2025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6.31 %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10/31/2025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11,293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7/27/2026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8/30/2027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4,495</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3/26/2026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7.67 %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17,282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6/16/2025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8.76 %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4/3/2028</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6.47 %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11,997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4/3/2024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2/27/2026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11,471</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3/1/2024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40" w:type="dxa"/>
            <w:vAlign w:val="bottom"/>
            <w:tcBorders>
              <w:bottom w:val="single" w:sz="8" w:color="auto"/>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612,509</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608,375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- 693.3%</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- 61.2%</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53,690</w:t>
            </w:r>
          </w:p>
        </w:tc>
        <w:tc>
          <w:tcPr>
            <w:tcW w:w="1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53,690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- 754.4%</w:t>
            </w:r>
          </w:p>
        </w:tc>
        <w:tc>
          <w:tcPr>
            <w:tcW w:w="1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27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666,200</w:t>
            </w:r>
          </w:p>
        </w:tc>
        <w:tc>
          <w:tcPr>
            <w:tcW w:w="22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662,065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58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(654.4)%</w:t>
            </w: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1"/>
                <w:szCs w:val="11"/>
                <w:color w:val="auto"/>
              </w:rPr>
              <w:t>(574,309 )</w:t>
            </w:r>
          </w:p>
        </w:tc>
        <w:tc>
          <w:tcPr>
            <w:tcW w:w="0" w:type="dxa"/>
            <w:vAlign w:val="bottom"/>
          </w:tcPr>
          <w:p>
            <w:pPr>
              <w:spacing w:after="0"/>
              <w:rPr>
                <w:sz w:val="1"/>
                <w:szCs w:val="1"/>
                <w:color w:val="auto"/>
              </w:rPr>
            </w:pPr>
          </w:p>
        </w:tc>
      </w:tr>
      <w:tr>
        <w:trPr>
          <w:trHeight w:val="182"/>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27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87,756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-779145</wp:posOffset>
            </wp:positionV>
            <wp:extent cx="6858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028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-419100</wp:posOffset>
            </wp:positionV>
            <wp:extent cx="68580" cy="102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-230505</wp:posOffset>
            </wp:positionV>
            <wp:extent cx="720090"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09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11912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right="120" w:hanging="372"/>
        <w:spacing w:after="0" w:line="222" w:lineRule="auto"/>
        <w:tabs>
          <w:tab w:leader="none" w:pos="3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ectPr>
          <w:pgSz w:w="11900" w:h="16838" w:orient="portrait"/>
          <w:cols w:equalWidth="0" w:num="1">
            <w:col w:w="11240"/>
          </w:cols>
          <w:pgMar w:left="320" w:top="114" w:right="33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7" w:name="page28"/>
    <w:bookmarkEnd w:id="27"/>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20"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2021 ($ 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9"/>
                <w:szCs w:val="9"/>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780" w:type="dxa"/>
            <w:vAlign w:val="bottom"/>
            <w:gridSpan w:val="3"/>
            <w:vMerge w:val="restart"/>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(2)</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- 570.7%</w:t>
            </w:r>
          </w:p>
        </w:tc>
        <w:tc>
          <w:tcPr>
            <w:tcW w:w="120" w:type="dxa"/>
            <w:vAlign w:val="bottom"/>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8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05/06/26</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3M L + 600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4,920</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07/24/25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L+700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12/21/23</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07/21/27</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07/31/25</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07/31/25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6.55%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12/29/26</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02/13/23</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13,674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08/05/25</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11/03/25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13,428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03/31/28</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12/23/25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03/16/26</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Banking, Finance, Insurance &amp; Real Estate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12/31/26</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12/19/25</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12/10/24</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04/09/27</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08/27/25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12/22/21</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12/20/23</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L+700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10/31/24</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02/03/26</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12,273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04/13/23</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L+825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04/01/27</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05/14/26</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04/16/27</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05/23/24</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05/08/26</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5.65%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03/31/25</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12/18/25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01/29/26</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12/20/24</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06/20/25</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01/03/25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7,526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12/20/24</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05/03/24</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01/17/24</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Communications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L+600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12/11/26</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5.33%</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L+450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03/01/26</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11/20/25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L+525</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07/18/25</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11/24/25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Food</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03/26/26</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06/16/25</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04/03/28</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Aerospace and Defense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L+675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04/03/24</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L+500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7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06/10/25</w:t>
            </w:r>
          </w:p>
        </w:tc>
        <w:tc>
          <w:tcPr>
            <w:tcW w:w="120" w:type="dxa"/>
            <w:vAlign w:val="bottom"/>
          </w:tcPr>
          <w:p>
            <w:pPr>
              <w:spacing w:after="0"/>
              <w:rPr>
                <w:sz w:val="11"/>
                <w:szCs w:val="1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L+675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02/27/26</w:t>
            </w: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409,602</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405,009</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Equivalents—18.9%</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Borders>
              <w:bottom w:val="single" w:sz="8" w:color="CCECFF"/>
            </w:tcBorders>
            <w:shd w:val="clear" w:color="auto" w:fill="CCECFF"/>
          </w:tcPr>
          <w:p>
            <w:pPr>
              <w:spacing w:after="0"/>
              <w:rPr>
                <w:sz w:val="11"/>
                <w:szCs w:val="11"/>
                <w:color w:val="auto"/>
              </w:rPr>
            </w:pPr>
          </w:p>
        </w:tc>
        <w:tc>
          <w:tcPr>
            <w:tcW w:w="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6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Equivalents—592.7%</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416,023</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40" w:type="dxa"/>
            <w:vAlign w:val="bottom"/>
            <w:tcBorders>
              <w:bottom w:val="single" w:sz="8" w:color="CCECFF"/>
            </w:tcBorders>
            <w:shd w:val="clear" w:color="auto" w:fill="CCEC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Assets—(492.7)%</w:t>
            </w:r>
          </w:p>
        </w:tc>
        <w:tc>
          <w:tcPr>
            <w:tcW w:w="12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268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5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auto"/>
            </w:tcBorders>
            <w:shd w:val="clear" w:color="auto" w:fill="CCECFF"/>
          </w:tcPr>
          <w:p>
            <w:pPr>
              <w:spacing w:after="0"/>
              <w:rPr>
                <w:sz w:val="8"/>
                <w:szCs w:val="8"/>
                <w:color w:val="auto"/>
              </w:rPr>
            </w:pPr>
          </w:p>
        </w:tc>
        <w:tc>
          <w:tcPr>
            <w:tcW w:w="52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(348,213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-325120</wp:posOffset>
            </wp:positionV>
            <wp:extent cx="68580" cy="1200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200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23" w:lineRule="exact"/>
        <w:rPr>
          <w:sz w:val="20"/>
          <w:szCs w:val="20"/>
          <w:color w:val="auto"/>
        </w:rPr>
      </w:pPr>
    </w:p>
    <w:p>
      <w:pPr>
        <w:ind w:left="380" w:right="20" w:hanging="372"/>
        <w:spacing w:after="0" w:line="230" w:lineRule="auto"/>
        <w:tabs>
          <w:tab w:leader="none" w:pos="38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4"/>
          <w:szCs w:val="14"/>
          <w:color w:val="auto"/>
          <w:vertAlign w:val="superscript"/>
        </w:rPr>
      </w:pP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PSLF ($ in thousands):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54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(cost—$612,509 and $405,009, respectively)</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608,375</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(cost—$53,690 and $11,013, respectively)</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53,690</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70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664,615</w:t>
            </w:r>
          </w:p>
        </w:tc>
        <w:tc>
          <w:tcPr>
            <w:tcW w:w="22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 payable to Members</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67,265</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110,900</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224,000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2034 Asset-backed debt, net (par—$246,000)</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243,799</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145,472</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106,041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70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576,859</w:t>
            </w:r>
          </w:p>
        </w:tc>
        <w:tc>
          <w:tcPr>
            <w:tcW w:w="22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349,389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0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87,756</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 w:type="dxa"/>
            <w:vAlign w:val="bottom"/>
            <w:tcBorders>
              <w:bottom w:val="single" w:sz="8" w:color="CCECFF"/>
            </w:tcBorders>
            <w:shd w:val="clear" w:color="auto" w:fill="CCECFF"/>
          </w:tcPr>
          <w:p>
            <w:pPr>
              <w:spacing w:after="0"/>
              <w:rPr>
                <w:sz w:val="18"/>
                <w:szCs w:val="18"/>
                <w:color w:val="auto"/>
              </w:rPr>
            </w:pPr>
          </w:p>
        </w:tc>
        <w:tc>
          <w:tcPr>
            <w:tcW w:w="5000" w:type="dxa"/>
            <w:vAlign w:val="bottom"/>
            <w:tcBorders>
              <w:bottom w:val="single" w:sz="8" w:color="CCECFF"/>
            </w:tcBorders>
            <w:shd w:val="clear" w:color="auto" w:fill="CCEC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70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664,615</w:t>
            </w:r>
          </w:p>
        </w:tc>
        <w:tc>
          <w:tcPr>
            <w:tcW w:w="220" w:type="dxa"/>
            <w:vAlign w:val="bottom"/>
            <w:tcBorders>
              <w:bottom w:val="single" w:sz="8" w:color="CCECFF"/>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5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(1)</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As of June 30, 2022 and September 30, 2021, PSLF did not have any unfunded commitments to fund investments.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120" w:type="dxa"/>
            <w:vAlign w:val="bottom"/>
          </w:tcPr>
          <w:p>
            <w:pPr>
              <w:spacing w:after="0"/>
              <w:rPr>
                <w:sz w:val="24"/>
                <w:szCs w:val="24"/>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PSLF ($ in thousands):</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CCECFF"/>
          </w:tcPr>
          <w:p>
            <w:pPr>
              <w:spacing w:after="0"/>
              <w:rPr>
                <w:sz w:val="15"/>
                <w:szCs w:val="15"/>
                <w:color w:val="auto"/>
              </w:rPr>
            </w:pPr>
          </w:p>
        </w:tc>
        <w:tc>
          <w:tcPr>
            <w:tcW w:w="50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Interest</w:t>
            </w:r>
          </w:p>
        </w:tc>
        <w:tc>
          <w:tcPr>
            <w:tcW w:w="1540" w:type="dxa"/>
            <w:vAlign w:val="bottom"/>
            <w:gridSpan w:val="2"/>
            <w:shd w:val="clear" w:color="auto" w:fill="CCEC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7,101</w:t>
            </w: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23,759</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20,359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income</w:t>
            </w:r>
          </w:p>
        </w:tc>
        <w:tc>
          <w:tcPr>
            <w:tcW w:w="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70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8,509</w:t>
            </w:r>
          </w:p>
        </w:tc>
        <w:tc>
          <w:tcPr>
            <w:tcW w:w="2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2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23,919</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22,167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CCECFF"/>
          </w:tcPr>
          <w:p>
            <w:pPr>
              <w:spacing w:after="0"/>
              <w:rPr>
                <w:sz w:val="15"/>
                <w:szCs w:val="15"/>
                <w:color w:val="auto"/>
              </w:rPr>
            </w:pPr>
          </w:p>
        </w:tc>
        <w:tc>
          <w:tcPr>
            <w:tcW w:w="50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CCECFF"/>
          </w:tcPr>
          <w:p>
            <w:pPr>
              <w:spacing w:after="0"/>
              <w:rPr>
                <w:sz w:val="15"/>
                <w:szCs w:val="15"/>
                <w:color w:val="auto"/>
              </w:rPr>
            </w:pPr>
          </w:p>
        </w:tc>
        <w:tc>
          <w:tcPr>
            <w:tcW w:w="50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7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70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2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2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14,913</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13,063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20" w:type="dxa"/>
            <w:vAlign w:val="bottom"/>
            <w:gridSpan w:val="2"/>
            <w:shd w:val="clear" w:color="auto" w:fill="CCEC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credit facility foreign</w:t>
            </w:r>
          </w:p>
        </w:tc>
        <w:tc>
          <w:tcPr>
            <w:tcW w:w="70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0" w:type="dxa"/>
            <w:vAlign w:val="bottom"/>
            <w:shd w:val="clear" w:color="auto" w:fill="CCECFF"/>
          </w:tcPr>
          <w:p>
            <w:pPr>
              <w:spacing w:after="0"/>
              <w:rPr>
                <w:sz w:val="16"/>
                <w:szCs w:val="16"/>
                <w:color w:val="auto"/>
              </w:rPr>
            </w:pPr>
          </w:p>
        </w:tc>
        <w:tc>
          <w:tcPr>
            <w:tcW w:w="50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currency translations:</w:t>
            </w:r>
          </w:p>
        </w:tc>
        <w:tc>
          <w:tcPr>
            <w:tcW w:w="70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68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7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Investments</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(3,630 )</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(4,357 )</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w:t>
            </w:r>
          </w:p>
        </w:tc>
        <w:tc>
          <w:tcPr>
            <w:tcW w:w="70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top w:val="single" w:sz="8" w:color="auto"/>
              <w:bottom w:val="single" w:sz="8" w:color="auto"/>
            </w:tcBorders>
            <w:shd w:val="clear" w:color="auto" w:fill="CCECFF"/>
          </w:tcPr>
          <w:p>
            <w:pPr>
              <w:spacing w:after="0"/>
              <w:rPr>
                <w:sz w:val="14"/>
                <w:szCs w:val="14"/>
                <w:color w:val="auto"/>
              </w:rPr>
            </w:pPr>
          </w:p>
        </w:tc>
        <w:tc>
          <w:tcPr>
            <w:tcW w:w="44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top w:val="single" w:sz="8" w:color="auto"/>
              <w:bottom w:val="single" w:sz="8" w:color="auto"/>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4,546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(loss) gain from investments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(3,510 )</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(3,851 )</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700" w:type="dxa"/>
            <w:vAlign w:val="bottom"/>
          </w:tcPr>
          <w:p>
            <w:pPr>
              <w:spacing w:after="0"/>
              <w:rPr>
                <w:sz w:val="15"/>
                <w:szCs w:val="15"/>
                <w:color w:val="auto"/>
              </w:rPr>
            </w:pPr>
          </w:p>
        </w:tc>
        <w:tc>
          <w:tcPr>
            <w:tcW w:w="84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3,954</w:t>
            </w:r>
          </w:p>
        </w:tc>
        <w:tc>
          <w:tcPr>
            <w:tcW w:w="240" w:type="dxa"/>
            <w:vAlign w:val="bottom"/>
          </w:tcPr>
          <w:p>
            <w:pPr>
              <w:spacing w:after="0"/>
              <w:rPr>
                <w:sz w:val="15"/>
                <w:szCs w:val="15"/>
                <w:color w:val="auto"/>
              </w:rPr>
            </w:pPr>
          </w:p>
        </w:tc>
        <w:tc>
          <w:tcPr>
            <w:tcW w:w="56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2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-4533900</wp:posOffset>
            </wp:positionV>
            <wp:extent cx="68580" cy="1200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-4533900</wp:posOffset>
            </wp:positionV>
            <wp:extent cx="68580" cy="1200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-3402330</wp:posOffset>
            </wp:positionV>
            <wp:extent cx="6858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-3162300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-3145155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-1722120</wp:posOffset>
            </wp:positionV>
            <wp:extent cx="76835"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-1722120</wp:posOffset>
            </wp:positionV>
            <wp:extent cx="77470" cy="120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-1722120</wp:posOffset>
            </wp:positionV>
            <wp:extent cx="6858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200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-1036320</wp:posOffset>
            </wp:positionV>
            <wp:extent cx="7683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-1036320</wp:posOffset>
            </wp:positionV>
            <wp:extent cx="7747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-1036320</wp:posOffset>
            </wp:positionV>
            <wp:extent cx="68580"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65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w:t>
      </w:r>
    </w:p>
    <w:p>
      <w:pPr>
        <w:ind w:left="380" w:hanging="372"/>
        <w:spacing w:after="0" w:line="201" w:lineRule="auto"/>
        <w:tabs>
          <w:tab w:leader="none" w:pos="380" w:val="left"/>
        </w:tabs>
        <w:numPr>
          <w:ilvl w:val="0"/>
          <w:numId w:val="2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 management or incentive fees are payable by PSLF.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2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217"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jc w:val="both"/>
        <w:ind w:left="1720" w:right="700" w:hanging="1133"/>
        <w:spacing w:after="0" w:line="241" w:lineRule="auto"/>
        <w:tabs>
          <w:tab w:leader="none" w:pos="170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6" w:lineRule="exact"/>
        <w:rPr>
          <w:sz w:val="20"/>
          <w:szCs w:val="20"/>
          <w:color w:val="auto"/>
        </w:rPr>
      </w:pPr>
    </w:p>
    <w:p>
      <w:pPr>
        <w:jc w:val="both"/>
        <w:ind w:left="1720" w:right="700" w:hanging="1133"/>
        <w:spacing w:after="0" w:line="261" w:lineRule="auto"/>
        <w:tabs>
          <w:tab w:leader="none" w:pos="170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9" w:name="page30"/>
    <w:bookmarkEnd w:id="29"/>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33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Facility and our SBA debentures are classified as Level 3. Our 2024 Notes are classified as Level 1 and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6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2024 Notes, our 2026 Notes, our 2026 Notes -2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5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81"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3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 in thousands)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4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0" w:type="dxa"/>
            <w:vAlign w:val="bottom"/>
          </w:tcPr>
          <w:p>
            <w:pPr>
              <w:spacing w:after="0"/>
              <w:rPr>
                <w:sz w:val="13"/>
                <w:szCs w:val="13"/>
                <w:color w:val="auto"/>
              </w:rPr>
            </w:pPr>
          </w:p>
        </w:tc>
        <w:tc>
          <w:tcPr>
            <w:tcW w:w="166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560" w:type="dxa"/>
            <w:vAlign w:val="bottom"/>
            <w:vMerge w:val="restart"/>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51,492</w:t>
            </w:r>
          </w:p>
        </w:tc>
        <w:tc>
          <w:tcPr>
            <w:tcW w:w="240" w:type="dxa"/>
            <w:vAlign w:val="bottom"/>
            <w:shd w:val="clear" w:color="auto" w:fill="CCECFF"/>
          </w:tcPr>
          <w:p>
            <w:pPr>
              <w:spacing w:after="0"/>
              <w:rPr>
                <w:sz w:val="14"/>
                <w:szCs w:val="14"/>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shd w:val="clear" w:color="auto" w:fill="CCECFF"/>
          </w:tcPr>
          <w:p>
            <w:pPr>
              <w:spacing w:after="0"/>
              <w:rPr>
                <w:sz w:val="14"/>
                <w:szCs w:val="14"/>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00" w:type="dxa"/>
            <w:vAlign w:val="bottom"/>
            <w:shd w:val="clear" w:color="auto" w:fill="CCECFF"/>
          </w:tcPr>
          <w:p>
            <w:pPr>
              <w:spacing w:after="0"/>
              <w:rPr>
                <w:sz w:val="14"/>
                <w:szCs w:val="14"/>
                <w:color w:val="auto"/>
              </w:rPr>
            </w:pPr>
          </w:p>
        </w:tc>
        <w:tc>
          <w:tcPr>
            <w:tcW w:w="1660" w:type="dxa"/>
            <w:vAlign w:val="bottom"/>
            <w:shd w:val="clear" w:color="auto" w:fill="CCECFF"/>
          </w:tcPr>
          <w:p>
            <w:pPr>
              <w:jc w:val="center"/>
              <w:ind w:left="488"/>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670,278</w:t>
            </w:r>
          </w:p>
        </w:tc>
        <w:tc>
          <w:tcPr>
            <w:tcW w:w="24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rPr>
              <w:t>7.0% - 20.2% (10.3%)</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21,825</w:t>
            </w: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shd w:val="clear" w:color="auto" w:fill="CCECFF"/>
          </w:tcPr>
          <w:p>
            <w:pPr>
              <w:spacing w:after="0"/>
              <w:rPr>
                <w:sz w:val="15"/>
                <w:szCs w:val="15"/>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00" w:type="dxa"/>
            <w:vAlign w:val="bottom"/>
            <w:shd w:val="clear" w:color="auto" w:fill="CCECFF"/>
          </w:tcPr>
          <w:p>
            <w:pPr>
              <w:spacing w:after="0"/>
              <w:rPr>
                <w:sz w:val="15"/>
                <w:szCs w:val="15"/>
                <w:color w:val="auto"/>
              </w:rPr>
            </w:pPr>
          </w:p>
        </w:tc>
        <w:tc>
          <w:tcPr>
            <w:tcW w:w="1660" w:type="dxa"/>
            <w:vAlign w:val="bottom"/>
            <w:shd w:val="clear" w:color="auto" w:fill="CCECFF"/>
          </w:tcPr>
          <w:p>
            <w:pPr>
              <w:jc w:val="center"/>
              <w:ind w:left="488"/>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101,318</w:t>
            </w:r>
          </w:p>
        </w:tc>
        <w:tc>
          <w:tcPr>
            <w:tcW w:w="24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rPr>
              <w:t>9.2% - 14.1% (12.7%)</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20" w:type="dxa"/>
            <w:vAlign w:val="bottom"/>
            <w:shd w:val="clear" w:color="auto" w:fill="CCECFF"/>
          </w:tcPr>
          <w:p>
            <w:pPr>
              <w:spacing w:after="0"/>
              <w:rPr>
                <w:sz w:val="15"/>
                <w:szCs w:val="15"/>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00" w:type="dxa"/>
            <w:vAlign w:val="bottom"/>
            <w:shd w:val="clear" w:color="auto" w:fill="CCECFF"/>
          </w:tcPr>
          <w:p>
            <w:pPr>
              <w:spacing w:after="0"/>
              <w:rPr>
                <w:sz w:val="15"/>
                <w:szCs w:val="15"/>
                <w:color w:val="auto"/>
              </w:rPr>
            </w:pPr>
          </w:p>
        </w:tc>
        <w:tc>
          <w:tcPr>
            <w:tcW w:w="1660" w:type="dxa"/>
            <w:vAlign w:val="bottom"/>
            <w:shd w:val="clear" w:color="auto" w:fill="CCECFF"/>
          </w:tcPr>
          <w:p>
            <w:pPr>
              <w:jc w:val="center"/>
              <w:ind w:left="488"/>
              <w:spacing w:after="0"/>
              <w:rPr>
                <w:sz w:val="20"/>
                <w:szCs w:val="20"/>
                <w:color w:val="auto"/>
              </w:rPr>
            </w:pPr>
            <w:r>
              <w:rPr>
                <w:rFonts w:ascii="Times New Roman" w:cs="Times New Roman" w:eastAsia="Times New Roman" w:hAnsi="Times New Roman"/>
                <w:sz w:val="14"/>
                <w:szCs w:val="14"/>
                <w:color w:val="auto"/>
              </w:rPr>
              <w:t>5.3x</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121,161</w:t>
            </w:r>
          </w:p>
        </w:tc>
        <w:tc>
          <w:tcPr>
            <w:tcW w:w="24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rPr>
              <w:t>9.3% - 13.2% (10.4%)</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251,534</w:t>
            </w:r>
          </w:p>
        </w:tc>
        <w:tc>
          <w:tcPr>
            <w:tcW w:w="240" w:type="dxa"/>
            <w:vAlign w:val="bottom"/>
            <w:shd w:val="clear" w:color="auto" w:fill="CCECFF"/>
          </w:tcPr>
          <w:p>
            <w:pPr>
              <w:spacing w:after="0"/>
              <w:rPr>
                <w:sz w:val="15"/>
                <w:szCs w:val="15"/>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20" w:type="dxa"/>
            <w:vAlign w:val="bottom"/>
            <w:shd w:val="clear" w:color="auto" w:fill="CCECFF"/>
          </w:tcPr>
          <w:p>
            <w:pPr>
              <w:spacing w:after="0"/>
              <w:rPr>
                <w:sz w:val="15"/>
                <w:szCs w:val="15"/>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00" w:type="dxa"/>
            <w:vAlign w:val="bottom"/>
            <w:shd w:val="clear" w:color="auto" w:fill="CCECFF"/>
          </w:tcPr>
          <w:p>
            <w:pPr>
              <w:spacing w:after="0"/>
              <w:rPr>
                <w:sz w:val="15"/>
                <w:szCs w:val="15"/>
                <w:color w:val="auto"/>
              </w:rPr>
            </w:pPr>
          </w:p>
        </w:tc>
        <w:tc>
          <w:tcPr>
            <w:tcW w:w="1660" w:type="dxa"/>
            <w:vAlign w:val="bottom"/>
            <w:shd w:val="clear" w:color="auto" w:fill="CCECFF"/>
          </w:tcPr>
          <w:p>
            <w:pPr>
              <w:jc w:val="center"/>
              <w:ind w:left="508"/>
              <w:spacing w:after="0"/>
              <w:rPr>
                <w:sz w:val="20"/>
                <w:szCs w:val="20"/>
                <w:color w:val="auto"/>
              </w:rPr>
            </w:pPr>
            <w:r>
              <w:rPr>
                <w:rFonts w:ascii="Times New Roman" w:cs="Times New Roman" w:eastAsia="Times New Roman" w:hAnsi="Times New Roman"/>
                <w:sz w:val="14"/>
                <w:szCs w:val="14"/>
                <w:color w:val="auto"/>
              </w:rPr>
              <w:t>3.4x - 21.5x (8.1x)</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21,863</w:t>
            </w:r>
          </w:p>
        </w:tc>
        <w:tc>
          <w:tcPr>
            <w:tcW w:w="24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20" w:type="dxa"/>
            <w:vAlign w:val="bottom"/>
          </w:tcPr>
          <w:p>
            <w:pPr>
              <w:spacing w:after="0"/>
              <w:rPr>
                <w:sz w:val="15"/>
                <w:szCs w:val="15"/>
                <w:color w:val="auto"/>
              </w:rPr>
            </w:pPr>
          </w:p>
        </w:tc>
        <w:tc>
          <w:tcPr>
            <w:tcW w:w="210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color w:val="auto"/>
                <w:w w:val="96"/>
              </w:rPr>
              <w:t>DLOM</w:t>
            </w:r>
            <w:r>
              <w:rPr>
                <w:rFonts w:ascii="Times New Roman" w:cs="Times New Roman" w:eastAsia="Times New Roman" w:hAnsi="Times New Roman"/>
                <w:sz w:val="19"/>
                <w:szCs w:val="19"/>
                <w:color w:val="auto"/>
                <w:w w:val="96"/>
                <w:vertAlign w:val="superscript"/>
              </w:rPr>
              <w:t>(2)</w:t>
            </w:r>
          </w:p>
        </w:tc>
        <w:tc>
          <w:tcPr>
            <w:tcW w:w="176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color w:val="auto"/>
                <w:w w:val="99"/>
              </w:rPr>
              <w:t>11.8%</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1,246,034</w:t>
            </w:r>
          </w:p>
        </w:tc>
        <w:tc>
          <w:tcPr>
            <w:tcW w:w="240" w:type="dxa"/>
            <w:vAlign w:val="bottom"/>
            <w:shd w:val="clear" w:color="auto" w:fill="CCECFF"/>
          </w:tcPr>
          <w:p>
            <w:pPr>
              <w:spacing w:after="0"/>
              <w:rPr>
                <w:sz w:val="14"/>
                <w:szCs w:val="14"/>
                <w:color w:val="auto"/>
              </w:rPr>
            </w:pPr>
          </w:p>
        </w:tc>
        <w:tc>
          <w:tcPr>
            <w:tcW w:w="2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Debt Category </w:t>
            </w:r>
            <w:r>
              <w:rPr>
                <w:rFonts w:ascii="Times New Roman" w:cs="Times New Roman" w:eastAsia="Times New Roman" w:hAnsi="Times New Roman"/>
                <w:sz w:val="14"/>
                <w:szCs w:val="14"/>
                <w:color w:val="auto"/>
              </w:rPr>
              <w:t>($ in thousands)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8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1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412,005</w:t>
            </w:r>
          </w:p>
        </w:tc>
        <w:tc>
          <w:tcPr>
            <w:tcW w:w="240" w:type="dxa"/>
            <w:vAlign w:val="bottom"/>
            <w:tcBorders>
              <w:bottom w:val="single" w:sz="8" w:color="CCECFF"/>
            </w:tcBorders>
            <w:shd w:val="clear" w:color="auto" w:fill="CCECFF"/>
          </w:tcPr>
          <w:p>
            <w:pPr>
              <w:spacing w:after="0"/>
              <w:rPr>
                <w:sz w:val="18"/>
                <w:szCs w:val="18"/>
                <w:color w:val="auto"/>
              </w:rPr>
            </w:pPr>
          </w:p>
        </w:tc>
        <w:tc>
          <w:tcPr>
            <w:tcW w:w="2100" w:type="dxa"/>
            <w:vAlign w:val="bottom"/>
            <w:tcBorders>
              <w:bottom w:val="single" w:sz="8" w:color="CCECFF"/>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Borders>
              <w:bottom w:val="single" w:sz="8" w:color="CCECFF"/>
            </w:tcBorders>
            <w:shd w:val="clear" w:color="auto" w:fill="CCECFF"/>
          </w:tcPr>
          <w:p>
            <w:pPr>
              <w:spacing w:after="0"/>
              <w:rPr>
                <w:sz w:val="18"/>
                <w:szCs w:val="18"/>
                <w:color w:val="auto"/>
              </w:rPr>
            </w:pPr>
          </w:p>
        </w:tc>
        <w:tc>
          <w:tcPr>
            <w:tcW w:w="2100" w:type="dxa"/>
            <w:vAlign w:val="bottom"/>
            <w:tcBorders>
              <w:bottom w:val="single" w:sz="8" w:color="CCECFF"/>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760" w:type="dxa"/>
            <w:vAlign w:val="bottom"/>
            <w:tcBorders>
              <w:bottom w:val="single" w:sz="8" w:color="CCECFF"/>
            </w:tcBorders>
            <w:gridSpan w:val="2"/>
            <w:shd w:val="clear" w:color="auto" w:fill="CCECFF"/>
          </w:tcPr>
          <w:p>
            <w:pPr>
              <w:jc w:val="center"/>
              <w:ind w:left="588"/>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5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35" w:lineRule="exact"/>
        <w:rPr>
          <w:rFonts w:ascii="Times New Roman" w:cs="Times New Roman" w:eastAsia="Times New Roman" w:hAnsi="Times New Roman"/>
          <w:sz w:val="11"/>
          <w:szCs w:val="11"/>
          <w:color w:val="auto"/>
        </w:rPr>
      </w:pPr>
    </w:p>
    <w:p>
      <w:pPr>
        <w:ind w:left="760" w:hanging="378"/>
        <w:spacing w:after="0"/>
        <w:tabs>
          <w:tab w:leader="none" w:pos="7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DLOM is defined as discount for lack of marketability.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535"/>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r>
      <w:tr>
        <w:trPr>
          <w:trHeight w:val="18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Asset Category </w:t>
            </w:r>
            <w:r>
              <w:rPr>
                <w:rFonts w:ascii="Times New Roman" w:cs="Times New Roman" w:eastAsia="Times New Roman" w:hAnsi="Times New Roman"/>
                <w:sz w:val="14"/>
                <w:szCs w:val="14"/>
                <w:color w:val="auto"/>
              </w:rPr>
              <w:t>($ in thousands)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4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0" w:type="dxa"/>
            <w:vAlign w:val="bottom"/>
          </w:tcPr>
          <w:p>
            <w:pPr>
              <w:spacing w:after="0"/>
              <w:rPr>
                <w:sz w:val="16"/>
                <w:szCs w:val="16"/>
                <w:color w:val="auto"/>
              </w:rPr>
            </w:pPr>
          </w:p>
        </w:tc>
        <w:tc>
          <w:tcPr>
            <w:tcW w:w="21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 xml:space="preserve">(Weighted Average) </w:t>
            </w:r>
            <w:r>
              <w:rPr>
                <w:rFonts w:ascii="Times New Roman" w:cs="Times New Roman" w:eastAsia="Times New Roman" w:hAnsi="Times New Roman"/>
                <w:sz w:val="19"/>
                <w:szCs w:val="19"/>
                <w:b w:val="1"/>
                <w:bCs w:val="1"/>
                <w:color w:val="auto"/>
                <w:w w:val="98"/>
                <w:vertAlign w:val="superscript"/>
              </w:rPr>
              <w:t>(1)</w:t>
            </w:r>
          </w:p>
        </w:tc>
      </w:tr>
      <w:tr>
        <w:trPr>
          <w:trHeight w:val="169"/>
        </w:trPr>
        <w:tc>
          <w:tcPr>
            <w:tcW w:w="2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90,266</w:t>
            </w:r>
          </w:p>
        </w:tc>
        <w:tc>
          <w:tcPr>
            <w:tcW w:w="240" w:type="dxa"/>
            <w:vAlign w:val="bottom"/>
            <w:shd w:val="clear" w:color="auto" w:fill="CCECFF"/>
          </w:tcPr>
          <w:p>
            <w:pPr>
              <w:spacing w:after="0"/>
              <w:rPr>
                <w:sz w:val="14"/>
                <w:szCs w:val="14"/>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shd w:val="clear" w:color="auto" w:fill="CCECFF"/>
          </w:tcPr>
          <w:p>
            <w:pPr>
              <w:spacing w:after="0"/>
              <w:rPr>
                <w:sz w:val="14"/>
                <w:szCs w:val="14"/>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00" w:type="dxa"/>
            <w:vAlign w:val="bottom"/>
            <w:shd w:val="clear" w:color="auto" w:fill="CCECFF"/>
          </w:tcPr>
          <w:p>
            <w:pPr>
              <w:spacing w:after="0"/>
              <w:rPr>
                <w:sz w:val="14"/>
                <w:szCs w:val="14"/>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7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462,264</w:t>
            </w:r>
          </w:p>
        </w:tc>
        <w:tc>
          <w:tcPr>
            <w:tcW w:w="24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 – 13.1% (8.1%)</w:t>
            </w:r>
          </w:p>
        </w:tc>
      </w:tr>
      <w:tr>
        <w:trPr>
          <w:trHeight w:val="175"/>
        </w:trPr>
        <w:tc>
          <w:tcPr>
            <w:tcW w:w="2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39,298</w:t>
            </w:r>
          </w:p>
        </w:tc>
        <w:tc>
          <w:tcPr>
            <w:tcW w:w="240" w:type="dxa"/>
            <w:vAlign w:val="bottom"/>
            <w:shd w:val="clear" w:color="auto" w:fill="CCECFF"/>
          </w:tcPr>
          <w:p>
            <w:pPr>
              <w:spacing w:after="0"/>
              <w:rPr>
                <w:sz w:val="15"/>
                <w:szCs w:val="15"/>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shd w:val="clear" w:color="auto" w:fill="CCECFF"/>
          </w:tcPr>
          <w:p>
            <w:pPr>
              <w:spacing w:after="0"/>
              <w:rPr>
                <w:sz w:val="15"/>
                <w:szCs w:val="15"/>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00" w:type="dxa"/>
            <w:vAlign w:val="bottom"/>
            <w:shd w:val="clear" w:color="auto" w:fill="CCECFF"/>
          </w:tcPr>
          <w:p>
            <w:pPr>
              <w:spacing w:after="0"/>
              <w:rPr>
                <w:sz w:val="15"/>
                <w:szCs w:val="15"/>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r>
        <w:trPr>
          <w:trHeight w:val="17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126,509</w:t>
            </w:r>
          </w:p>
        </w:tc>
        <w:tc>
          <w:tcPr>
            <w:tcW w:w="24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 – 11.5% (10.7%)</w:t>
            </w:r>
          </w:p>
        </w:tc>
      </w:tr>
      <w:tr>
        <w:trPr>
          <w:trHeight w:val="175"/>
        </w:trPr>
        <w:tc>
          <w:tcPr>
            <w:tcW w:w="2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11,087</w:t>
            </w:r>
          </w:p>
        </w:tc>
        <w:tc>
          <w:tcPr>
            <w:tcW w:w="240" w:type="dxa"/>
            <w:vAlign w:val="bottom"/>
            <w:shd w:val="clear" w:color="auto" w:fill="CCECFF"/>
          </w:tcPr>
          <w:p>
            <w:pPr>
              <w:spacing w:after="0"/>
              <w:rPr>
                <w:sz w:val="15"/>
                <w:szCs w:val="15"/>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20" w:type="dxa"/>
            <w:vAlign w:val="bottom"/>
            <w:shd w:val="clear" w:color="auto" w:fill="CCECFF"/>
          </w:tcPr>
          <w:p>
            <w:pPr>
              <w:spacing w:after="0"/>
              <w:rPr>
                <w:sz w:val="15"/>
                <w:szCs w:val="15"/>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00" w:type="dxa"/>
            <w:vAlign w:val="bottom"/>
            <w:shd w:val="clear" w:color="auto" w:fill="CCECFF"/>
          </w:tcPr>
          <w:p>
            <w:pPr>
              <w:spacing w:after="0"/>
              <w:rPr>
                <w:sz w:val="15"/>
                <w:szCs w:val="15"/>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w w:val="97"/>
              </w:rPr>
              <w:t>5.4x</w:t>
            </w:r>
          </w:p>
        </w:tc>
      </w:tr>
      <w:tr>
        <w:trPr>
          <w:trHeight w:val="17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121,170</w:t>
            </w:r>
          </w:p>
        </w:tc>
        <w:tc>
          <w:tcPr>
            <w:tcW w:w="24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0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 – 17.1% (12.5%)</w:t>
            </w:r>
          </w:p>
        </w:tc>
      </w:tr>
      <w:tr>
        <w:trPr>
          <w:trHeight w:val="176"/>
        </w:trPr>
        <w:tc>
          <w:tcPr>
            <w:tcW w:w="2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278,486</w:t>
            </w:r>
          </w:p>
        </w:tc>
        <w:tc>
          <w:tcPr>
            <w:tcW w:w="240" w:type="dxa"/>
            <w:vAlign w:val="bottom"/>
            <w:shd w:val="clear" w:color="auto" w:fill="CCECFF"/>
          </w:tcPr>
          <w:p>
            <w:pPr>
              <w:spacing w:after="0"/>
              <w:rPr>
                <w:sz w:val="15"/>
                <w:szCs w:val="15"/>
                <w:color w:val="auto"/>
              </w:rPr>
            </w:pPr>
          </w:p>
        </w:tc>
        <w:tc>
          <w:tcPr>
            <w:tcW w:w="2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20" w:type="dxa"/>
            <w:vAlign w:val="bottom"/>
            <w:shd w:val="clear" w:color="auto" w:fill="CCECFF"/>
          </w:tcPr>
          <w:p>
            <w:pPr>
              <w:spacing w:after="0"/>
              <w:rPr>
                <w:sz w:val="15"/>
                <w:szCs w:val="15"/>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00" w:type="dxa"/>
            <w:vAlign w:val="bottom"/>
            <w:shd w:val="clear" w:color="auto" w:fill="CCECFF"/>
          </w:tcPr>
          <w:p>
            <w:pPr>
              <w:spacing w:after="0"/>
              <w:rPr>
                <w:sz w:val="15"/>
                <w:szCs w:val="15"/>
                <w:color w:val="auto"/>
              </w:rPr>
            </w:pPr>
          </w:p>
        </w:tc>
        <w:tc>
          <w:tcPr>
            <w:tcW w:w="2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2.6x – 18.5x (8.5x)</w:t>
            </w:r>
          </w:p>
        </w:tc>
      </w:tr>
      <w:tr>
        <w:trPr>
          <w:trHeight w:val="17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60,808</w:t>
            </w:r>
          </w:p>
        </w:tc>
        <w:tc>
          <w:tcPr>
            <w:tcW w:w="24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20" w:type="dxa"/>
            <w:vAlign w:val="bottom"/>
          </w:tcPr>
          <w:p>
            <w:pPr>
              <w:spacing w:after="0"/>
              <w:rPr>
                <w:sz w:val="15"/>
                <w:szCs w:val="15"/>
                <w:color w:val="auto"/>
              </w:rPr>
            </w:pPr>
          </w:p>
        </w:tc>
        <w:tc>
          <w:tcPr>
            <w:tcW w:w="21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color w:val="auto"/>
                <w:w w:val="96"/>
              </w:rPr>
              <w:t>DLOM</w:t>
            </w:r>
            <w:r>
              <w:rPr>
                <w:rFonts w:ascii="Times New Roman" w:cs="Times New Roman" w:eastAsia="Times New Roman" w:hAnsi="Times New Roman"/>
                <w:sz w:val="19"/>
                <w:szCs w:val="19"/>
                <w:color w:val="auto"/>
                <w:w w:val="96"/>
                <w:vertAlign w:val="superscript"/>
              </w:rPr>
              <w:t>(2)</w:t>
            </w:r>
          </w:p>
        </w:tc>
        <w:tc>
          <w:tcPr>
            <w:tcW w:w="2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9.3%</w:t>
            </w:r>
          </w:p>
        </w:tc>
      </w:tr>
      <w:tr>
        <w:trPr>
          <w:trHeight w:val="176"/>
        </w:trPr>
        <w:tc>
          <w:tcPr>
            <w:tcW w:w="2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80" w:type="dxa"/>
            <w:vAlign w:val="bottom"/>
            <w:tcBorders>
              <w:bottom w:val="single" w:sz="8" w:color="CCECFF"/>
            </w:tcBorders>
            <w:shd w:val="clear" w:color="auto" w:fill="CCECFF"/>
          </w:tcPr>
          <w:p>
            <w:pPr>
              <w:spacing w:after="0"/>
              <w:rPr>
                <w:sz w:val="15"/>
                <w:szCs w:val="15"/>
                <w:color w:val="auto"/>
              </w:rPr>
            </w:pPr>
          </w:p>
        </w:tc>
        <w:tc>
          <w:tcPr>
            <w:tcW w:w="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21,133</w:t>
            </w:r>
          </w:p>
        </w:tc>
        <w:tc>
          <w:tcPr>
            <w:tcW w:w="240" w:type="dxa"/>
            <w:vAlign w:val="bottom"/>
            <w:tcBorders>
              <w:bottom w:val="single" w:sz="8" w:color="CCECFF"/>
            </w:tcBorders>
            <w:shd w:val="clear" w:color="auto" w:fill="CCECFF"/>
          </w:tcPr>
          <w:p>
            <w:pPr>
              <w:spacing w:after="0"/>
              <w:rPr>
                <w:sz w:val="15"/>
                <w:szCs w:val="15"/>
                <w:color w:val="auto"/>
              </w:rPr>
            </w:pPr>
          </w:p>
        </w:tc>
        <w:tc>
          <w:tcPr>
            <w:tcW w:w="21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Borders>
              <w:bottom w:val="single" w:sz="8" w:color="CCECFF"/>
            </w:tcBorders>
            <w:shd w:val="clear" w:color="auto" w:fill="CCECFF"/>
          </w:tcPr>
          <w:p>
            <w:pPr>
              <w:spacing w:after="0"/>
              <w:rPr>
                <w:sz w:val="15"/>
                <w:szCs w:val="15"/>
                <w:color w:val="auto"/>
              </w:rPr>
            </w:pPr>
          </w:p>
        </w:tc>
        <w:tc>
          <w:tcPr>
            <w:tcW w:w="21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tcBorders>
              <w:bottom w:val="single" w:sz="8" w:color="CCECFF"/>
            </w:tcBorders>
            <w:gridSpan w:val="2"/>
            <w:shd w:val="clear" w:color="auto" w:fill="CCECFF"/>
          </w:tcPr>
          <w:p>
            <w:pPr>
              <w:jc w:val="center"/>
              <w:ind w:left="28"/>
              <w:spacing w:after="0"/>
              <w:rPr>
                <w:sz w:val="20"/>
                <w:szCs w:val="20"/>
                <w:color w:val="auto"/>
              </w:rPr>
            </w:pPr>
            <w:r>
              <w:rPr>
                <w:rFonts w:ascii="Times New Roman" w:cs="Times New Roman" w:eastAsia="Times New Roman" w:hAnsi="Times New Roman"/>
                <w:sz w:val="14"/>
                <w:szCs w:val="14"/>
                <w:color w:val="auto"/>
                <w:w w:val="99"/>
              </w:rPr>
              <w:t>20.4%</w:t>
            </w:r>
          </w:p>
        </w:tc>
      </w:tr>
      <w:tr>
        <w:trPr>
          <w:trHeight w:val="169"/>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2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56"/>
        </w:trPr>
        <w:tc>
          <w:tcPr>
            <w:tcW w:w="2620" w:type="dxa"/>
            <w:vAlign w:val="bottom"/>
            <w:tcBorders>
              <w:bottom w:val="single" w:sz="8" w:color="auto"/>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 xml:space="preserve">Debt Category </w:t>
            </w:r>
            <w:r>
              <w:rPr>
                <w:rFonts w:ascii="Times New Roman" w:cs="Times New Roman" w:eastAsia="Times New Roman" w:hAnsi="Times New Roman"/>
                <w:sz w:val="14"/>
                <w:szCs w:val="14"/>
                <w:color w:val="auto"/>
              </w:rPr>
              <w:t>($ in thousands)</w:t>
            </w:r>
          </w:p>
        </w:tc>
        <w:tc>
          <w:tcPr>
            <w:tcW w:w="80" w:type="dxa"/>
            <w:vAlign w:val="bottom"/>
            <w:tcBorders>
              <w:bottom w:val="single" w:sz="8" w:color="CCECFF"/>
            </w:tcBorders>
            <w:shd w:val="clear" w:color="auto" w:fill="CCECFF"/>
          </w:tcPr>
          <w:p>
            <w:pPr>
              <w:spacing w:after="0"/>
              <w:rPr>
                <w:sz w:val="13"/>
                <w:szCs w:val="13"/>
                <w:color w:val="auto"/>
              </w:rPr>
            </w:pPr>
          </w:p>
        </w:tc>
        <w:tc>
          <w:tcPr>
            <w:tcW w:w="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5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2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21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120" w:type="dxa"/>
            <w:vAlign w:val="bottom"/>
            <w:tcBorders>
              <w:bottom w:val="single" w:sz="8" w:color="CCECFF"/>
            </w:tcBorders>
            <w:shd w:val="clear" w:color="auto" w:fill="CCECFF"/>
          </w:tcPr>
          <w:p>
            <w:pPr>
              <w:spacing w:after="0"/>
              <w:rPr>
                <w:sz w:val="13"/>
                <w:szCs w:val="13"/>
                <w:color w:val="auto"/>
              </w:rPr>
            </w:pPr>
          </w:p>
        </w:tc>
      </w:tr>
      <w:tr>
        <w:trPr>
          <w:trHeight w:val="169"/>
        </w:trPr>
        <w:tc>
          <w:tcPr>
            <w:tcW w:w="2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280" w:type="dxa"/>
            <w:vAlign w:val="bottom"/>
            <w:gridSpan w:val="3"/>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314,813</w:t>
            </w:r>
          </w:p>
        </w:tc>
        <w:tc>
          <w:tcPr>
            <w:tcW w:w="240" w:type="dxa"/>
            <w:vAlign w:val="bottom"/>
          </w:tcPr>
          <w:p>
            <w:pPr>
              <w:spacing w:after="0"/>
              <w:rPr>
                <w:sz w:val="14"/>
                <w:szCs w:val="14"/>
                <w:color w:val="auto"/>
              </w:rPr>
            </w:pPr>
          </w:p>
        </w:tc>
        <w:tc>
          <w:tcPr>
            <w:tcW w:w="21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20" w:type="dxa"/>
            <w:vAlign w:val="bottom"/>
          </w:tcPr>
          <w:p>
            <w:pPr>
              <w:spacing w:after="0"/>
              <w:rPr>
                <w:sz w:val="14"/>
                <w:szCs w:val="14"/>
                <w:color w:val="auto"/>
              </w:rPr>
            </w:pPr>
          </w:p>
        </w:tc>
        <w:tc>
          <w:tcPr>
            <w:tcW w:w="21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gridSpan w:val="2"/>
          </w:tcPr>
          <w:p>
            <w:pPr>
              <w:jc w:val="center"/>
              <w:ind w:left="48"/>
              <w:spacing w:after="0" w:line="155"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10"/>
        </w:trPr>
        <w:tc>
          <w:tcPr>
            <w:tcW w:w="2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-556895</wp:posOffset>
            </wp:positionV>
            <wp:extent cx="76835" cy="145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-299720</wp:posOffset>
            </wp:positionV>
            <wp:extent cx="76835"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69" w:lineRule="exact"/>
        <w:rPr>
          <w:sz w:val="20"/>
          <w:szCs w:val="20"/>
          <w:color w:val="auto"/>
        </w:rPr>
      </w:pPr>
    </w:p>
    <w:p>
      <w:pPr>
        <w:ind w:left="420" w:hanging="412"/>
        <w:spacing w:after="0"/>
        <w:tabs>
          <w:tab w:leader="none" w:pos="4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13" w:lineRule="exact"/>
        <w:rPr>
          <w:rFonts w:ascii="Times New Roman" w:cs="Times New Roman" w:eastAsia="Times New Roman" w:hAnsi="Times New Roman"/>
          <w:sz w:val="11"/>
          <w:szCs w:val="11"/>
          <w:color w:val="auto"/>
        </w:rPr>
      </w:pPr>
    </w:p>
    <w:p>
      <w:pPr>
        <w:ind w:left="420" w:hanging="412"/>
        <w:spacing w:after="0"/>
        <w:tabs>
          <w:tab w:leader="none" w:pos="4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DLOM is defined as discount for lack of marketability.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investments, cash and cash equivalents, Truist Credit Facility, SBA debentures, 2024 Notes, 2026 Notes and 2026 Notes-2 were categorized as follows in the fair value hierarchy: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 June 30, 2022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4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2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972,637</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972,637</w:t>
            </w:r>
          </w:p>
        </w:tc>
        <w:tc>
          <w:tcPr>
            <w:tcW w:w="22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342,191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273,397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12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1,314,828</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1,246,034</w:t>
            </w:r>
          </w:p>
        </w:tc>
        <w:tc>
          <w:tcPr>
            <w:tcW w:w="220" w:type="dxa"/>
            <w:vAlign w:val="bottom"/>
            <w:shd w:val="clear" w:color="auto" w:fill="CCECFF"/>
          </w:tcPr>
          <w:p>
            <w:pPr>
              <w:spacing w:after="0"/>
              <w:rPr>
                <w:sz w:val="14"/>
                <w:szCs w:val="14"/>
                <w:color w:val="auto"/>
              </w:rPr>
            </w:pPr>
          </w:p>
        </w:tc>
        <w:tc>
          <w:tcPr>
            <w:tcW w:w="80" w:type="dxa"/>
            <w:vAlign w:val="bottom"/>
            <w:tcBorders>
              <w:top w:val="single" w:sz="8" w:color="auto"/>
            </w:tcBorders>
            <w:shd w:val="clear" w:color="auto" w:fill="CCECFF"/>
          </w:tcPr>
          <w:p>
            <w:pPr>
              <w:spacing w:after="0"/>
              <w:rPr>
                <w:sz w:val="14"/>
                <w:szCs w:val="14"/>
                <w:color w:val="auto"/>
              </w:rPr>
            </w:pP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68,456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CECFF"/>
            </w:tcBorders>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1,344,375</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29,885</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1,246,034</w:t>
            </w:r>
          </w:p>
        </w:tc>
        <w:tc>
          <w:tcPr>
            <w:tcW w:w="2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68,456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Truist Credit Facility</w:t>
            </w:r>
          </w:p>
        </w:tc>
        <w:tc>
          <w:tcPr>
            <w:tcW w:w="32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412,005</w:t>
            </w:r>
          </w:p>
        </w:tc>
        <w:tc>
          <w:tcPr>
            <w:tcW w:w="50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412,005</w:t>
            </w:r>
          </w:p>
        </w:tc>
        <w:tc>
          <w:tcPr>
            <w:tcW w:w="3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SBA Debentures</w:t>
            </w:r>
            <w:r>
              <w:rPr>
                <w:rFonts w:ascii="Times New Roman" w:cs="Times New Roman" w:eastAsia="Times New Roman" w:hAnsi="Times New Roman"/>
                <w:sz w:val="19"/>
                <w:szCs w:val="19"/>
                <w:color w:val="auto"/>
                <w:vertAlign w:val="superscript"/>
              </w:rPr>
              <w:t>(2)</w:t>
            </w: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27,046</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27,046</w:t>
            </w:r>
          </w:p>
        </w:tc>
        <w:tc>
          <w:tcPr>
            <w:tcW w:w="2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2026 Notes</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146,542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146,542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Borders>
              <w:bottom w:val="single" w:sz="8" w:color="CCECFF"/>
            </w:tcBorders>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2026 Notes-2</w:t>
            </w:r>
            <w:r>
              <w:rPr>
                <w:rFonts w:ascii="Times New Roman" w:cs="Times New Roman" w:eastAsia="Times New Roman" w:hAnsi="Times New Roman"/>
                <w:sz w:val="19"/>
                <w:szCs w:val="19"/>
                <w:color w:val="auto"/>
                <w:vertAlign w:val="superscript"/>
              </w:rPr>
              <w:t>(2)</w:t>
            </w:r>
          </w:p>
        </w:tc>
        <w:tc>
          <w:tcPr>
            <w:tcW w:w="1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161,159</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161,159</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746,752</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307,701</w:t>
            </w:r>
          </w:p>
        </w:tc>
        <w:tc>
          <w:tcPr>
            <w:tcW w:w="2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-616585</wp:posOffset>
            </wp:positionV>
            <wp:extent cx="3883025"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8302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-145415</wp:posOffset>
            </wp:positionV>
            <wp:extent cx="76835" cy="146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-145415</wp:posOffset>
            </wp:positionV>
            <wp:extent cx="76835"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-145415</wp:posOffset>
            </wp:positionV>
            <wp:extent cx="76835" cy="146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-145415</wp:posOffset>
            </wp:positionV>
            <wp:extent cx="68580"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88" w:lineRule="exact"/>
        <w:rPr>
          <w:sz w:val="20"/>
          <w:szCs w:val="20"/>
          <w:color w:val="auto"/>
        </w:rPr>
      </w:pPr>
    </w:p>
    <w:p>
      <w:pPr>
        <w:ind w:left="480" w:right="160" w:hanging="459"/>
        <w:spacing w:after="0" w:line="233"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and PTSF II are measured using the net asset value per share (or its equivalent) as a practical expedient for fair value, and thus has not been classified in the fair value hierarchy.</w:t>
      </w:r>
    </w:p>
    <w:p>
      <w:pPr>
        <w:ind w:left="480" w:right="20" w:hanging="459"/>
        <w:spacing w:after="0" w:line="225" w:lineRule="auto"/>
        <w:tabs>
          <w:tab w:leader="none" w:pos="4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elected not to apply ASC 825-10 to the SBA debentures, the 2026 Notes and the 2026 Notes-2, and thus the balance reported in the Consolidated Statement of Assets and Liabilities represents the carrying value. As of June 30, 2022, the carrying value of the SBA debentures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1912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 at September 30, 2021</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404,697</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360,428</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CECFF"/>
            </w:tcBorders>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1,275,647</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23,467</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22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Truist Credit Facility</w:t>
            </w:r>
          </w:p>
        </w:tc>
        <w:tc>
          <w:tcPr>
            <w:tcW w:w="32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314,813</w:t>
            </w:r>
          </w:p>
        </w:tc>
        <w:tc>
          <w:tcPr>
            <w:tcW w:w="50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314,813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SBA Debentures </w:t>
            </w:r>
            <w:r>
              <w:rPr>
                <w:rFonts w:ascii="Times New Roman" w:cs="Times New Roman" w:eastAsia="Times New Roman" w:hAnsi="Times New Roman"/>
                <w:sz w:val="19"/>
                <w:szCs w:val="19"/>
                <w:color w:val="auto"/>
                <w:vertAlign w:val="superscript"/>
              </w:rPr>
              <w:t>(2)</w:t>
            </w: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2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2024 Notes </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Borders>
              <w:bottom w:val="single" w:sz="8" w:color="CCECFF"/>
            </w:tcBorders>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w:t>
            </w:r>
            <w:r>
              <w:rPr>
                <w:rFonts w:ascii="Times New Roman" w:cs="Times New Roman" w:eastAsia="Times New Roman" w:hAnsi="Times New Roman"/>
                <w:sz w:val="19"/>
                <w:szCs w:val="19"/>
                <w:color w:val="auto"/>
                <w:vertAlign w:val="superscript"/>
              </w:rPr>
              <w:t>(2)</w:t>
            </w:r>
          </w:p>
        </w:tc>
        <w:tc>
          <w:tcPr>
            <w:tcW w:w="1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607,340</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-616585</wp:posOffset>
            </wp:positionV>
            <wp:extent cx="3883025"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8302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-145415</wp:posOffset>
            </wp:positionV>
            <wp:extent cx="76835"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-145415</wp:posOffset>
            </wp:positionV>
            <wp:extent cx="76835"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-145415</wp:posOffset>
            </wp:positionV>
            <wp:extent cx="76835"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-145415</wp:posOffset>
            </wp:positionV>
            <wp:extent cx="68580"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88" w:lineRule="exact"/>
        <w:rPr>
          <w:sz w:val="20"/>
          <w:szCs w:val="20"/>
          <w:color w:val="auto"/>
        </w:rPr>
      </w:pPr>
    </w:p>
    <w:p>
      <w:pPr>
        <w:ind w:left="480" w:right="160" w:hanging="459"/>
        <w:spacing w:after="0" w:line="233"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ind w:left="480" w:right="480" w:hanging="459"/>
        <w:spacing w:after="0" w:line="225" w:lineRule="auto"/>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elected not to apply ASC 825-10 to the SBA debentures or the 2024 Notes and the 2026 Notes and thus the balance reported in the Consolidated Statement of Assets and Liabilities represents the carrying value. As of September 30, 2021, the carrying value of the SBA debentures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1912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60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0080" w:type="dxa"/>
            <w:vAlign w:val="bottom"/>
            <w:gridSpan w:val="10"/>
          </w:tcPr>
          <w:p>
            <w:pPr>
              <w:ind w:left="46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investments measured at fair value using significant unobservable inputs (Level 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Nine Months Ended June 30, 2022</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1"/>
                <w:szCs w:val="11"/>
                <w:color w:val="auto"/>
              </w:rPr>
            </w:pPr>
          </w:p>
        </w:tc>
        <w:tc>
          <w:tcPr>
            <w:tcW w:w="1400" w:type="dxa"/>
            <w:vAlign w:val="bottom"/>
            <w:gridSpan w:val="2"/>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320" w:type="dxa"/>
            <w:vAlign w:val="bottom"/>
          </w:tcPr>
          <w:p>
            <w:pPr>
              <w:spacing w:after="0"/>
              <w:rPr>
                <w:sz w:val="11"/>
                <w:szCs w:val="11"/>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9"/>
                <w:szCs w:val="9"/>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12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1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6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360,428</w:t>
            </w:r>
          </w:p>
        </w:tc>
        <w:tc>
          <w:tcPr>
            <w:tcW w:w="22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realized (loss) gain</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(10,046 )</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w:t>
            </w:r>
          </w:p>
        </w:tc>
        <w:tc>
          <w:tcPr>
            <w:tcW w:w="1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(18,198 )</w:t>
            </w:r>
          </w:p>
        </w:tc>
        <w:tc>
          <w:tcPr>
            <w:tcW w:w="220" w:type="dxa"/>
            <w:vAlign w:val="bottom"/>
            <w:shd w:val="clear" w:color="auto" w:fill="CCECFF"/>
          </w:tcPr>
          <w:p>
            <w:pPr>
              <w:spacing w:after="0"/>
              <w:rPr>
                <w:sz w:val="15"/>
                <w:szCs w:val="15"/>
                <w:color w:val="auto"/>
              </w:rPr>
            </w:pPr>
          </w:p>
        </w:tc>
        <w:tc>
          <w:tcPr>
            <w:tcW w:w="14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(77,122 )</w:t>
            </w:r>
          </w:p>
        </w:tc>
        <w:tc>
          <w:tcPr>
            <w:tcW w:w="32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(95,320 )</w:t>
            </w: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746,389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73,925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820,314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1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(596,101 )</w:t>
            </w:r>
          </w:p>
        </w:tc>
        <w:tc>
          <w:tcPr>
            <w:tcW w:w="220" w:type="dxa"/>
            <w:vAlign w:val="bottom"/>
            <w:shd w:val="clear" w:color="auto" w:fill="CCECFF"/>
          </w:tcPr>
          <w:p>
            <w:pPr>
              <w:spacing w:after="0"/>
              <w:rPr>
                <w:sz w:val="15"/>
                <w:szCs w:val="15"/>
                <w:color w:val="auto"/>
              </w:rPr>
            </w:pPr>
          </w:p>
        </w:tc>
        <w:tc>
          <w:tcPr>
            <w:tcW w:w="14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(176,215 )</w:t>
            </w:r>
          </w:p>
        </w:tc>
        <w:tc>
          <w:tcPr>
            <w:tcW w:w="32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(772,316 )</w:t>
            </w:r>
          </w:p>
        </w:tc>
        <w:tc>
          <w:tcPr>
            <w:tcW w:w="0" w:type="dxa"/>
            <w:vAlign w:val="bottom"/>
          </w:tcPr>
          <w:p>
            <w:pPr>
              <w:spacing w:after="0"/>
              <w:rPr>
                <w:sz w:val="1"/>
                <w:szCs w:val="1"/>
                <w:color w:val="auto"/>
              </w:rPr>
            </w:pPr>
          </w:p>
        </w:tc>
      </w:tr>
      <w:tr>
        <w:trPr>
          <w:trHeight w:val="175"/>
        </w:trPr>
        <w:tc>
          <w:tcPr>
            <w:tcW w:w="5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80" w:type="dxa"/>
            <w:vAlign w:val="bottom"/>
            <w:tcBorders>
              <w:bottom w:val="single" w:sz="8" w:color="CCECFF"/>
            </w:tcBorders>
            <w:gridSpan w:val="2"/>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972,637</w:t>
            </w:r>
          </w:p>
        </w:tc>
        <w:tc>
          <w:tcPr>
            <w:tcW w:w="2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273,397</w:t>
            </w:r>
          </w:p>
        </w:tc>
        <w:tc>
          <w:tcPr>
            <w:tcW w:w="2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top w:val="single" w:sz="8" w:color="auto"/>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1,246,034</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1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appreciation on investments in our Consolidated Statements of Operations</w:t>
            </w:r>
          </w:p>
        </w:tc>
        <w:tc>
          <w:tcPr>
            <w:tcW w:w="1380" w:type="dxa"/>
            <w:vAlign w:val="bottom"/>
            <w:gridSpan w:val="2"/>
            <w:vMerge w:val="restart"/>
          </w:tcPr>
          <w:p>
            <w:pPr>
              <w:spacing w:after="0"/>
              <w:rPr>
                <w:sz w:val="12"/>
                <w:szCs w:val="12"/>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(13,953,543 )</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(77,771,348 )</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(91,724,891 )</w:t>
            </w:r>
          </w:p>
        </w:tc>
        <w:tc>
          <w:tcPr>
            <w:tcW w:w="0" w:type="dxa"/>
            <w:vAlign w:val="bottom"/>
          </w:tcPr>
          <w:p>
            <w:pPr>
              <w:spacing w:after="0"/>
              <w:rPr>
                <w:sz w:val="1"/>
                <w:szCs w:val="1"/>
                <w:color w:val="auto"/>
              </w:rPr>
            </w:pPr>
          </w:p>
        </w:tc>
      </w:tr>
      <w:tr>
        <w:trPr>
          <w:trHeight w:val="158"/>
        </w:trPr>
        <w:tc>
          <w:tcPr>
            <w:tcW w:w="512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38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Nine Months Ended June 30, 2021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1"/>
                <w:szCs w:val="11"/>
                <w:color w:val="auto"/>
              </w:rPr>
            </w:pPr>
          </w:p>
        </w:tc>
        <w:tc>
          <w:tcPr>
            <w:tcW w:w="1400" w:type="dxa"/>
            <w:vAlign w:val="bottom"/>
            <w:gridSpan w:val="2"/>
          </w:tcPr>
          <w:p>
            <w:pPr>
              <w:jc w:val="right"/>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320" w:type="dxa"/>
            <w:vAlign w:val="bottom"/>
          </w:tcPr>
          <w:p>
            <w:pPr>
              <w:spacing w:after="0"/>
              <w:rPr>
                <w:sz w:val="11"/>
                <w:szCs w:val="11"/>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9"/>
                <w:szCs w:val="9"/>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512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1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6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773,426</w:t>
            </w:r>
          </w:p>
        </w:tc>
        <w:tc>
          <w:tcPr>
            <w:tcW w:w="2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270,754</w:t>
            </w:r>
          </w:p>
        </w:tc>
        <w:tc>
          <w:tcPr>
            <w:tcW w:w="22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1,044,180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realized gain (loss)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(7,474 )</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1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31,261</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74,168</w:t>
            </w:r>
          </w:p>
        </w:tc>
        <w:tc>
          <w:tcPr>
            <w:tcW w:w="2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105,429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313,041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1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(358,632 )</w:t>
            </w:r>
          </w:p>
        </w:tc>
        <w:tc>
          <w:tcPr>
            <w:tcW w:w="220" w:type="dxa"/>
            <w:vAlign w:val="bottom"/>
            <w:shd w:val="clear" w:color="auto" w:fill="CCECFF"/>
          </w:tcPr>
          <w:p>
            <w:pPr>
              <w:spacing w:after="0"/>
              <w:rPr>
                <w:sz w:val="15"/>
                <w:szCs w:val="15"/>
                <w:color w:val="auto"/>
              </w:rPr>
            </w:pPr>
          </w:p>
        </w:tc>
        <w:tc>
          <w:tcPr>
            <w:tcW w:w="14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(60,427 )</w:t>
            </w:r>
          </w:p>
        </w:tc>
        <w:tc>
          <w:tcPr>
            <w:tcW w:w="32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(419,059 )</w:t>
            </w: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380" w:type="dxa"/>
            <w:vAlign w:val="bottom"/>
            <w:tcBorders>
              <w:bottom w:val="single" w:sz="8" w:color="CCECFF"/>
            </w:tcBorders>
            <w:gridSpan w:val="2"/>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751,622</w:t>
            </w:r>
          </w:p>
        </w:tc>
        <w:tc>
          <w:tcPr>
            <w:tcW w:w="2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353,390</w:t>
            </w:r>
          </w:p>
        </w:tc>
        <w:tc>
          <w:tcPr>
            <w:tcW w:w="2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top w:val="single" w:sz="8" w:color="auto"/>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1,105,012</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1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w:t>
            </w: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depreciation on investments in our Consolidated Statements of Operations</w:t>
            </w:r>
          </w:p>
        </w:tc>
        <w:tc>
          <w:tcPr>
            <w:tcW w:w="160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29,987</w:t>
            </w:r>
          </w:p>
        </w:tc>
        <w:tc>
          <w:tcPr>
            <w:tcW w:w="24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67,653</w:t>
            </w:r>
          </w:p>
        </w:tc>
        <w:tc>
          <w:tcPr>
            <w:tcW w:w="220" w:type="dxa"/>
            <w:vAlign w:val="bottom"/>
          </w:tcPr>
          <w:p>
            <w:pPr>
              <w:spacing w:after="0"/>
              <w:rPr>
                <w:sz w:val="12"/>
                <w:szCs w:val="12"/>
                <w:color w:val="auto"/>
              </w:rPr>
            </w:pP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2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600" w:type="dxa"/>
            <w:vAlign w:val="bottom"/>
            <w:gridSpan w:val="3"/>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-1919605</wp:posOffset>
            </wp:positionV>
            <wp:extent cx="2117090" cy="3346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17090" cy="3346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-334010</wp:posOffset>
            </wp:positionV>
            <wp:extent cx="2117090" cy="3346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17090" cy="334645"/>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measured at fair value using significant unobservable inputs (Level 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Credit Facility</w:t>
            </w:r>
          </w:p>
        </w:tc>
        <w:tc>
          <w:tcPr>
            <w:tcW w:w="340" w:type="dxa"/>
            <w:vAlign w:val="bottom"/>
          </w:tcPr>
          <w:p>
            <w:pPr>
              <w:spacing w:after="0"/>
              <w:rPr>
                <w:sz w:val="16"/>
                <w:szCs w:val="16"/>
                <w:color w:val="auto"/>
              </w:rPr>
            </w:pPr>
          </w:p>
        </w:tc>
        <w:tc>
          <w:tcPr>
            <w:tcW w:w="30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69"/>
        </w:trPr>
        <w:tc>
          <w:tcPr>
            <w:tcW w:w="7900" w:type="dxa"/>
            <w:vAlign w:val="bottom"/>
            <w:gridSpan w:val="3"/>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 (cost – $316,545 and $380,252, respectively)</w:t>
            </w:r>
          </w:p>
        </w:tc>
        <w:tc>
          <w:tcPr>
            <w:tcW w:w="12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24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360,702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7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unrealized (depreciation) appreciation included in earnings</w:t>
            </w:r>
          </w:p>
        </w:tc>
        <w:tc>
          <w:tcPr>
            <w:tcW w:w="34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(9,183 )</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shd w:val="clear" w:color="auto" w:fill="CCECFF"/>
          </w:tcPr>
          <w:p>
            <w:pPr>
              <w:spacing w:after="0"/>
              <w:rPr>
                <w:sz w:val="15"/>
                <w:szCs w:val="15"/>
                <w:color w:val="auto"/>
              </w:rPr>
            </w:pPr>
          </w:p>
        </w:tc>
        <w:tc>
          <w:tcPr>
            <w:tcW w:w="7640" w:type="dxa"/>
            <w:vAlign w:val="bottom"/>
            <w:gridSpan w:val="2"/>
            <w:shd w:val="clear" w:color="auto" w:fill="CCECFF"/>
          </w:tcPr>
          <w:p>
            <w:pPr>
              <w:ind w:left="120"/>
              <w:spacing w:after="0" w:line="175" w:lineRule="exact"/>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9"/>
                <w:szCs w:val="19"/>
                <w:color w:val="auto"/>
                <w:vertAlign w:val="superscript"/>
              </w:rPr>
              <w:t>(1)</w:t>
            </w:r>
          </w:p>
        </w:tc>
        <w:tc>
          <w:tcPr>
            <w:tcW w:w="34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815,841</w:t>
            </w:r>
          </w:p>
        </w:tc>
        <w:tc>
          <w:tcPr>
            <w:tcW w:w="24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148,312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7640" w:type="dxa"/>
            <w:vAlign w:val="bottom"/>
            <w:gridSpan w:val="2"/>
          </w:tcPr>
          <w:p>
            <w:pPr>
              <w:ind w:left="120"/>
              <w:spacing w:after="0" w:line="175" w:lineRule="exact"/>
              <w:rPr>
                <w:sz w:val="20"/>
                <w:szCs w:val="20"/>
                <w:color w:val="auto"/>
              </w:rPr>
            </w:pPr>
            <w:r>
              <w:rPr>
                <w:rFonts w:ascii="Times New Roman" w:cs="Times New Roman" w:eastAsia="Times New Roman" w:hAnsi="Times New Roman"/>
                <w:sz w:val="14"/>
                <w:szCs w:val="14"/>
                <w:color w:val="auto"/>
              </w:rPr>
              <w:t xml:space="preserve">Repayments </w:t>
            </w:r>
            <w:r>
              <w:rPr>
                <w:rFonts w:ascii="Times New Roman" w:cs="Times New Roman" w:eastAsia="Times New Roman" w:hAnsi="Times New Roman"/>
                <w:sz w:val="19"/>
                <w:szCs w:val="19"/>
                <w:color w:val="auto"/>
                <w:vertAlign w:val="superscript"/>
              </w:rPr>
              <w:t>(1)</w:t>
            </w:r>
          </w:p>
        </w:tc>
        <w:tc>
          <w:tcPr>
            <w:tcW w:w="34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(709,466 )</w:t>
            </w:r>
          </w:p>
        </w:tc>
        <w:tc>
          <w:tcPr>
            <w:tcW w:w="34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(314,019 )</w:t>
            </w:r>
          </w:p>
        </w:tc>
        <w:tc>
          <w:tcPr>
            <w:tcW w:w="0" w:type="dxa"/>
            <w:vAlign w:val="bottom"/>
          </w:tcPr>
          <w:p>
            <w:pPr>
              <w:spacing w:after="0"/>
              <w:rPr>
                <w:sz w:val="1"/>
                <w:szCs w:val="1"/>
                <w:color w:val="auto"/>
              </w:rPr>
            </w:pPr>
          </w:p>
        </w:tc>
      </w:tr>
      <w:tr>
        <w:trPr>
          <w:trHeight w:val="175"/>
        </w:trPr>
        <w:tc>
          <w:tcPr>
            <w:tcW w:w="260" w:type="dxa"/>
            <w:vAlign w:val="bottom"/>
            <w:shd w:val="clear" w:color="auto" w:fill="CCECFF"/>
          </w:tcPr>
          <w:p>
            <w:pPr>
              <w:spacing w:after="0"/>
              <w:rPr>
                <w:sz w:val="15"/>
                <w:szCs w:val="15"/>
                <w:color w:val="auto"/>
              </w:rPr>
            </w:pPr>
          </w:p>
        </w:tc>
        <w:tc>
          <w:tcPr>
            <w:tcW w:w="7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340" w:type="dxa"/>
            <w:vAlign w:val="bottom"/>
            <w:shd w:val="clear" w:color="auto" w:fill="CCECFF"/>
          </w:tcPr>
          <w:p>
            <w:pPr>
              <w:spacing w:after="0"/>
              <w:rPr>
                <w:sz w:val="15"/>
                <w:szCs w:val="15"/>
                <w:color w:val="auto"/>
              </w:rPr>
            </w:pPr>
          </w:p>
        </w:tc>
        <w:tc>
          <w:tcPr>
            <w:tcW w:w="14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CFF"/>
          </w:tcPr>
          <w:p>
            <w:pPr>
              <w:spacing w:after="0"/>
              <w:rPr>
                <w:sz w:val="15"/>
                <w:szCs w:val="15"/>
                <w:color w:val="auto"/>
              </w:rPr>
            </w:pPr>
          </w:p>
        </w:tc>
        <w:tc>
          <w:tcPr>
            <w:tcW w:w="12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900" w:type="dxa"/>
            <w:vAlign w:val="bottom"/>
            <w:tcBorders>
              <w:top w:val="single" w:sz="8" w:color="CCECFF"/>
            </w:tcBorders>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 Balance (cost – $422,920 and $214,545, respectively)</w:t>
            </w: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412,005</w:t>
            </w:r>
          </w:p>
        </w:tc>
        <w:tc>
          <w:tcPr>
            <w:tcW w:w="240" w:type="dxa"/>
            <w:vAlign w:val="bottom"/>
            <w:tcBorders>
              <w:top w:val="single" w:sz="8" w:color="CCEC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213,489</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tcBorders>
              <w:bottom w:val="single" w:sz="8" w:color="CCECFF"/>
            </w:tcBorders>
            <w:shd w:val="clear" w:color="auto" w:fill="CCECFF"/>
          </w:tcPr>
          <w:p>
            <w:pPr>
              <w:spacing w:after="0"/>
              <w:rPr>
                <w:sz w:val="13"/>
                <w:szCs w:val="13"/>
                <w:color w:val="auto"/>
              </w:rPr>
            </w:pPr>
          </w:p>
        </w:tc>
        <w:tc>
          <w:tcPr>
            <w:tcW w:w="7640" w:type="dxa"/>
            <w:vAlign w:val="bottom"/>
            <w:tcBorders>
              <w:bottom w:val="single" w:sz="8" w:color="CCECFF"/>
            </w:tcBorders>
            <w:gridSpan w:val="2"/>
            <w:shd w:val="clear" w:color="auto" w:fill="CCECFF"/>
          </w:tcPr>
          <w:p>
            <w:pPr>
              <w:ind w:left="120"/>
              <w:spacing w:after="0" w:line="156" w:lineRule="exact"/>
              <w:rPr>
                <w:sz w:val="20"/>
                <w:szCs w:val="20"/>
                <w:color w:val="auto"/>
              </w:rPr>
            </w:pPr>
            <w:r>
              <w:rPr>
                <w:rFonts w:ascii="Times New Roman" w:cs="Times New Roman" w:eastAsia="Times New Roman" w:hAnsi="Times New Roman"/>
                <w:sz w:val="14"/>
                <w:szCs w:val="14"/>
                <w:color w:val="auto"/>
              </w:rPr>
              <w:t>Temporary draws outstanding, at cost</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60" w:type="dxa"/>
            <w:vAlign w:val="bottom"/>
            <w:tcBorders>
              <w:top w:val="single" w:sz="8" w:color="auto"/>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60" w:type="dxa"/>
            <w:vAlign w:val="bottom"/>
            <w:tcBorders>
              <w:top w:val="single" w:sz="8" w:color="auto"/>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9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 Balance (cost – $422,920 and $214,545, respectively)</w:t>
            </w:r>
          </w:p>
        </w:tc>
        <w:tc>
          <w:tcPr>
            <w:tcW w:w="3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412,005</w:t>
            </w:r>
          </w:p>
        </w:tc>
        <w:tc>
          <w:tcPr>
            <w:tcW w:w="24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213,489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w:t>
            </w:r>
          </w:p>
        </w:tc>
        <w:tc>
          <w:tcPr>
            <w:tcW w:w="7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Excludes temporary draws.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60" w:type="dxa"/>
            <w:vAlign w:val="bottom"/>
            <w:vMerge w:val="continue"/>
          </w:tcPr>
          <w:p>
            <w:pPr>
              <w:spacing w:after="0"/>
              <w:rPr>
                <w:sz w:val="22"/>
                <w:szCs w:val="22"/>
                <w:color w:val="auto"/>
              </w:rPr>
            </w:pPr>
          </w:p>
        </w:tc>
        <w:tc>
          <w:tcPr>
            <w:tcW w:w="764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-575945</wp:posOffset>
            </wp:positionV>
            <wp:extent cx="76835"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-575945</wp:posOffset>
            </wp:positionV>
            <wp:extent cx="6858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-318770</wp:posOffset>
            </wp:positionV>
            <wp:extent cx="76835"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-318770</wp:posOffset>
            </wp:positionV>
            <wp:extent cx="68580"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56" w:lineRule="exact"/>
        <w:rPr>
          <w:sz w:val="20"/>
          <w:szCs w:val="20"/>
          <w:color w:val="auto"/>
        </w:rPr>
      </w:pPr>
    </w:p>
    <w:p>
      <w:pPr>
        <w:ind w:right="220" w:firstLine="449"/>
        <w:spacing w:after="0" w:line="302" w:lineRule="auto"/>
        <w:rPr>
          <w:sz w:val="20"/>
          <w:szCs w:val="20"/>
          <w:color w:val="auto"/>
        </w:rPr>
      </w:pPr>
      <w:r>
        <w:rPr>
          <w:rFonts w:ascii="Times New Roman" w:cs="Times New Roman" w:eastAsia="Times New Roman" w:hAnsi="Times New Roman"/>
          <w:sz w:val="14"/>
          <w:szCs w:val="14"/>
          <w:color w:val="auto"/>
        </w:rPr>
        <w:t>As of June 30, 2022, we had outstanding non-U.S. dollar borrowings on our Credit Facility. Net change in fair value on foreign currency translation on outstanding borrowings is listed below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4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Reset Date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00" w:type="dxa"/>
            <w:vAlign w:val="bottom"/>
          </w:tcPr>
          <w:p>
            <w:pPr>
              <w:spacing w:after="0"/>
              <w:rPr>
                <w:sz w:val="16"/>
                <w:szCs w:val="16"/>
                <w:color w:val="auto"/>
              </w:rPr>
            </w:pPr>
          </w:p>
        </w:tc>
      </w:tr>
      <w:tr>
        <w:trPr>
          <w:trHeight w:val="169"/>
        </w:trPr>
        <w:tc>
          <w:tcPr>
            <w:tcW w:w="1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43,812</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49,512</w:t>
            </w:r>
          </w:p>
        </w:tc>
        <w:tc>
          <w:tcPr>
            <w:tcW w:w="240" w:type="dxa"/>
            <w:vAlign w:val="bottom"/>
            <w:shd w:val="clear" w:color="auto" w:fill="CCECFF"/>
          </w:tcPr>
          <w:p>
            <w:pPr>
              <w:spacing w:after="0"/>
              <w:rPr>
                <w:sz w:val="14"/>
                <w:szCs w:val="14"/>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September 30, 2022</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100" w:type="dxa"/>
            <w:vAlign w:val="bottom"/>
            <w:shd w:val="clear" w:color="auto" w:fill="CCECFF"/>
          </w:tcPr>
          <w:p>
            <w:pPr>
              <w:spacing w:after="0"/>
              <w:rPr>
                <w:sz w:val="14"/>
                <w:szCs w:val="14"/>
                <w:color w:val="auto"/>
              </w:rPr>
            </w:pPr>
          </w:p>
        </w:tc>
      </w:tr>
    </w:tbl>
    <w:p>
      <w:pPr>
        <w:spacing w:after="0" w:line="369"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4"/>
          <w:szCs w:val="14"/>
          <w:color w:val="auto"/>
        </w:rPr>
        <w:t>As of September 30, 2021, we had outstanding non-U.S. dollar borrowings on our Truist Credit Facility. Net change in fair value on foreign currency translation on outstanding borrowings is listed below ($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Reset 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69"/>
        </w:trPr>
        <w:tc>
          <w:tcPr>
            <w:tcW w:w="19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2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2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40,045</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39,102</w:t>
            </w:r>
          </w:p>
        </w:tc>
        <w:tc>
          <w:tcPr>
            <w:tcW w:w="240" w:type="dxa"/>
            <w:vAlign w:val="bottom"/>
            <w:shd w:val="clear" w:color="auto" w:fill="CCECFF"/>
          </w:tcPr>
          <w:p>
            <w:pPr>
              <w:spacing w:after="0"/>
              <w:rPr>
                <w:sz w:val="14"/>
                <w:szCs w:val="14"/>
                <w:color w:val="auto"/>
              </w:rPr>
            </w:pPr>
          </w:p>
        </w:tc>
        <w:tc>
          <w:tcPr>
            <w:tcW w:w="16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December 17, 2021</w:t>
            </w:r>
          </w:p>
        </w:tc>
        <w:tc>
          <w:tcPr>
            <w:tcW w:w="10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193" w:lineRule="exact"/>
        <w:rPr>
          <w:sz w:val="20"/>
          <w:szCs w:val="20"/>
          <w:color w:val="auto"/>
        </w:rPr>
      </w:pPr>
    </w:p>
    <w:p>
      <w:pPr>
        <w:jc w:val="both"/>
        <w:ind w:firstLine="449"/>
        <w:spacing w:after="0" w:line="250"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the three and nine months ended June 30,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Facility is reported in our Consolidated Statements of Operations. We did not elect to apply ASC 825-10 to any other financial assets or liabilities, including the 2024 Notes, the 2026 Notes, 2026 Notes-2, and the SBA debentures.</w:t>
      </w:r>
    </w:p>
    <w:p>
      <w:pPr>
        <w:spacing w:after="0" w:line="18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For the three and nine months ended June 30, 2022, the Credit Facility had a net change in unrealized depreciation of $8.9 million and $9.2 million, respectively. For the three and nine months ended June 30, 2021, the Credit Facility had a net change in unrealized appreciation of $1.6 million and $18.5 million, respectively. As of June 30,</w:t>
      </w:r>
    </w:p>
    <w:p>
      <w:pPr>
        <w:sectPr>
          <w:pgSz w:w="11900" w:h="16838" w:orient="portrait"/>
          <w:cols w:equalWidth="0" w:num="1">
            <w:col w:w="11240"/>
          </w:cols>
          <w:pgMar w:left="320" w:top="114"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2" w:name="page33"/>
    <w:bookmarkEnd w:id="32"/>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2022 and September 30, 2021, the net unrealized depreciation on the Credit Facility totaled $10.9 million and $1.7 million, respectively. We use a nationally recognized independent valuation service to measure the fair value of our Credit Facility in a manner consistent with the valuation process that our board of directors uses to value our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w:t>
      </w:r>
    </w:p>
    <w:p>
      <w:pPr>
        <w:spacing w:after="0" w:line="1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affiliate when we own at least 5% but less than 25% of its voting securities and a controlled affiliate when we own more than 25% of its voting securities. Transactions related to our funded investments with both controlled and non-controlled affiliates for the nine months ended June 30,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12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Net Change in</w:t>
            </w:r>
          </w:p>
        </w:tc>
        <w:tc>
          <w:tcPr>
            <w:tcW w:w="80" w:type="dxa"/>
            <w:vAlign w:val="bottom"/>
          </w:tcPr>
          <w:p>
            <w:pPr>
              <w:spacing w:after="0"/>
              <w:rPr>
                <w:sz w:val="11"/>
                <w:szCs w:val="11"/>
                <w:color w:val="auto"/>
              </w:rPr>
            </w:pPr>
          </w:p>
        </w:tc>
        <w:tc>
          <w:tcPr>
            <w:tcW w:w="8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PIK</w:t>
            </w:r>
          </w:p>
        </w:tc>
        <w:tc>
          <w:tcPr>
            <w:tcW w:w="20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20" w:type="dxa"/>
            <w:vAlign w:val="bottom"/>
            <w:gridSpan w:val="3"/>
          </w:tcPr>
          <w:p>
            <w:pPr>
              <w:jc w:val="right"/>
              <w:ind w:right="280"/>
              <w:spacing w:after="0" w:line="122" w:lineRule="exact"/>
              <w:rPr>
                <w:sz w:val="20"/>
                <w:szCs w:val="20"/>
                <w:color w:val="auto"/>
              </w:rPr>
            </w:pPr>
            <w:r>
              <w:rPr>
                <w:rFonts w:ascii="Times New Roman" w:cs="Times New Roman" w:eastAsia="Times New Roman" w:hAnsi="Times New Roman"/>
                <w:sz w:val="13"/>
                <w:szCs w:val="13"/>
                <w:b w:val="1"/>
                <w:bCs w:val="1"/>
                <w:color w:val="auto"/>
              </w:rPr>
              <w:t>Appreciation /</w:t>
            </w: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Gains</w:t>
            </w: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8"/>
              </w:rPr>
              <w:t>Additions</w:t>
            </w:r>
            <w:r>
              <w:rPr>
                <w:rFonts w:ascii="Times New Roman" w:cs="Times New Roman" w:eastAsia="Times New Roman" w:hAnsi="Times New Roman"/>
                <w:sz w:val="16"/>
                <w:szCs w:val="16"/>
                <w:b w:val="1"/>
                <w:bCs w:val="1"/>
                <w:color w:val="auto"/>
                <w:w w:val="98"/>
                <w:vertAlign w:val="superscript"/>
              </w:rPr>
              <w:t>(1)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w w:val="99"/>
              </w:rPr>
              <w:t>Reductions</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80" w:type="dxa"/>
            <w:vAlign w:val="bottom"/>
          </w:tcPr>
          <w:p>
            <w:pPr>
              <w:spacing w:after="0"/>
              <w:rPr>
                <w:sz w:val="16"/>
                <w:szCs w:val="16"/>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June 30, 2022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6"/>
                <w:szCs w:val="16"/>
                <w:color w:val="auto"/>
              </w:rPr>
            </w:pPr>
          </w:p>
        </w:tc>
        <w:tc>
          <w:tcPr>
            <w:tcW w:w="5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(Losses)</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120" w:type="dxa"/>
            <w:vAlign w:val="bottom"/>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440" w:type="dxa"/>
            <w:vAlign w:val="bottom"/>
            <w:tcBorders>
              <w:top w:val="single" w:sz="8" w:color="auto"/>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(4,217 )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Mailsouth Inc.</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22,100</w:t>
            </w: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CFF"/>
          </w:tcPr>
          <w:p>
            <w:pPr>
              <w:spacing w:after="0"/>
              <w:rPr>
                <w:sz w:val="14"/>
                <w:szCs w:val="14"/>
                <w:color w:val="auto"/>
              </w:rPr>
            </w:pPr>
          </w:p>
        </w:tc>
        <w:tc>
          <w:tcPr>
            <w:tcW w:w="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(16,833 )</w:t>
            </w:r>
          </w:p>
        </w:tc>
        <w:tc>
          <w:tcPr>
            <w:tcW w:w="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6,563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8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PennantPark Senior Loan Fund,</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LLC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105,314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39,325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(3,536 )</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PT Networks, LLC</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134,125</w:t>
            </w: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9,917</w:t>
            </w: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117"/>
              <w:spacing w:after="0"/>
              <w:rPr>
                <w:sz w:val="20"/>
                <w:szCs w:val="20"/>
                <w:color w:val="auto"/>
              </w:rPr>
            </w:pPr>
            <w:r>
              <w:rPr>
                <w:rFonts w:ascii="Times New Roman" w:cs="Times New Roman" w:eastAsia="Times New Roman" w:hAnsi="Times New Roman"/>
                <w:sz w:val="13"/>
                <w:szCs w:val="13"/>
                <w:color w:val="auto"/>
              </w:rPr>
              <w:t>(234,974 )</w:t>
            </w:r>
          </w:p>
        </w:tc>
        <w:tc>
          <w:tcPr>
            <w:tcW w:w="30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90,933</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140,898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RAM Energy LLC</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81,710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8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1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384,628</w:t>
            </w:r>
          </w:p>
        </w:tc>
        <w:tc>
          <w:tcPr>
            <w:tcW w:w="2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60,941</w:t>
            </w:r>
          </w:p>
        </w:tc>
        <w:tc>
          <w:tcPr>
            <w:tcW w:w="2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(234,974</w:t>
            </w:r>
          </w:p>
        </w:tc>
        <w:tc>
          <w:tcPr>
            <w:tcW w:w="240" w:type="dxa"/>
            <w:vAlign w:val="bottom"/>
            <w:tcBorders>
              <w:bottom w:val="single" w:sz="8" w:color="CCECFF"/>
            </w:tcBorders>
            <w:shd w:val="clear" w:color="auto" w:fill="CCEC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C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94,105</w:t>
            </w: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304,699</w:t>
            </w: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7,303</w:t>
            </w: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3,983</w:t>
            </w:r>
          </w:p>
        </w:tc>
        <w:tc>
          <w:tcPr>
            <w:tcW w:w="2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6,655</w:t>
            </w: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140,898</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6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2"/>
                <w:szCs w:val="12"/>
                <w:color w:val="auto"/>
              </w:rPr>
              <w:t>Cascade Environmental Holdings,</w:t>
            </w:r>
          </w:p>
        </w:tc>
        <w:tc>
          <w:tcPr>
            <w:tcW w:w="1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CFF"/>
          </w:tcPr>
          <w:p>
            <w:pPr>
              <w:ind w:left="20"/>
              <w:spacing w:after="0" w:line="189" w:lineRule="exact"/>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 xml:space="preserve"> (2)</w:t>
            </w:r>
          </w:p>
        </w:tc>
        <w:tc>
          <w:tcPr>
            <w:tcW w:w="280" w:type="dxa"/>
            <w:vAlign w:val="bottom"/>
            <w:gridSpan w:val="2"/>
            <w:shd w:val="clear" w:color="auto" w:fill="CCEC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64,292</w:t>
            </w: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34,201</w:t>
            </w:r>
          </w:p>
        </w:tc>
        <w:tc>
          <w:tcPr>
            <w:tcW w:w="3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CFF"/>
          </w:tcPr>
          <w:p>
            <w:pPr>
              <w:jc w:val="right"/>
              <w:ind w:right="117"/>
              <w:spacing w:after="0"/>
              <w:rPr>
                <w:sz w:val="20"/>
                <w:szCs w:val="20"/>
                <w:color w:val="auto"/>
              </w:rPr>
            </w:pPr>
            <w:r>
              <w:rPr>
                <w:rFonts w:ascii="Times New Roman" w:cs="Times New Roman" w:eastAsia="Times New Roman" w:hAnsi="Times New Roman"/>
                <w:sz w:val="13"/>
                <w:szCs w:val="13"/>
                <w:color w:val="auto"/>
              </w:rPr>
              <w:t>(61,168 )</w:t>
            </w:r>
          </w:p>
        </w:tc>
        <w:tc>
          <w:tcPr>
            <w:tcW w:w="300" w:type="dxa"/>
            <w:vAlign w:val="bottom"/>
            <w:shd w:val="clear" w:color="auto" w:fill="CCEC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(4,534 )</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32,791</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(28,208 )</w:t>
            </w: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ETX Energy, LLC</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(38,541 )</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(37,447 )</w:t>
            </w:r>
          </w:p>
        </w:tc>
        <w:tc>
          <w:tcPr>
            <w:tcW w:w="0" w:type="dxa"/>
            <w:vAlign w:val="bottom"/>
          </w:tcPr>
          <w:p>
            <w:pPr>
              <w:spacing w:after="0"/>
              <w:rPr>
                <w:sz w:val="1"/>
                <w:szCs w:val="1"/>
                <w:color w:val="auto"/>
              </w:rPr>
            </w:pPr>
          </w:p>
        </w:tc>
      </w:tr>
      <w:tr>
        <w:trPr>
          <w:trHeight w:val="108"/>
        </w:trPr>
        <w:tc>
          <w:tcPr>
            <w:tcW w:w="186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2"/>
                <w:szCs w:val="12"/>
                <w:color w:val="auto"/>
              </w:rPr>
              <w:t>MidOcean JF Holdings</w:t>
            </w:r>
          </w:p>
        </w:tc>
        <w:tc>
          <w:tcPr>
            <w:tcW w:w="1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0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50,161</w:t>
            </w: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82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(33,855 )</w:t>
            </w:r>
          </w:p>
        </w:tc>
        <w:tc>
          <w:tcPr>
            <w:tcW w:w="80" w:type="dxa"/>
            <w:vAlign w:val="bottom"/>
            <w:shd w:val="clear" w:color="auto" w:fill="CCECFF"/>
          </w:tcPr>
          <w:p>
            <w:pPr>
              <w:spacing w:after="0"/>
              <w:rPr>
                <w:sz w:val="9"/>
                <w:szCs w:val="9"/>
                <w:color w:val="auto"/>
              </w:rPr>
            </w:pP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16,306</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4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00" w:type="dxa"/>
            <w:vAlign w:val="bottom"/>
            <w:gridSpan w:val="2"/>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Corp.</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20" w:type="dxa"/>
            <w:vAlign w:val="bottom"/>
            <w:vMerge w:val="continue"/>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80" w:type="dxa"/>
            <w:vAlign w:val="bottom"/>
            <w:vMerge w:val="continue"/>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vMerge w:val="continue"/>
            <w:shd w:val="clear" w:color="auto" w:fill="CCECFF"/>
          </w:tcPr>
          <w:p>
            <w:pPr>
              <w:spacing w:after="0"/>
              <w:rPr>
                <w:sz w:val="14"/>
                <w:szCs w:val="14"/>
                <w:color w:val="auto"/>
              </w:rPr>
            </w:pPr>
          </w:p>
        </w:tc>
        <w:tc>
          <w:tcPr>
            <w:tcW w:w="240" w:type="dxa"/>
            <w:vAlign w:val="bottom"/>
            <w:vMerge w:val="continue"/>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20" w:type="dxa"/>
            <w:vAlign w:val="bottom"/>
            <w:gridSpan w:val="2"/>
            <w:vMerge w:val="continue"/>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2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6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40" w:type="dxa"/>
            <w:vAlign w:val="bottom"/>
            <w:vMerge w:val="continue"/>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48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0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860" w:type="dxa"/>
            <w:vAlign w:val="bottom"/>
          </w:tcPr>
          <w:p>
            <w:pPr>
              <w:ind w:left="140"/>
              <w:spacing w:after="0" w:line="107" w:lineRule="exact"/>
              <w:rPr>
                <w:sz w:val="20"/>
                <w:szCs w:val="20"/>
                <w:color w:val="auto"/>
              </w:rPr>
            </w:pPr>
            <w:r>
              <w:rPr>
                <w:rFonts w:ascii="Times New Roman" w:cs="Times New Roman" w:eastAsia="Times New Roman" w:hAnsi="Times New Roman"/>
                <w:sz w:val="12"/>
                <w:szCs w:val="12"/>
                <w:color w:val="auto"/>
              </w:rPr>
              <w:t>Total Non-Controlled</w:t>
            </w:r>
          </w:p>
        </w:tc>
        <w:tc>
          <w:tcPr>
            <w:tcW w:w="120" w:type="dxa"/>
            <w:vAlign w:val="bottom"/>
            <w:vMerge w:val="restart"/>
          </w:tcPr>
          <w:p>
            <w:pPr>
              <w:spacing w:after="0"/>
              <w:rPr>
                <w:sz w:val="9"/>
                <w:szCs w:val="9"/>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114,453</w:t>
            </w:r>
          </w:p>
        </w:tc>
        <w:tc>
          <w:tcPr>
            <w:tcW w:w="240" w:type="dxa"/>
            <w:vAlign w:val="bottom"/>
            <w:vMerge w:val="restart"/>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34,201</w:t>
            </w:r>
          </w:p>
        </w:tc>
        <w:tc>
          <w:tcPr>
            <w:tcW w:w="240" w:type="dxa"/>
            <w:vAlign w:val="bottom"/>
            <w:vMerge w:val="restart"/>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(99,709 )</w:t>
            </w:r>
          </w:p>
        </w:tc>
        <w:tc>
          <w:tcPr>
            <w:tcW w:w="3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49,097</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(65,655 )</w:t>
            </w:r>
          </w:p>
        </w:tc>
        <w:tc>
          <w:tcPr>
            <w:tcW w:w="0" w:type="dxa"/>
            <w:vAlign w:val="bottom"/>
          </w:tcPr>
          <w:p>
            <w:pPr>
              <w:spacing w:after="0"/>
              <w:rPr>
                <w:sz w:val="1"/>
                <w:szCs w:val="1"/>
                <w:color w:val="auto"/>
              </w:rPr>
            </w:pPr>
          </w:p>
        </w:tc>
      </w:tr>
      <w:tr>
        <w:trPr>
          <w:trHeight w:val="164"/>
        </w:trPr>
        <w:tc>
          <w:tcPr>
            <w:tcW w:w="18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86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Controlled and</w:t>
            </w:r>
          </w:p>
        </w:tc>
        <w:tc>
          <w:tcPr>
            <w:tcW w:w="120" w:type="dxa"/>
            <w:vAlign w:val="bottom"/>
            <w:vMerge w:val="restart"/>
            <w:shd w:val="clear" w:color="auto" w:fill="CCECFF"/>
          </w:tcPr>
          <w:p>
            <w:pPr>
              <w:spacing w:after="0"/>
              <w:rPr>
                <w:sz w:val="9"/>
                <w:szCs w:val="9"/>
                <w:color w:val="auto"/>
              </w:rPr>
            </w:pPr>
          </w:p>
        </w:tc>
        <w:tc>
          <w:tcPr>
            <w:tcW w:w="160" w:type="dxa"/>
            <w:vAlign w:val="bottom"/>
            <w:vMerge w:val="restart"/>
            <w:shd w:val="clear" w:color="auto" w:fill="CCEC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499,081</w:t>
            </w:r>
          </w:p>
        </w:tc>
        <w:tc>
          <w:tcPr>
            <w:tcW w:w="240" w:type="dxa"/>
            <w:vAlign w:val="bottom"/>
            <w:vMerge w:val="restart"/>
            <w:shd w:val="clear" w:color="auto" w:fill="CCECFF"/>
          </w:tcPr>
          <w:p>
            <w:pPr>
              <w:spacing w:after="0"/>
              <w:rPr>
                <w:sz w:val="9"/>
                <w:szCs w:val="9"/>
                <w:color w:val="auto"/>
              </w:rPr>
            </w:pP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95,142</w:t>
            </w:r>
          </w:p>
        </w:tc>
        <w:tc>
          <w:tcPr>
            <w:tcW w:w="240" w:type="dxa"/>
            <w:vAlign w:val="bottom"/>
            <w:vMerge w:val="restart"/>
            <w:shd w:val="clear" w:color="auto" w:fill="CCECFF"/>
          </w:tcPr>
          <w:p>
            <w:pPr>
              <w:spacing w:after="0"/>
              <w:rPr>
                <w:sz w:val="9"/>
                <w:szCs w:val="9"/>
                <w:color w:val="auto"/>
              </w:rPr>
            </w:pP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vMerge w:val="restart"/>
            <w:shd w:val="clear" w:color="auto" w:fill="CCECFF"/>
          </w:tcPr>
          <w:p>
            <w:pPr>
              <w:jc w:val="right"/>
              <w:ind w:right="117"/>
              <w:spacing w:after="0"/>
              <w:rPr>
                <w:sz w:val="20"/>
                <w:szCs w:val="20"/>
                <w:color w:val="auto"/>
              </w:rPr>
            </w:pPr>
            <w:r>
              <w:rPr>
                <w:rFonts w:ascii="Times New Roman" w:cs="Times New Roman" w:eastAsia="Times New Roman" w:hAnsi="Times New Roman"/>
                <w:sz w:val="13"/>
                <w:szCs w:val="13"/>
                <w:color w:val="auto"/>
              </w:rPr>
              <w:t>(334,683 )</w:t>
            </w:r>
          </w:p>
        </w:tc>
        <w:tc>
          <w:tcPr>
            <w:tcW w:w="300" w:type="dxa"/>
            <w:vAlign w:val="bottom"/>
            <w:vMerge w:val="restart"/>
            <w:shd w:val="clear" w:color="auto" w:fill="CCEC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94,257</w:t>
            </w:r>
          </w:p>
        </w:tc>
        <w:tc>
          <w:tcPr>
            <w:tcW w:w="200" w:type="dxa"/>
            <w:vAlign w:val="bottom"/>
            <w:shd w:val="clear" w:color="auto" w:fill="CCECFF"/>
          </w:tcPr>
          <w:p>
            <w:pPr>
              <w:spacing w:after="0"/>
              <w:rPr>
                <w:sz w:val="9"/>
                <w:szCs w:val="9"/>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353,796</w:t>
            </w:r>
          </w:p>
        </w:tc>
        <w:tc>
          <w:tcPr>
            <w:tcW w:w="3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8,664</w:t>
            </w:r>
          </w:p>
        </w:tc>
        <w:tc>
          <w:tcPr>
            <w:tcW w:w="3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3,983</w:t>
            </w:r>
          </w:p>
        </w:tc>
        <w:tc>
          <w:tcPr>
            <w:tcW w:w="280" w:type="dxa"/>
            <w:vAlign w:val="bottom"/>
            <w:gridSpan w:val="2"/>
            <w:vMerge w:val="restart"/>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6,655</w:t>
            </w:r>
          </w:p>
        </w:tc>
        <w:tc>
          <w:tcPr>
            <w:tcW w:w="3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75,243</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8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20" w:type="dxa"/>
            <w:vAlign w:val="bottom"/>
            <w:vMerge w:val="continue"/>
            <w:shd w:val="clear" w:color="auto" w:fill="CCECFF"/>
          </w:tcPr>
          <w:p>
            <w:pPr>
              <w:spacing w:after="0"/>
              <w:rPr>
                <w:sz w:val="14"/>
                <w:szCs w:val="14"/>
                <w:color w:val="auto"/>
              </w:rPr>
            </w:pPr>
          </w:p>
        </w:tc>
        <w:tc>
          <w:tcPr>
            <w:tcW w:w="160" w:type="dxa"/>
            <w:vAlign w:val="bottom"/>
            <w:vMerge w:val="continue"/>
            <w:shd w:val="clear" w:color="auto" w:fill="CCECFF"/>
          </w:tcPr>
          <w:p>
            <w:pPr>
              <w:spacing w:after="0"/>
              <w:rPr>
                <w:sz w:val="14"/>
                <w:szCs w:val="14"/>
                <w:color w:val="auto"/>
              </w:rPr>
            </w:pPr>
          </w:p>
        </w:tc>
        <w:tc>
          <w:tcPr>
            <w:tcW w:w="1020" w:type="dxa"/>
            <w:vAlign w:val="bottom"/>
            <w:vMerge w:val="continue"/>
            <w:shd w:val="clear" w:color="auto" w:fill="CCECFF"/>
          </w:tcPr>
          <w:p>
            <w:pPr>
              <w:spacing w:after="0"/>
              <w:rPr>
                <w:sz w:val="14"/>
                <w:szCs w:val="14"/>
                <w:color w:val="auto"/>
              </w:rPr>
            </w:pPr>
          </w:p>
        </w:tc>
        <w:tc>
          <w:tcPr>
            <w:tcW w:w="240" w:type="dxa"/>
            <w:vAlign w:val="bottom"/>
            <w:vMerge w:val="continue"/>
            <w:shd w:val="clear" w:color="auto" w:fill="CCECFF"/>
          </w:tcPr>
          <w:p>
            <w:pPr>
              <w:spacing w:after="0"/>
              <w:rPr>
                <w:sz w:val="14"/>
                <w:szCs w:val="14"/>
                <w:color w:val="auto"/>
              </w:rPr>
            </w:pPr>
          </w:p>
        </w:tc>
        <w:tc>
          <w:tcPr>
            <w:tcW w:w="140" w:type="dxa"/>
            <w:vAlign w:val="bottom"/>
            <w:vMerge w:val="continue"/>
            <w:shd w:val="clear" w:color="auto" w:fill="CCECFF"/>
          </w:tcPr>
          <w:p>
            <w:pPr>
              <w:spacing w:after="0"/>
              <w:rPr>
                <w:sz w:val="14"/>
                <w:szCs w:val="14"/>
                <w:color w:val="auto"/>
              </w:rPr>
            </w:pPr>
          </w:p>
        </w:tc>
        <w:tc>
          <w:tcPr>
            <w:tcW w:w="880" w:type="dxa"/>
            <w:vAlign w:val="bottom"/>
            <w:vMerge w:val="continue"/>
            <w:shd w:val="clear" w:color="auto" w:fill="CCECFF"/>
          </w:tcPr>
          <w:p>
            <w:pPr>
              <w:spacing w:after="0"/>
              <w:rPr>
                <w:sz w:val="14"/>
                <w:szCs w:val="14"/>
                <w:color w:val="auto"/>
              </w:rPr>
            </w:pPr>
          </w:p>
        </w:tc>
        <w:tc>
          <w:tcPr>
            <w:tcW w:w="240" w:type="dxa"/>
            <w:vAlign w:val="bottom"/>
            <w:vMerge w:val="continue"/>
            <w:shd w:val="clear" w:color="auto" w:fill="CCECFF"/>
          </w:tcPr>
          <w:p>
            <w:pPr>
              <w:spacing w:after="0"/>
              <w:rPr>
                <w:sz w:val="14"/>
                <w:szCs w:val="14"/>
                <w:color w:val="auto"/>
              </w:rPr>
            </w:pPr>
          </w:p>
        </w:tc>
        <w:tc>
          <w:tcPr>
            <w:tcW w:w="120" w:type="dxa"/>
            <w:vAlign w:val="bottom"/>
            <w:vMerge w:val="continue"/>
            <w:shd w:val="clear" w:color="auto" w:fill="CCECFF"/>
          </w:tcPr>
          <w:p>
            <w:pPr>
              <w:spacing w:after="0"/>
              <w:rPr>
                <w:sz w:val="14"/>
                <w:szCs w:val="14"/>
                <w:color w:val="auto"/>
              </w:rPr>
            </w:pPr>
          </w:p>
        </w:tc>
        <w:tc>
          <w:tcPr>
            <w:tcW w:w="1040" w:type="dxa"/>
            <w:vAlign w:val="bottom"/>
            <w:gridSpan w:val="2"/>
            <w:vMerge w:val="continue"/>
            <w:shd w:val="clear" w:color="auto" w:fill="CCECFF"/>
          </w:tcPr>
          <w:p>
            <w:pPr>
              <w:spacing w:after="0"/>
              <w:rPr>
                <w:sz w:val="14"/>
                <w:szCs w:val="14"/>
                <w:color w:val="auto"/>
              </w:rPr>
            </w:pPr>
          </w:p>
        </w:tc>
        <w:tc>
          <w:tcPr>
            <w:tcW w:w="300" w:type="dxa"/>
            <w:vAlign w:val="bottom"/>
            <w:vMerge w:val="continue"/>
            <w:shd w:val="clear" w:color="auto" w:fill="CCECFF"/>
          </w:tcPr>
          <w:p>
            <w:pPr>
              <w:spacing w:after="0"/>
              <w:rPr>
                <w:sz w:val="14"/>
                <w:szCs w:val="14"/>
                <w:color w:val="auto"/>
              </w:rPr>
            </w:pPr>
          </w:p>
        </w:tc>
        <w:tc>
          <w:tcPr>
            <w:tcW w:w="620" w:type="dxa"/>
            <w:vAlign w:val="bottom"/>
            <w:vMerge w:val="continue"/>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vMerge w:val="continue"/>
            <w:shd w:val="clear" w:color="auto" w:fill="CCECFF"/>
          </w:tcPr>
          <w:p>
            <w:pPr>
              <w:spacing w:after="0"/>
              <w:rPr>
                <w:sz w:val="14"/>
                <w:szCs w:val="14"/>
                <w:color w:val="auto"/>
              </w:rPr>
            </w:pPr>
          </w:p>
        </w:tc>
        <w:tc>
          <w:tcPr>
            <w:tcW w:w="820" w:type="dxa"/>
            <w:vAlign w:val="bottom"/>
            <w:vMerge w:val="continue"/>
            <w:shd w:val="clear" w:color="auto" w:fill="CCECFF"/>
          </w:tcPr>
          <w:p>
            <w:pPr>
              <w:spacing w:after="0"/>
              <w:rPr>
                <w:sz w:val="14"/>
                <w:szCs w:val="14"/>
                <w:color w:val="auto"/>
              </w:rPr>
            </w:pPr>
          </w:p>
        </w:tc>
        <w:tc>
          <w:tcPr>
            <w:tcW w:w="320" w:type="dxa"/>
            <w:vAlign w:val="bottom"/>
            <w:gridSpan w:val="2"/>
            <w:vMerge w:val="continue"/>
            <w:shd w:val="clear" w:color="auto" w:fill="CCECFF"/>
          </w:tcPr>
          <w:p>
            <w:pPr>
              <w:spacing w:after="0"/>
              <w:rPr>
                <w:sz w:val="14"/>
                <w:szCs w:val="14"/>
                <w:color w:val="auto"/>
              </w:rPr>
            </w:pPr>
          </w:p>
        </w:tc>
        <w:tc>
          <w:tcPr>
            <w:tcW w:w="560" w:type="dxa"/>
            <w:vAlign w:val="bottom"/>
            <w:vMerge w:val="continue"/>
            <w:shd w:val="clear" w:color="auto" w:fill="CCECFF"/>
          </w:tcPr>
          <w:p>
            <w:pPr>
              <w:spacing w:after="0"/>
              <w:rPr>
                <w:sz w:val="14"/>
                <w:szCs w:val="14"/>
                <w:color w:val="auto"/>
              </w:rPr>
            </w:pPr>
          </w:p>
        </w:tc>
        <w:tc>
          <w:tcPr>
            <w:tcW w:w="320" w:type="dxa"/>
            <w:vAlign w:val="bottom"/>
            <w:gridSpan w:val="2"/>
            <w:vMerge w:val="continue"/>
            <w:shd w:val="clear" w:color="auto" w:fill="CCECFF"/>
          </w:tcPr>
          <w:p>
            <w:pPr>
              <w:spacing w:after="0"/>
              <w:rPr>
                <w:sz w:val="14"/>
                <w:szCs w:val="14"/>
                <w:color w:val="auto"/>
              </w:rPr>
            </w:pPr>
          </w:p>
        </w:tc>
        <w:tc>
          <w:tcPr>
            <w:tcW w:w="440" w:type="dxa"/>
            <w:vAlign w:val="bottom"/>
            <w:vMerge w:val="continue"/>
            <w:shd w:val="clear" w:color="auto" w:fill="CCECFF"/>
          </w:tcPr>
          <w:p>
            <w:pPr>
              <w:spacing w:after="0"/>
              <w:rPr>
                <w:sz w:val="14"/>
                <w:szCs w:val="14"/>
                <w:color w:val="auto"/>
              </w:rPr>
            </w:pPr>
          </w:p>
        </w:tc>
        <w:tc>
          <w:tcPr>
            <w:tcW w:w="280" w:type="dxa"/>
            <w:vAlign w:val="bottom"/>
            <w:gridSpan w:val="2"/>
            <w:vMerge w:val="continue"/>
            <w:shd w:val="clear" w:color="auto" w:fill="CCECFF"/>
          </w:tcPr>
          <w:p>
            <w:pPr>
              <w:spacing w:after="0"/>
              <w:rPr>
                <w:sz w:val="14"/>
                <w:szCs w:val="14"/>
                <w:color w:val="auto"/>
              </w:rPr>
            </w:pPr>
          </w:p>
        </w:tc>
        <w:tc>
          <w:tcPr>
            <w:tcW w:w="480" w:type="dxa"/>
            <w:vAlign w:val="bottom"/>
            <w:vMerge w:val="continue"/>
            <w:shd w:val="clear" w:color="auto" w:fill="CCECFF"/>
          </w:tcPr>
          <w:p>
            <w:pPr>
              <w:spacing w:after="0"/>
              <w:rPr>
                <w:sz w:val="14"/>
                <w:szCs w:val="14"/>
                <w:color w:val="auto"/>
              </w:rPr>
            </w:pPr>
          </w:p>
        </w:tc>
        <w:tc>
          <w:tcPr>
            <w:tcW w:w="300" w:type="dxa"/>
            <w:vAlign w:val="bottom"/>
            <w:gridSpan w:val="2"/>
            <w:vMerge w:val="continue"/>
            <w:shd w:val="clear" w:color="auto" w:fill="CCECFF"/>
          </w:tcPr>
          <w:p>
            <w:pPr>
              <w:spacing w:after="0"/>
              <w:rPr>
                <w:sz w:val="14"/>
                <w:szCs w:val="14"/>
                <w:color w:val="auto"/>
              </w:rPr>
            </w:pPr>
          </w:p>
        </w:tc>
        <w:tc>
          <w:tcPr>
            <w:tcW w:w="60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-967740</wp:posOffset>
            </wp:positionV>
            <wp:extent cx="76835" cy="1117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-967740</wp:posOffset>
            </wp:positionV>
            <wp:extent cx="76835" cy="1117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-967740</wp:posOffset>
            </wp:positionV>
            <wp:extent cx="77470" cy="1117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-967740</wp:posOffset>
            </wp:positionV>
            <wp:extent cx="68580" cy="1117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-967740</wp:posOffset>
            </wp:positionV>
            <wp:extent cx="68580" cy="1117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-967740</wp:posOffset>
            </wp:positionV>
            <wp:extent cx="68580" cy="1117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-967740</wp:posOffset>
            </wp:positionV>
            <wp:extent cx="68580" cy="1117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-967740</wp:posOffset>
            </wp:positionV>
            <wp:extent cx="68580" cy="1117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117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-385445</wp:posOffset>
            </wp:positionV>
            <wp:extent cx="76835" cy="1974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-385445</wp:posOffset>
            </wp:positionV>
            <wp:extent cx="76835" cy="1974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-385445</wp:posOffset>
            </wp:positionV>
            <wp:extent cx="77470" cy="1974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19748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-385445</wp:posOffset>
            </wp:positionV>
            <wp:extent cx="68580" cy="1974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-385445</wp:posOffset>
            </wp:positionV>
            <wp:extent cx="68580" cy="1974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-385445</wp:posOffset>
            </wp:positionV>
            <wp:extent cx="68580" cy="1974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-385445</wp:posOffset>
            </wp:positionV>
            <wp:extent cx="68580" cy="1974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-385445</wp:posOffset>
            </wp:positionV>
            <wp:extent cx="68580" cy="1974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1974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-24765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-7620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Includes PIK.</w:t>
      </w:r>
    </w:p>
    <w:p>
      <w:pPr>
        <w:ind w:left="380" w:hanging="372"/>
        <w:spacing w:after="0" w:line="191" w:lineRule="auto"/>
        <w:tabs>
          <w:tab w:leader="none" w:pos="380" w:val="left"/>
        </w:tabs>
        <w:numPr>
          <w:ilvl w:val="0"/>
          <w:numId w:val="2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Cascade Environmental Holdings, LLC became a controlled affiliate during the quarter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1912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80" w:right="440" w:hanging="372"/>
        <w:spacing w:after="0" w:line="234" w:lineRule="auto"/>
        <w:tabs>
          <w:tab w:leader="none" w:pos="38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decisions regarding PSLF must be submitted to PSLF’s four-person Member Designees’ Committee, which is comprised of two members appointed by each of us and Pantheon. Because management of PSLF is shared equally between us and Pantheon, we do not believe we control PSLF for purposes of the 1940 Act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in net assets resulting from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Numerator for net increase (decrease) in net assets resulting from operations</w:t>
            </w: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(18,481</w:t>
            </w:r>
          </w:p>
        </w:tc>
        <w:tc>
          <w:tcPr>
            <w:tcW w:w="24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31,880</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10,187</w:t>
            </w: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141,509</w:t>
            </w:r>
          </w:p>
        </w:tc>
        <w:tc>
          <w:tcPr>
            <w:tcW w:w="100" w:type="dxa"/>
            <w:vAlign w:val="bottom"/>
            <w:shd w:val="clear" w:color="auto" w:fill="CCECFF"/>
          </w:tcPr>
          <w:p>
            <w:pPr>
              <w:spacing w:after="0"/>
              <w:rPr>
                <w:sz w:val="14"/>
                <w:szCs w:val="14"/>
                <w:color w:val="auto"/>
              </w:rPr>
            </w:pPr>
          </w:p>
        </w:tc>
      </w:tr>
      <w:tr>
        <w:trPr>
          <w:trHeight w:val="175"/>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65,897,233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66,564,289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100" w:type="dxa"/>
            <w:vAlign w:val="bottom"/>
          </w:tcPr>
          <w:p>
            <w:pPr>
              <w:spacing w:after="0"/>
              <w:rPr>
                <w:sz w:val="15"/>
                <w:szCs w:val="15"/>
                <w:color w:val="auto"/>
              </w:rPr>
            </w:pPr>
          </w:p>
        </w:tc>
      </w:tr>
      <w:tr>
        <w:trPr>
          <w:trHeight w:val="175"/>
        </w:trPr>
        <w:tc>
          <w:tcPr>
            <w:tcW w:w="5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Basic and diluted net increase (decrease) in net assets per share resulting from operations</w:t>
            </w: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(0.28 )</w:t>
            </w:r>
          </w:p>
        </w:tc>
        <w:tc>
          <w:tcPr>
            <w:tcW w:w="28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44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4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CFF"/>
          </w:tcPr>
          <w:p>
            <w:pPr>
              <w:spacing w:after="0"/>
              <w:rPr>
                <w:sz w:val="15"/>
                <w:szCs w:val="15"/>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w:t>
      </w:r>
    </w:p>
    <w:p>
      <w:pPr>
        <w:spacing w:after="0" w:line="1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2022 and September 30, 2021, cash and 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equivalents consisted of money market funds in the amounts of $29.5 million and $20.4 million at fair value, respectively.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6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financial highlights ($ in thousands, except share and per share data):</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0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16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90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1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beginning of period</w:t>
            </w: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360" w:type="dxa"/>
            <w:vAlign w:val="bottom"/>
          </w:tcPr>
          <w:p>
            <w:pPr>
              <w:spacing w:after="0"/>
              <w:rPr>
                <w:sz w:val="15"/>
                <w:szCs w:val="15"/>
                <w:color w:val="auto"/>
              </w:rPr>
            </w:pP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116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36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change in realized and unrealized (loss) gain </w:t>
            </w:r>
            <w:r>
              <w:rPr>
                <w:rFonts w:ascii="Times New Roman" w:cs="Times New Roman" w:eastAsia="Times New Roman" w:hAnsi="Times New Roman"/>
                <w:sz w:val="19"/>
                <w:szCs w:val="19"/>
                <w:color w:val="auto"/>
                <w:vertAlign w:val="superscript"/>
              </w:rPr>
              <w:t>(1)</w:t>
            </w:r>
          </w:p>
        </w:tc>
        <w:tc>
          <w:tcPr>
            <w:tcW w:w="1160" w:type="dxa"/>
            <w:vAlign w:val="bottom"/>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(0.37 )</w:t>
            </w:r>
          </w:p>
        </w:tc>
        <w:tc>
          <w:tcPr>
            <w:tcW w:w="7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Net increase in net assets resulting from operations </w:t>
            </w:r>
            <w:r>
              <w:rPr>
                <w:rFonts w:ascii="Times New Roman" w:cs="Times New Roman" w:eastAsia="Times New Roman" w:hAnsi="Times New Roman"/>
                <w:sz w:val="19"/>
                <w:szCs w:val="19"/>
                <w:color w:val="auto"/>
                <w:vertAlign w:val="superscript"/>
              </w:rPr>
              <w:t>(1)</w:t>
            </w:r>
          </w:p>
        </w:tc>
        <w:tc>
          <w:tcPr>
            <w:tcW w:w="116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360" w:type="dxa"/>
            <w:vAlign w:val="bottom"/>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spacing w:after="0"/>
              <w:rPr>
                <w:sz w:val="14"/>
                <w:szCs w:val="14"/>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9"/>
                <w:szCs w:val="19"/>
                <w:color w:val="auto"/>
                <w:vertAlign w:val="superscript"/>
              </w:rPr>
              <w:t>(1), (2)</w:t>
            </w:r>
          </w:p>
        </w:tc>
        <w:tc>
          <w:tcPr>
            <w:tcW w:w="1160" w:type="dxa"/>
            <w:vAlign w:val="bottom"/>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(0.40 )</w:t>
            </w:r>
          </w:p>
        </w:tc>
        <w:tc>
          <w:tcPr>
            <w:tcW w:w="760" w:type="dxa"/>
            <w:vAlign w:val="bottom"/>
          </w:tcPr>
          <w:p>
            <w:pPr>
              <w:spacing w:after="0"/>
              <w:rPr>
                <w:sz w:val="15"/>
                <w:szCs w:val="15"/>
                <w:color w:val="auto"/>
              </w:rPr>
            </w:pP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(0.36 )</w:t>
            </w:r>
          </w:p>
        </w:tc>
        <w:tc>
          <w:tcPr>
            <w:tcW w:w="0" w:type="dxa"/>
            <w:vAlign w:val="bottom"/>
          </w:tcPr>
          <w:p>
            <w:pPr>
              <w:spacing w:after="0"/>
              <w:rPr>
                <w:sz w:val="1"/>
                <w:szCs w:val="1"/>
                <w:color w:val="auto"/>
              </w:rPr>
            </w:pPr>
          </w:p>
        </w:tc>
      </w:tr>
      <w:tr>
        <w:trPr>
          <w:trHeight w:val="176"/>
        </w:trPr>
        <w:tc>
          <w:tcPr>
            <w:tcW w:w="69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Repurchase of common stock </w:t>
            </w:r>
            <w:r>
              <w:rPr>
                <w:rFonts w:ascii="Times New Roman" w:cs="Times New Roman" w:eastAsia="Times New Roman" w:hAnsi="Times New Roman"/>
                <w:sz w:val="19"/>
                <w:szCs w:val="19"/>
                <w:color w:val="auto"/>
                <w:vertAlign w:val="superscript"/>
              </w:rPr>
              <w:t>(1)</w:t>
            </w:r>
          </w:p>
        </w:tc>
        <w:tc>
          <w:tcPr>
            <w:tcW w:w="116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36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90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4"/>
                <w:szCs w:val="14"/>
                <w:color w:val="auto"/>
              </w:rPr>
              <w:t>Net asset value, end of period</w:t>
            </w:r>
          </w:p>
        </w:tc>
        <w:tc>
          <w:tcPr>
            <w:tcW w:w="116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360" w:type="dxa"/>
            <w:vAlign w:val="bottom"/>
            <w:tcBorders>
              <w:top w:val="single" w:sz="8" w:color="CCECFF"/>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4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Per share market value, end of period</w:t>
            </w:r>
          </w:p>
        </w:tc>
        <w:tc>
          <w:tcPr>
            <w:tcW w:w="1160" w:type="dxa"/>
            <w:vAlign w:val="bottom"/>
            <w:tcBorders>
              <w:bottom w:val="single" w:sz="8" w:color="auto"/>
            </w:tcBorders>
            <w:shd w:val="clear" w:color="auto" w:fill="CCECFF"/>
          </w:tcPr>
          <w:p>
            <w:pPr>
              <w:jc w:val="right"/>
              <w:ind w:right="10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6.18</w:t>
            </w:r>
          </w:p>
        </w:tc>
        <w:tc>
          <w:tcPr>
            <w:tcW w:w="360" w:type="dxa"/>
            <w:vAlign w:val="bottom"/>
            <w:tcBorders>
              <w:bottom w:val="single" w:sz="8" w:color="CCECFF"/>
            </w:tcBorders>
            <w:shd w:val="clear" w:color="auto" w:fill="CCECFF"/>
          </w:tcPr>
          <w:p>
            <w:pPr>
              <w:spacing w:after="0"/>
              <w:rPr>
                <w:sz w:val="17"/>
                <w:szCs w:val="17"/>
                <w:color w:val="auto"/>
              </w:rPr>
            </w:pPr>
          </w:p>
        </w:tc>
        <w:tc>
          <w:tcPr>
            <w:tcW w:w="760" w:type="dxa"/>
            <w:vAlign w:val="bottom"/>
            <w:tcBorders>
              <w:bottom w:val="single" w:sz="8" w:color="auto"/>
            </w:tcBorders>
            <w:shd w:val="clear" w:color="auto" w:fill="CCECFF"/>
          </w:tcPr>
          <w:p>
            <w:pPr>
              <w:jc w:val="right"/>
              <w:ind w:right="6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6.68</w:t>
            </w:r>
          </w:p>
        </w:tc>
        <w:tc>
          <w:tcPr>
            <w:tcW w:w="14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9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return</w:t>
            </w:r>
            <w:r>
              <w:rPr>
                <w:rFonts w:ascii="Times New Roman" w:cs="Times New Roman" w:eastAsia="Times New Roman" w:hAnsi="Times New Roman"/>
                <w:sz w:val="18"/>
                <w:szCs w:val="18"/>
                <w:color w:val="auto"/>
                <w:vertAlign w:val="superscript"/>
              </w:rPr>
              <w:t>* (3)</w:t>
            </w:r>
          </w:p>
        </w:tc>
        <w:tc>
          <w:tcPr>
            <w:tcW w:w="1160" w:type="dxa"/>
            <w:vAlign w:val="bottom"/>
          </w:tcPr>
          <w:p>
            <w:pPr>
              <w:spacing w:after="0"/>
              <w:rPr>
                <w:sz w:val="13"/>
                <w:szCs w:val="13"/>
                <w:color w:val="auto"/>
              </w:rPr>
            </w:pPr>
          </w:p>
        </w:tc>
        <w:tc>
          <w:tcPr>
            <w:tcW w:w="112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 xml:space="preserve">0.88 </w:t>
            </w:r>
            <w:r>
              <w:rPr>
                <w:rFonts w:ascii="Times New Roman" w:cs="Times New Roman" w:eastAsia="Times New Roman" w:hAnsi="Times New Roman"/>
                <w:sz w:val="14"/>
                <w:szCs w:val="14"/>
                <w:color w:val="auto"/>
                <w:highlight w:val="white"/>
              </w:rPr>
              <w:t>%</w:t>
            </w:r>
          </w:p>
        </w:tc>
        <w:tc>
          <w:tcPr>
            <w:tcW w:w="760" w:type="dxa"/>
            <w:vAlign w:val="bottom"/>
          </w:tcPr>
          <w:p>
            <w:pPr>
              <w:spacing w:after="0"/>
              <w:rPr>
                <w:sz w:val="13"/>
                <w:szCs w:val="13"/>
                <w:color w:val="auto"/>
              </w:rPr>
            </w:pPr>
          </w:p>
        </w:tc>
        <w:tc>
          <w:tcPr>
            <w:tcW w:w="13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 xml:space="preserve">123.38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176"/>
        </w:trPr>
        <w:tc>
          <w:tcPr>
            <w:tcW w:w="6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16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65,413,942</w:t>
            </w:r>
          </w:p>
        </w:tc>
        <w:tc>
          <w:tcPr>
            <w:tcW w:w="3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1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b w:val="1"/>
                <w:bCs w:val="1"/>
                <w:color w:val="auto"/>
              </w:rPr>
              <w:t>Ratios</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4"/>
                <w:szCs w:val="14"/>
                <w:b w:val="1"/>
                <w:bCs w:val="1"/>
                <w:color w:val="auto"/>
              </w:rPr>
              <w:t xml:space="preserve"> / Supplemental Data:</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9"/>
                <w:szCs w:val="19"/>
                <w:color w:val="auto"/>
                <w:vertAlign w:val="superscript"/>
              </w:rPr>
              <w:t>(4)</w:t>
            </w:r>
          </w:p>
        </w:tc>
        <w:tc>
          <w:tcPr>
            <w:tcW w:w="116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4.27 %</w:t>
            </w:r>
          </w:p>
        </w:tc>
        <w:tc>
          <w:tcPr>
            <w:tcW w:w="7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3.71 %</w:t>
            </w:r>
          </w:p>
        </w:tc>
        <w:tc>
          <w:tcPr>
            <w:tcW w:w="0" w:type="dxa"/>
            <w:vAlign w:val="bottom"/>
          </w:tcPr>
          <w:p>
            <w:pPr>
              <w:spacing w:after="0"/>
              <w:rPr>
                <w:sz w:val="1"/>
                <w:szCs w:val="1"/>
                <w:color w:val="auto"/>
              </w:rPr>
            </w:pPr>
          </w:p>
        </w:tc>
      </w:tr>
      <w:tr>
        <w:trPr>
          <w:trHeight w:val="176"/>
        </w:trPr>
        <w:tc>
          <w:tcPr>
            <w:tcW w:w="69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debt related expenses to average net assets </w:t>
            </w:r>
            <w:r>
              <w:rPr>
                <w:rFonts w:ascii="Times New Roman" w:cs="Times New Roman" w:eastAsia="Times New Roman" w:hAnsi="Times New Roman"/>
                <w:sz w:val="19"/>
                <w:szCs w:val="19"/>
                <w:color w:val="auto"/>
                <w:vertAlign w:val="superscript"/>
              </w:rPr>
              <w:t>(5)</w:t>
            </w:r>
          </w:p>
        </w:tc>
        <w:tc>
          <w:tcPr>
            <w:tcW w:w="116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4.06 %</w:t>
            </w:r>
          </w:p>
        </w:tc>
        <w:tc>
          <w:tcPr>
            <w:tcW w:w="7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0" w:type="dxa"/>
            <w:vAlign w:val="bottom"/>
          </w:tcPr>
          <w:p>
            <w:pPr>
              <w:spacing w:after="0"/>
              <w:rPr>
                <w:sz w:val="1"/>
                <w:szCs w:val="1"/>
                <w:color w:val="auto"/>
              </w:rPr>
            </w:pPr>
          </w:p>
        </w:tc>
      </w:tr>
      <w:tr>
        <w:trPr>
          <w:trHeight w:val="169"/>
        </w:trPr>
        <w:tc>
          <w:tcPr>
            <w:tcW w:w="690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9"/>
                <w:szCs w:val="19"/>
                <w:color w:val="auto"/>
                <w:vertAlign w:val="superscript"/>
              </w:rPr>
              <w:t>(5)</w:t>
            </w:r>
          </w:p>
        </w:tc>
        <w:tc>
          <w:tcPr>
            <w:tcW w:w="116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36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CFF"/>
          </w:tcPr>
          <w:p>
            <w:pPr>
              <w:spacing w:after="0"/>
              <w:rPr>
                <w:sz w:val="14"/>
                <w:szCs w:val="14"/>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9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9"/>
                <w:szCs w:val="19"/>
                <w:color w:val="auto"/>
                <w:vertAlign w:val="superscript"/>
              </w:rPr>
              <w:t>(5)</w:t>
            </w:r>
          </w:p>
        </w:tc>
        <w:tc>
          <w:tcPr>
            <w:tcW w:w="116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7.02 %</w:t>
            </w:r>
          </w:p>
        </w:tc>
        <w:tc>
          <w:tcPr>
            <w:tcW w:w="7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5.70 %</w:t>
            </w:r>
          </w:p>
        </w:tc>
        <w:tc>
          <w:tcPr>
            <w:tcW w:w="0" w:type="dxa"/>
            <w:vAlign w:val="bottom"/>
          </w:tcPr>
          <w:p>
            <w:pPr>
              <w:spacing w:after="0"/>
              <w:rPr>
                <w:sz w:val="1"/>
                <w:szCs w:val="1"/>
                <w:color w:val="auto"/>
              </w:rPr>
            </w:pPr>
          </w:p>
        </w:tc>
      </w:tr>
      <w:tr>
        <w:trPr>
          <w:trHeight w:val="176"/>
        </w:trPr>
        <w:tc>
          <w:tcPr>
            <w:tcW w:w="6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160" w:type="dxa"/>
            <w:vAlign w:val="bottom"/>
            <w:tcBorders>
              <w:bottom w:val="single" w:sz="8" w:color="auto"/>
            </w:tcBorders>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631,510</w:t>
            </w:r>
          </w:p>
        </w:tc>
        <w:tc>
          <w:tcPr>
            <w:tcW w:w="3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643,081</w:t>
            </w:r>
          </w:p>
        </w:tc>
        <w:tc>
          <w:tcPr>
            <w:tcW w:w="1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debt outstanding</w:t>
            </w:r>
          </w:p>
        </w:tc>
        <w:tc>
          <w:tcPr>
            <w:tcW w:w="116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676,738</w:t>
            </w:r>
          </w:p>
        </w:tc>
        <w:tc>
          <w:tcPr>
            <w:tcW w:w="360" w:type="dxa"/>
            <w:vAlign w:val="bottom"/>
          </w:tcPr>
          <w:p>
            <w:pPr>
              <w:spacing w:after="0"/>
              <w:rPr>
                <w:sz w:val="14"/>
                <w:szCs w:val="14"/>
                <w:color w:val="auto"/>
              </w:rPr>
            </w:pPr>
          </w:p>
        </w:tc>
        <w:tc>
          <w:tcPr>
            <w:tcW w:w="7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649,965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0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9"/>
                <w:szCs w:val="19"/>
                <w:color w:val="auto"/>
                <w:vertAlign w:val="superscript"/>
              </w:rPr>
              <w:t>(1)</w:t>
            </w:r>
          </w:p>
        </w:tc>
        <w:tc>
          <w:tcPr>
            <w:tcW w:w="1160" w:type="dxa"/>
            <w:vAlign w:val="bottom"/>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36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900" w:type="dxa"/>
            <w:vAlign w:val="bottom"/>
          </w:tcPr>
          <w:p>
            <w:pPr>
              <w:ind w:left="20"/>
              <w:spacing w:after="0" w:line="166" w:lineRule="exact"/>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9"/>
                <w:szCs w:val="19"/>
                <w:color w:val="auto"/>
                <w:vertAlign w:val="superscript"/>
              </w:rPr>
              <w:t>(6)</w:t>
            </w:r>
          </w:p>
        </w:tc>
        <w:tc>
          <w:tcPr>
            <w:tcW w:w="11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360" w:type="dxa"/>
            <w:vAlign w:val="bottom"/>
          </w:tcPr>
          <w:p>
            <w:pPr>
              <w:spacing w:after="0"/>
              <w:rPr>
                <w:sz w:val="14"/>
                <w:szCs w:val="14"/>
                <w:color w:val="auto"/>
              </w:rPr>
            </w:pP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turnover ratio</w:t>
            </w:r>
          </w:p>
        </w:tc>
        <w:tc>
          <w:tcPr>
            <w:tcW w:w="116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56.91 %</w:t>
            </w:r>
          </w:p>
        </w:tc>
        <w:tc>
          <w:tcPr>
            <w:tcW w:w="7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-1652905</wp:posOffset>
            </wp:positionV>
            <wp:extent cx="85725" cy="145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-1652905</wp:posOffset>
            </wp:positionV>
            <wp:extent cx="85725" cy="1454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-1395730</wp:posOffset>
            </wp:positionV>
            <wp:extent cx="857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-1395730</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-1146810</wp:posOffset>
            </wp:positionV>
            <wp:extent cx="85725" cy="1200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-1146810</wp:posOffset>
            </wp:positionV>
            <wp:extent cx="85725" cy="1200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-461010</wp:posOffset>
            </wp:positionV>
            <wp:extent cx="85725" cy="128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-461010</wp:posOffset>
            </wp:positionV>
            <wp:extent cx="85725" cy="1289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111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right="9180" w:firstLine="8"/>
        <w:spacing w:after="0" w:line="260" w:lineRule="auto"/>
        <w:tabs>
          <w:tab w:leader="none" w:pos="81" w:val="left"/>
        </w:tabs>
        <w:numPr>
          <w:ilvl w:val="0"/>
          <w:numId w:val="27"/>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Not annualized for periods less than one year.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Annualized for periods less than one year.</w:t>
      </w:r>
    </w:p>
    <w:p>
      <w:pPr>
        <w:ind w:left="380" w:hanging="372"/>
        <w:spacing w:after="0" w:line="192"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debt-related costs.</w:t>
      </w:r>
    </w:p>
    <w:p>
      <w:pPr>
        <w:ind w:left="380" w:hanging="372"/>
        <w:spacing w:after="0" w:line="19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and expenses on debt (annualized) as well as Credit Facility amendment, debt issuance costs and excludes debt extinguishment cost, if any, (not annualized).</w:t>
      </w:r>
    </w:p>
    <w:p>
      <w:pPr>
        <w:spacing w:after="0" w:line="6" w:lineRule="exact"/>
        <w:rPr>
          <w:rFonts w:ascii="Times New Roman" w:cs="Times New Roman" w:eastAsia="Times New Roman" w:hAnsi="Times New Roman"/>
          <w:sz w:val="14"/>
          <w:szCs w:val="14"/>
          <w:color w:val="auto"/>
          <w:vertAlign w:val="superscript"/>
        </w:rPr>
      </w:pPr>
    </w:p>
    <w:p>
      <w:pPr>
        <w:ind w:left="380" w:hanging="372"/>
        <w:spacing w:after="0" w:line="181"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SBA debentures outstanding.</w:t>
      </w:r>
    </w:p>
    <w:p>
      <w:pPr>
        <w:ind w:left="380" w:right="220" w:hanging="372"/>
        <w:spacing w:after="0" w:line="215" w:lineRule="auto"/>
        <w:tabs>
          <w:tab w:leader="none" w:pos="380"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20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annualized weighted average cost of debt for the nine months ended June 30, 2022 and 2021, inclusive of the fee on the undrawn commitment under the Truist Credit Facility and amortized upfront fees on SBA debentures, 2024 Notes, 2026 Notes and 2026 Notes-2, was 4.0% and 3.5%, respectively. As of June 30, 2022,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7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2022 and September 30, 2021, our asset coverage ratio, as computed in accordance with the 1940 Act, was 187% and 221%,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Truist Credit Facility</w:t>
      </w:r>
    </w:p>
    <w:p>
      <w:pPr>
        <w:spacing w:after="0" w:line="221"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As of June 30, 2022, we had the multi-currency Truist Credit Facility for up to $465.0 million (increased from $435.0 million in December 2021) in borrowings with certain lenders and Truist Bank (formerly SunTrust Bank), acting as administrative agent, and JPMorgan Chase Bank, N.A., acting as syndication agent for the lenders. As of June 30, 2022 and September 30, 2021, we had $422.9 million and $316.5 million, respectively, in outstanding borrowings under the Truist Credit Facility. The Truist Credit Facility had a weighted average interest rate of 3.9% and 2.4%, respectively, exclusive of the fee on undrawn commitment, as of June 30, 2022 and September 30, 2021. The Truist Credit Facility is a revolving facility with a stated maturity date of September 4, 2024, a one-year term-out period on September 4, 2023 and pricing set at 225 basis points over LIBOR (or an alternative risk-free floating interest rate index). As of June 30, 2022 and September 30, 2021, we had $42.1 million and $118.5 million of unused borrowing capacity under the Truist Credit Facility, respectively, subject to leverage and borrowing base restrictions. The Truist Credit Facility is secured by substantially all of our assets, excluding assets held by SBIC II. As of June 30, 2022, we were in compliance with the terms of the Truist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Debentures</w:t>
      </w:r>
    </w:p>
    <w:p>
      <w:pPr>
        <w:spacing w:after="0" w:line="20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$27.5 million and $63.5 million as of June 30, 2022 and September 30,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9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both June 30, 2022 and September 30, 2021, SBIC II had an initial $150.0 million in debt commitments, all of which were drawn. During the three and nine months ended June 30, 2022, zero and $36.0 million in SBA debentures were repaid, respectively. During the three and nine months ended June 30, 2021, there was $45.0 million and $55.0 million in SBA debentures were repaid, respectively. As of both June 30, 2022 and September 30, 2021, the unamortized fees on the SBA debentures was $0.5 million, respectively. The SBA debentures’ upfront fees of 3.4% consist of a commitment fee of 1.0% and an issuance discount of 2.4%, which are being amortized.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fixed-rate SBA debentures were as follows ($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tcPr>
          <w:p>
            <w:pPr>
              <w:spacing w:after="0"/>
              <w:rPr>
                <w:sz w:val="13"/>
                <w:szCs w:val="13"/>
                <w:color w:val="auto"/>
              </w:rPr>
            </w:pPr>
          </w:p>
        </w:tc>
        <w:tc>
          <w:tcPr>
            <w:tcW w:w="22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256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3"/>
                <w:szCs w:val="13"/>
                <w:color w:val="auto"/>
              </w:rPr>
            </w:pP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20" w:type="dxa"/>
            <w:vAlign w:val="bottom"/>
            <w:shd w:val="clear" w:color="auto" w:fill="CCECFF"/>
          </w:tcPr>
          <w:p>
            <w:pPr>
              <w:spacing w:after="0"/>
              <w:rPr>
                <w:sz w:val="14"/>
                <w:szCs w:val="14"/>
                <w:color w:val="auto"/>
              </w:rPr>
            </w:pPr>
          </w:p>
        </w:tc>
        <w:tc>
          <w:tcPr>
            <w:tcW w:w="22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40" w:type="dxa"/>
            <w:vAlign w:val="bottom"/>
            <w:shd w:val="clear" w:color="auto" w:fill="CCECFF"/>
          </w:tcPr>
          <w:p>
            <w:pPr>
              <w:spacing w:after="0"/>
              <w:rPr>
                <w:sz w:val="14"/>
                <w:szCs w:val="14"/>
                <w:color w:val="auto"/>
              </w:rPr>
            </w:pPr>
          </w:p>
        </w:tc>
        <w:tc>
          <w:tcPr>
            <w:tcW w:w="2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80" w:type="dxa"/>
            <w:vAlign w:val="bottom"/>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360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tcPr>
          <w:p>
            <w:pPr>
              <w:spacing w:after="0"/>
              <w:rPr>
                <w:sz w:val="24"/>
                <w:szCs w:val="24"/>
                <w:color w:val="auto"/>
              </w:rPr>
            </w:pPr>
          </w:p>
        </w:tc>
        <w:tc>
          <w:tcPr>
            <w:tcW w:w="22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24"/>
                <w:szCs w:val="24"/>
                <w:color w:val="auto"/>
              </w:rPr>
            </w:pPr>
          </w:p>
        </w:tc>
        <w:tc>
          <w:tcPr>
            <w:tcW w:w="256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24"/>
                <w:szCs w:val="24"/>
                <w:color w:val="auto"/>
              </w:rPr>
            </w:pP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20" w:type="dxa"/>
            <w:vAlign w:val="bottom"/>
            <w:shd w:val="clear" w:color="auto" w:fill="CCECFF"/>
          </w:tcPr>
          <w:p>
            <w:pPr>
              <w:spacing w:after="0"/>
              <w:rPr>
                <w:sz w:val="14"/>
                <w:szCs w:val="14"/>
                <w:color w:val="auto"/>
              </w:rPr>
            </w:pPr>
          </w:p>
        </w:tc>
        <w:tc>
          <w:tcPr>
            <w:tcW w:w="22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40" w:type="dxa"/>
            <w:vAlign w:val="bottom"/>
            <w:shd w:val="clear" w:color="auto" w:fill="CCECFF"/>
          </w:tcPr>
          <w:p>
            <w:pPr>
              <w:spacing w:after="0"/>
              <w:rPr>
                <w:sz w:val="14"/>
                <w:szCs w:val="14"/>
                <w:color w:val="auto"/>
              </w:rPr>
            </w:pPr>
          </w:p>
        </w:tc>
        <w:tc>
          <w:tcPr>
            <w:tcW w:w="2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80" w:type="dxa"/>
            <w:vAlign w:val="bottom"/>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21, 2018</w:t>
            </w:r>
          </w:p>
        </w:tc>
        <w:tc>
          <w:tcPr>
            <w:tcW w:w="2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2028</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Weighted Average Rate / Total</w:t>
            </w:r>
          </w:p>
        </w:tc>
        <w:tc>
          <w:tcPr>
            <w:tcW w:w="220" w:type="dxa"/>
            <w:vAlign w:val="bottom"/>
            <w:tcBorders>
              <w:bottom w:val="single" w:sz="8" w:color="CCECFF"/>
            </w:tcBorders>
            <w:shd w:val="clear" w:color="auto" w:fill="CCECFF"/>
          </w:tcPr>
          <w:p>
            <w:pPr>
              <w:spacing w:after="0"/>
              <w:rPr>
                <w:sz w:val="18"/>
                <w:szCs w:val="18"/>
                <w:color w:val="auto"/>
              </w:rPr>
            </w:pPr>
          </w:p>
        </w:tc>
        <w:tc>
          <w:tcPr>
            <w:tcW w:w="22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80" w:type="dxa"/>
            <w:vAlign w:val="bottom"/>
            <w:tcBorders>
              <w:bottom w:val="single" w:sz="8" w:color="CCECFF"/>
            </w:tcBorders>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63,500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-24765</wp:posOffset>
            </wp:positionV>
            <wp:extent cx="939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939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912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June 30, 2022, SBIC II was in compliance with its regulatory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June 30, 2022 and September 30, 2021, we had zero and $86.3 million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on January 15, April 15, July 15 and October 15, at a rate of 5.5% per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Notes-2</w:t>
      </w:r>
    </w:p>
    <w:p>
      <w:pPr>
        <w:spacing w:after="0" w:line="2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219"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57"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June 30, 2022 and September 30, 2021, we had $177.6 million and $104.8 million, respectively, in commitments to fund investments. For the same periods, there were no letters of credit issued.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UNCONSOLIDATED SIGNIFICANT SUBSIDIARIES</w:t>
      </w:r>
    </w:p>
    <w:p>
      <w:pPr>
        <w:spacing w:after="0" w:line="21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We must determine which, if any, of our unconsolidated controlled portfolio companies is a "significant subsidiary" within the meaning of Regulation S-X. We have determined that, as of September 30, 2021, PennantPark Senior Loan Fund, LLC, PT Networks, LLC and RAM Energy Holdings LLC triggered at least one of the significance tests. As a result and in accordance with Rule 3-09 of Regulation S-X, presented below is summarized unaudited financial information for RAM Energy Holdings LLC for the three and nine months ended June 30, 2022 and 2021. Similarly,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 Our investment in PT Networks, LLC was realized on February 14, 2022.</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RAM Energy Holdings LLC:</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80" w:type="dxa"/>
            <w:vAlign w:val="bottom"/>
          </w:tcPr>
          <w:p>
            <w:pPr>
              <w:spacing w:after="0"/>
              <w:rPr>
                <w:sz w:val="24"/>
                <w:szCs w:val="24"/>
                <w:color w:val="auto"/>
              </w:rPr>
            </w:pPr>
          </w:p>
        </w:tc>
        <w:tc>
          <w:tcPr>
            <w:tcW w:w="34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24"/>
                <w:szCs w:val="24"/>
                <w:color w:val="auto"/>
              </w:rPr>
            </w:pPr>
          </w:p>
        </w:tc>
        <w:tc>
          <w:tcPr>
            <w:tcW w:w="32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69"/>
        </w:trPr>
        <w:tc>
          <w:tcPr>
            <w:tcW w:w="3880" w:type="dxa"/>
            <w:vAlign w:val="bottom"/>
            <w:gridSpan w:val="3"/>
            <w:vMerge w:val="continue"/>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6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17,726</w:t>
            </w:r>
          </w:p>
        </w:tc>
        <w:tc>
          <w:tcPr>
            <w:tcW w:w="26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23,044</w:t>
            </w:r>
          </w:p>
        </w:tc>
        <w:tc>
          <w:tcPr>
            <w:tcW w:w="24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35,522</w:t>
            </w:r>
          </w:p>
        </w:tc>
        <w:tc>
          <w:tcPr>
            <w:tcW w:w="22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50,134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8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(12,499 )</w:t>
            </w:r>
          </w:p>
        </w:tc>
        <w:tc>
          <w:tcPr>
            <w:tcW w:w="38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(9,393 )</w:t>
            </w:r>
          </w:p>
        </w:tc>
        <w:tc>
          <w:tcPr>
            <w:tcW w:w="3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(29,337 )</w:t>
            </w:r>
          </w:p>
        </w:tc>
        <w:tc>
          <w:tcPr>
            <w:tcW w:w="36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(27,090 )</w:t>
            </w:r>
          </w:p>
        </w:tc>
        <w:tc>
          <w:tcPr>
            <w:tcW w:w="0" w:type="dxa"/>
            <w:vAlign w:val="bottom"/>
          </w:tcPr>
          <w:p>
            <w:pPr>
              <w:spacing w:after="0"/>
              <w:rPr>
                <w:sz w:val="1"/>
                <w:szCs w:val="1"/>
                <w:color w:val="auto"/>
              </w:rPr>
            </w:pPr>
          </w:p>
        </w:tc>
      </w:tr>
      <w:tr>
        <w:trPr>
          <w:trHeight w:val="175"/>
        </w:trPr>
        <w:tc>
          <w:tcPr>
            <w:tcW w:w="388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260" w:type="dxa"/>
            <w:vAlign w:val="bottom"/>
            <w:shd w:val="clear" w:color="auto" w:fill="CCECFF"/>
          </w:tcPr>
          <w:p>
            <w:pPr>
              <w:spacing w:after="0"/>
              <w:rPr>
                <w:sz w:val="15"/>
                <w:szCs w:val="15"/>
                <w:color w:val="auto"/>
              </w:rPr>
            </w:pPr>
          </w:p>
        </w:tc>
        <w:tc>
          <w:tcPr>
            <w:tcW w:w="3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240" w:type="dxa"/>
            <w:vAlign w:val="bottom"/>
            <w:shd w:val="clear" w:color="auto" w:fill="CCECFF"/>
          </w:tcPr>
          <w:p>
            <w:pPr>
              <w:spacing w:after="0"/>
              <w:rPr>
                <w:sz w:val="15"/>
                <w:szCs w:val="15"/>
                <w:color w:val="auto"/>
              </w:rPr>
            </w:pPr>
          </w:p>
        </w:tc>
        <w:tc>
          <w:tcPr>
            <w:tcW w:w="3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23,044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STOCK REPURCHASE PROGRAM</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and nine months ended June 30, 2022, we repurchased 717,709 and 1,631,163, respectively, shares of common stock in open market transactions for an aggregate cost (including transaction costs) of $4.9 million and $12.0 million, respectively. During the three and nine months ended June 30, 2021, we did not make any repurchases of shares of our common stock.</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SUBSEQUENT EVENTS</w:t>
      </w:r>
    </w:p>
    <w:p>
      <w:pPr>
        <w:spacing w:after="0" w:line="206" w:lineRule="exact"/>
        <w:rPr>
          <w:sz w:val="20"/>
          <w:szCs w:val="20"/>
          <w:color w:val="auto"/>
        </w:rPr>
      </w:pPr>
    </w:p>
    <w:p>
      <w:pPr>
        <w:jc w:val="both"/>
        <w:ind w:firstLine="402"/>
        <w:spacing w:after="0" w:line="254" w:lineRule="auto"/>
        <w:rPr>
          <w:sz w:val="20"/>
          <w:szCs w:val="20"/>
          <w:color w:val="auto"/>
        </w:rPr>
      </w:pPr>
      <w:r>
        <w:rPr>
          <w:rFonts w:ascii="Times New Roman" w:cs="Times New Roman" w:eastAsia="Times New Roman" w:hAnsi="Times New Roman"/>
          <w:sz w:val="14"/>
          <w:szCs w:val="14"/>
          <w:color w:val="auto"/>
        </w:rPr>
        <w:t>On July 29, 2022, the Company entered into the Fifth Amendment to the Truist Credit Facility. The Fifth Amendment amends certain provisions of the Credit Agreement to, among other things, (1) increase the facility size from $465.0 million to $500.0 million, which may be further increased up to $750.0 million, subject to the terms of the Amended Credit Agreement, (2) extend the term of the revolving period from September 4, 2023 to July 29, 2026 and the stated maturity date from September 4, 2024 to July 29, 2027 for $475.0 million out of the total $500.0 million commitments (with the revolving period with respect to the remaining $25.0 million of commitments continuing to expire on September 4, 2023 and the related obligations maturing on September 4, 2024), (3) adjust the applicable margin with respect to the loans extended by the lenders of the extended $475.0 million commitments and (4) replace the LIBOR benchmark provisions with SOFR benchmark provisions, including applicable credit adjustment spread. In connection with the facility increase contemplated by the Fifth Amendment, Regions Bank joined the Amended Credit Agreement as an additional multicurrency lender.</w:t>
      </w:r>
    </w:p>
    <w:p>
      <w:pPr>
        <w:spacing w:after="0" w:line="171" w:lineRule="exact"/>
        <w:rPr>
          <w:sz w:val="20"/>
          <w:szCs w:val="20"/>
          <w:color w:val="auto"/>
        </w:rPr>
      </w:pPr>
    </w:p>
    <w:p>
      <w:pPr>
        <w:jc w:val="both"/>
        <w:ind w:firstLine="449"/>
        <w:spacing w:after="0" w:line="302" w:lineRule="auto"/>
        <w:rPr>
          <w:sz w:val="20"/>
          <w:szCs w:val="20"/>
          <w:color w:val="auto"/>
        </w:rPr>
      </w:pPr>
      <w:r>
        <w:rPr>
          <w:rFonts w:ascii="Times New Roman" w:cs="Times New Roman" w:eastAsia="Times New Roman" w:hAnsi="Times New Roman"/>
          <w:sz w:val="14"/>
          <w:szCs w:val="14"/>
          <w:color w:val="auto"/>
        </w:rPr>
        <w:t>The foregoing descriptions of the Fifth Amendment does not purport to be complete and is qualified in their entirety by reference to the full text of the Fifth Amendment, which is filed as an exhibit hereto and incorporated by reference herein.</w:t>
      </w:r>
    </w:p>
    <w:p>
      <w:pPr>
        <w:spacing w:after="0" w:line="135" w:lineRule="exact"/>
        <w:rPr>
          <w:sz w:val="20"/>
          <w:szCs w:val="20"/>
          <w:color w:val="auto"/>
        </w:rPr>
      </w:pPr>
    </w:p>
    <w:p>
      <w:pPr>
        <w:jc w:val="both"/>
        <w:ind w:right="20" w:firstLine="449"/>
        <w:spacing w:after="0" w:line="302" w:lineRule="auto"/>
        <w:rPr>
          <w:sz w:val="20"/>
          <w:szCs w:val="20"/>
          <w:color w:val="auto"/>
        </w:rPr>
      </w:pPr>
      <w:r>
        <w:rPr>
          <w:rFonts w:ascii="Times New Roman" w:cs="Times New Roman" w:eastAsia="Times New Roman" w:hAnsi="Times New Roman"/>
          <w:sz w:val="14"/>
          <w:szCs w:val="14"/>
          <w:color w:val="auto"/>
        </w:rPr>
        <w:t>Subsequent to quarter end we and Pantheon Ventures (UK) LLP, have agreed to increase our capital commitments to PSLF from $234.8 million to $310.8 million. PNNT's portion of this capital commitment increase is $45.9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PennantPark Investment Corporation and its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June 30, 2022, and the related consolidated statements of operations and changes in net assets for the three-month and nine-month periods ended June 30, 2022 and 2021, and cash flows for the nine-month periods ended June 30, 2022 and 2021,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2021, and the related consolidated statements of operations, changes in net assets, and cash flows for the year then ended (not presented herein), and in our report dated November 17, 2021, we expressed an unqualified opinion on those consolidated financial statements. In our opinion, the information set forth in the accompanying consolidated statement of assets and liabilities as of September 30, 2021, is fairly stated, in all material respects, in relation to the consolidated statement of assets and liabilities from which it has been derived.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3, 2022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Awareness Letter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PennantPark Investment Corporation and its Subsidiaries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reviewed, in accordance with the standards of the Public Company Accounting Oversight Board (United States), the unaudited interim financial information of PennantPark Investment Corporation and its Subsidiaries for the periods ended June 30, 2022 and 2021, as indicated in our report dated August 3, 2022; because we did not perform an audit, we expressed no opinion on that information.</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aware that our report referred to above, which is included in your Quarterly Report on Form 10-Q for the quarter ended June 30, 2022, is incorporated by reference in Registration Statement No. 333-263564 on Form N-2.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3,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0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77" w:lineRule="exact"/>
        <w:rPr>
          <w:sz w:val="20"/>
          <w:szCs w:val="20"/>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 or any worsening there of;</w:t>
      </w:r>
    </w:p>
    <w:p>
      <w:pPr>
        <w:spacing w:after="0" w:line="217" w:lineRule="exact"/>
        <w:rPr>
          <w:rFonts w:ascii="Times New Roman" w:cs="Times New Roman" w:eastAsia="Times New Roman" w:hAnsi="Times New Roman"/>
          <w:sz w:val="14"/>
          <w:szCs w:val="14"/>
          <w:color w:val="auto"/>
        </w:rPr>
      </w:pPr>
    </w:p>
    <w:p>
      <w:pPr>
        <w:ind w:left="960" w:right="20" w:hanging="383"/>
        <w:spacing w:after="0" w:line="282" w:lineRule="auto"/>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 of;</w:t>
      </w:r>
    </w:p>
    <w:p>
      <w:pPr>
        <w:spacing w:after="0" w:line="161"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manage our business due to the significant disruptions caused by the current COVID-19 pandemic or any worsening there of;</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203"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217"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United Kingdom’s withdrawal from the European Union and other world economic and political issues.</w:t>
      </w:r>
    </w:p>
    <w:p>
      <w:pPr>
        <w:spacing w:after="0" w:line="20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5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7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2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9" w:name="page40"/>
    <w:bookmarkEnd w:id="39"/>
    <w:p>
      <w:pPr>
        <w:jc w:val="both"/>
        <w:ind w:firstLine="449"/>
        <w:spacing w:after="0" w:line="250" w:lineRule="auto"/>
        <w:rPr>
          <w:sz w:val="20"/>
          <w:szCs w:val="20"/>
          <w:color w:val="auto"/>
        </w:rPr>
      </w:pPr>
      <w:r>
        <w:rPr>
          <w:rFonts w:ascii="Times New Roman" w:cs="Times New Roman" w:eastAsia="Times New Roman" w:hAnsi="Times New Roman"/>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6"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19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w:t>
      </w:r>
    </w:p>
    <w:p>
      <w:pPr>
        <w:spacing w:after="0" w:line="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4"/>
          <w:szCs w:val="14"/>
          <w:color w:val="auto"/>
        </w:rPr>
        <w:t>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w:t>
      </w:r>
    </w:p>
    <w:p>
      <w:pPr>
        <w:spacing w:after="0" w:line="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4"/>
          <w:szCs w:val="14"/>
          <w:color w:val="auto"/>
        </w:rPr>
        <w:t>compensation and related expenses of our Chief Compliance Officer, Chief Financial Officer, Corporate Counsel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Developments</w:t>
      </w:r>
    </w:p>
    <w:p>
      <w:pPr>
        <w:spacing w:after="0" w:line="181"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4"/>
          <w:szCs w:val="14"/>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COVID- 19 variants may create stress on the market and may affect some of our portfolio 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181" w:lineRule="exact"/>
        <w:rPr>
          <w:sz w:val="20"/>
          <w:szCs w:val="20"/>
          <w:color w:val="auto"/>
        </w:rPr>
      </w:pPr>
    </w:p>
    <w:p>
      <w:pPr>
        <w:jc w:val="both"/>
        <w:ind w:firstLine="464"/>
        <w:spacing w:after="0" w:line="253" w:lineRule="auto"/>
        <w:rPr>
          <w:sz w:val="20"/>
          <w:szCs w:val="20"/>
          <w:color w:val="auto"/>
        </w:rPr>
      </w:pPr>
      <w:r>
        <w:rPr>
          <w:rFonts w:ascii="Times New Roman" w:cs="Times New Roman" w:eastAsia="Times New Roman" w:hAnsi="Times New Roman"/>
          <w:sz w:val="14"/>
          <w:szCs w:val="14"/>
          <w:color w:val="auto"/>
        </w:rPr>
        <w:t>Due to the nature of certain governmental restrictions imposed in response to the COVID-19 pandemic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17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 to the vaccine, politicization of the vaccination process or general public skepticism of the safety and efficacy of the vaccine. While we are unable to predict the ultimate adverse effect of the COVID-19 pandemic, or any worsening thereof, on our results of operation, we have identified certain factors that are likely to affect market, economic and geopolitical conditions, and thereby may adversely affect our business, including:</w:t>
      </w:r>
    </w:p>
    <w:p>
      <w:pPr>
        <w:spacing w:after="0" w:line="113" w:lineRule="exact"/>
        <w:rPr>
          <w:sz w:val="20"/>
          <w:szCs w:val="20"/>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economic recovery;</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including LIBOR;</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credit, both in the United States and internationally;</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supply-chains and price volatility;</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existing laws and regulations, or the imposition of new laws and regulations; and</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future governmental and regulatory policies.</w:t>
      </w:r>
    </w:p>
    <w:p>
      <w:pPr>
        <w:spacing w:after="0" w:line="204"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previous years. As of June 30, 2022, we had one portfolio company on non-accrual status, and the continuing impact of the COVID-19 pandemic, or any worsening thereof, may result in portfolio investments being placed on non-accrual status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4"/>
          <w:szCs w:val="14"/>
          <w:color w:val="auto"/>
        </w:rPr>
        <w:t>Additionally, as of June 30, 2022 and September 30, 2021, our asset coverage ratio, as computed in accordance with the 1940 Act, was 187% and 221%, respectively. The Truist Credit</w:t>
      </w:r>
    </w:p>
    <w:p>
      <w:pPr>
        <w:spacing w:after="0" w:line="1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Facility includes standard covenants and events of default provisions. If we fail to make the required payments or breach the covenants therein, it could result in a default under the Truist Credit Facility. Failure to cure such default or obtain a waiver from the appropriate party would result in an event of default, and the lenders may accelerate the repayment of our indebtedness under the Truist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63"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are also subject to financial risks, including changes in market interest rates. As of June 30, 2022, our interest bearing debt portfolio consisted of 96%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Truist Credit Facility also</w:t>
      </w:r>
    </w:p>
    <w:p>
      <w:pPr>
        <w:jc w:val="both"/>
        <w:spacing w:after="0" w:line="233" w:lineRule="auto"/>
        <w:rPr>
          <w:sz w:val="20"/>
          <w:szCs w:val="20"/>
          <w:color w:val="auto"/>
        </w:rPr>
      </w:pPr>
      <w:r>
        <w:rPr>
          <w:rFonts w:ascii="Times New Roman" w:cs="Times New Roman" w:eastAsia="Times New Roman" w:hAnsi="Times New Roman"/>
          <w:sz w:val="14"/>
          <w:szCs w:val="14"/>
          <w:color w:val="auto"/>
        </w:rPr>
        <w:t>has floating rate interest provisions, with pricing set at 225 basis points over LIBOR (or an alternative risk-free floating interest rate index). Due to such rates, our gross investment income may decrease,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63"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In addition, we have continued to implement our business continuity planning strategy. Our priority has been to safeguard the health of our employees and to ensure continuity of business operations on behalf of our investors. As a result of our business continuity planning strategy, nearly all of our employees have returned to the office.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LIBOR Developments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July 2017, the head of the United Kingdom Financial Conduct Authority announced the desire to phase out the use of LIBOR by the end of 2021. As of December 31, 2021, all non-</w:t>
      </w:r>
    </w:p>
    <w:p>
      <w:pPr>
        <w:spacing w:after="0" w:line="1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U.S. dollar LIBOR publications have been phased out. The phase out of a majority of the U.S. dollar publications is currently delayed until June 30, 2023. The Alternative Reference Rates Committee, a steering committee comprised of large U.S. financial institutions,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w:t>
      </w:r>
    </w:p>
    <w:p>
      <w:pPr>
        <w:jc w:val="both"/>
        <w:spacing w:after="0" w:line="239" w:lineRule="auto"/>
        <w:rPr>
          <w:sz w:val="20"/>
          <w:szCs w:val="20"/>
          <w:color w:val="auto"/>
        </w:rPr>
      </w:pPr>
      <w:r>
        <w:rPr>
          <w:rFonts w:ascii="Times New Roman" w:cs="Times New Roman" w:eastAsia="Times New Roman" w:hAnsi="Times New Roman"/>
          <w:sz w:val="14"/>
          <w:szCs w:val="14"/>
          <w:color w:val="auto"/>
        </w:rPr>
        <w:t>SOFR appears to be the preferred replacement rate for U.S. dollar LIBOR, it is not possible at this time to predict the effect of any such changes, any establishment of alternative reference rates, whether the COVID-19 pandemic will have further effect on LIBOR transition timelines, or other reforms to LIBOR that may be enacted.</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effect of the establishment of alternative reference rates or other reforms to LIBOR or other reference rates is complex and could have a material adverse effect on our business,</w:t>
      </w:r>
    </w:p>
    <w:p>
      <w:pPr>
        <w:spacing w:after="0" w:line="1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financial condition and results of operations. Given the inherent differences between LIBOR and SOFR, or any other alternative benchmark rate that may be established, there are continuing uncertainties regarding the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63"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81" w:lineRule="exact"/>
        <w:rPr>
          <w:sz w:val="20"/>
          <w:szCs w:val="20"/>
          <w:color w:val="auto"/>
        </w:rPr>
      </w:pPr>
    </w:p>
    <w:p>
      <w:pPr>
        <w:jc w:val="both"/>
        <w:ind w:right="20" w:firstLine="449"/>
        <w:spacing w:after="0" w:line="243" w:lineRule="auto"/>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w:t>
      </w:r>
    </w:p>
    <w:p>
      <w:pPr>
        <w:jc w:val="both"/>
        <w:spacing w:after="0" w:line="230" w:lineRule="auto"/>
        <w:rPr>
          <w:sz w:val="20"/>
          <w:szCs w:val="20"/>
          <w:color w:val="auto"/>
        </w:rPr>
      </w:pPr>
      <w:r>
        <w:rPr>
          <w:rFonts w:ascii="Times New Roman" w:cs="Times New Roman" w:eastAsia="Times New Roman" w:hAnsi="Times New Roman"/>
          <w:sz w:val="14"/>
          <w:szCs w:val="14"/>
          <w:color w:val="auto"/>
        </w:rPr>
        <w:t>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81"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w:t>
      </w:r>
    </w:p>
    <w:p>
      <w:pPr>
        <w:spacing w:after="0" w:line="222" w:lineRule="auto"/>
        <w:rPr>
          <w:sz w:val="20"/>
          <w:szCs w:val="20"/>
          <w:color w:val="auto"/>
        </w:rPr>
      </w:pPr>
      <w:r>
        <w:rPr>
          <w:rFonts w:ascii="Times New Roman" w:cs="Times New Roman" w:eastAsia="Times New Roman" w:hAnsi="Times New Roman"/>
          <w:sz w:val="14"/>
          <w:szCs w:val="14"/>
          <w:color w:val="auto"/>
        </w:rPr>
        <w:t>consummating and monitoring our investments. Additionally, we pay interest expense on the outstanding debt and unused commitment fees on undrawn amounts, under our various debt facilities.</w:t>
      </w:r>
    </w:p>
    <w:p>
      <w:pPr>
        <w:spacing w:after="0"/>
        <w:rPr>
          <w:sz w:val="20"/>
          <w:szCs w:val="20"/>
          <w:color w:val="auto"/>
        </w:rPr>
      </w:pPr>
      <w:r>
        <w:rPr>
          <w:rFonts w:ascii="Times New Roman" w:cs="Times New Roman" w:eastAsia="Times New Roman" w:hAnsi="Times New Roman"/>
          <w:sz w:val="14"/>
          <w:szCs w:val="14"/>
          <w:color w:val="auto"/>
        </w:rPr>
        <w:t>We bear all other direct or indirect costs and expenses of our operations and transactions, including:</w:t>
      </w:r>
    </w:p>
    <w:p>
      <w:pPr>
        <w:spacing w:after="0" w:line="161" w:lineRule="exact"/>
        <w:rPr>
          <w:sz w:val="20"/>
          <w:szCs w:val="20"/>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net asset value, including the cost of any third-party valuation services;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176" w:lineRule="exact"/>
        <w:rPr>
          <w:rFonts w:ascii="Times New Roman" w:cs="Times New Roman" w:eastAsia="Times New Roman" w:hAnsi="Times New Roman"/>
          <w:sz w:val="14"/>
          <w:szCs w:val="14"/>
          <w:color w:val="auto"/>
        </w:rPr>
      </w:pPr>
    </w:p>
    <w:p>
      <w:pPr>
        <w:ind w:left="940" w:hanging="370"/>
        <w:spacing w:after="0" w:line="261" w:lineRule="auto"/>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4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1" w:name="page42"/>
    <w:bookmarkEnd w:id="41"/>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17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90"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the 1958 Act and applicable federal and state securities laws; and</w:t>
      </w:r>
    </w:p>
    <w:p>
      <w:pPr>
        <w:spacing w:after="0" w:line="176" w:lineRule="exact"/>
        <w:rPr>
          <w:rFonts w:ascii="Times New Roman" w:cs="Times New Roman" w:eastAsia="Times New Roman" w:hAnsi="Times New Roman"/>
          <w:sz w:val="14"/>
          <w:szCs w:val="14"/>
          <w:color w:val="auto"/>
        </w:rPr>
      </w:pPr>
    </w:p>
    <w:p>
      <w:pPr>
        <w:jc w:val="both"/>
        <w:ind w:left="940" w:hanging="370"/>
        <w:spacing w:after="0" w:line="241" w:lineRule="auto"/>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33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20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As of June 30, 2022, our portfolio totaled $1,314.8 million, which consisted of $721.8 million of first lien secured debt, $129.7 million of second lien secured debt, $121.2 million of subordinated debt (including $88.0 million in PSLF) and $342.2 million of preferred and common equity (including $53.1 million in PSLF). Our debt portfolio consisted of 96% variable-rate investments and 4% fixed-rate investments. As of June 30, 2022, we had one portfolio company on non-accrual, representing 0.9% and 0.5% of our overall portfolio on a cost and fair value basis, respectively. Overall, the portfolio had net unrealized depreciation of $64.9 million as of June 30, 2022. Our overall portfolio consisted of 118 companies with an average investment size of $11.1 million, had a weighted average yield on interest bearing debt investments of 9.3% and was invested 55% in first lien secured debt, 10% in second lien secured debt, 9% in subordinated debt (including 7% in PSLF) and 26% in preferred and common equity (including 4% in PSLF). As of June 30, 2022, all of the investments held by PSLF were first lien secured debt.</w:t>
      </w:r>
    </w:p>
    <w:p>
      <w:pPr>
        <w:spacing w:after="0" w:line="18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interest bearing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June 30, 2022, we invested $326.3 million in 11 new and 36 existing portfolio companies with a weighted average yield on debt investments of 8.7%. Sales and repayments of investments for the three months ended June 30, 2022 totaled $198.3 million. For the nine months ended June 30, 2022, we invested $799.4 million in 35 new and 95 existing portfolio companies with a weighted average yield on debt investments of 8.2%. Sales and repayments of investments for the nine months ended June 30, 2022 totaled $736.0 million.</w:t>
      </w:r>
    </w:p>
    <w:p>
      <w:pPr>
        <w:spacing w:after="0" w:line="17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June 30, 2021, we invested $133.4 million in seven new and nine existing portfolio companies with a weighted average yield on debt investments of 7.9%. Sales and repayments of investments for the three months ended June 30, 2021 totaled $191.0 million. For the nine months ended June 30, 2021, we invested $276.4 million in 14 new and 32 existing portfolio companies with a weighted average yield on debt investments of 8.4%. Sales and repayments of investments for the nine months ended June 30, 2021 totaled $358.6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206" w:lineRule="exact"/>
        <w:rPr>
          <w:sz w:val="20"/>
          <w:szCs w:val="20"/>
          <w:color w:val="auto"/>
        </w:rPr>
      </w:pPr>
    </w:p>
    <w:p>
      <w:pPr>
        <w:jc w:val="both"/>
        <w:ind w:right="20" w:firstLine="449"/>
        <w:spacing w:after="0" w:line="302" w:lineRule="auto"/>
        <w:rPr>
          <w:sz w:val="20"/>
          <w:szCs w:val="20"/>
          <w:color w:val="auto"/>
        </w:rPr>
      </w:pPr>
      <w:r>
        <w:rPr>
          <w:rFonts w:ascii="Times New Roman" w:cs="Times New Roman" w:eastAsia="Times New Roman" w:hAnsi="Times New Roman"/>
          <w:sz w:val="14"/>
          <w:szCs w:val="14"/>
          <w:color w:val="auto"/>
        </w:rPr>
        <w:t>As of June 30, 2022, PSLF’s portfolio totaled $608.4 million, consisted of 72 companies with an average investment size of $8.5 million and had a weighted average yield on debt investments of 7.9 %.</w:t>
      </w:r>
    </w:p>
    <w:p>
      <w:pPr>
        <w:spacing w:after="0" w:line="13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As of September 30, 2021, PSLF’s portfolio totaled $405.2 million, consisted of 47 companies with an average investment size of $8.6 million and had a weighted average yield on debt investments of 7.2%.</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June 30, 2022, PSLF invested $200.5 million (of which $176.0 million was purchased from the Company) in 14 new and 17 existing portfolio companies with a weighted average yield on debt investments of 7.3% . PSLF’s sales and repayments of investments for the same period totaled $35.1 million. For the nine months ended June 30, 2022, PSLF invested $278.6 million (of which $235.6 million was purchased from the Company) in 29 new and 19 existing portfolio companies with a weighted average yield on debt investments of 7.3%. PSLF’s sales and repayments of investments for the same period totaled $73.0 million.</w:t>
      </w:r>
    </w:p>
    <w:p>
      <w:pPr>
        <w:spacing w:after="0" w:line="16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June 30, 2021, PSLF invested $54.1 million (of which $54.1 million was purchased from the Company) in six new and two existing portfolio companies with a weighted average yield on debt investments of 7.1%. PSLF’s sales and repayments of investments for the same period totaled $50.9 million. For the nine months ended June 30, 2021, PSLF invested $117.8 million (of which $91.9 million was purchased from the Company) in 12 new and eight existing portfolio companies with a weighted average yield on debt investments of 7.3%. PSLF’s sales and repayments of investments for the same period totaled $91.6 million.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2" w:name="page43"/>
    <w:bookmarkEnd w:id="42"/>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in Management’s Discussion and Analysis of Financial Condition and Results of Operations in our 2021 Annual Report on Form 10-K. There have been no significant changes in our critical accounting estimates during the nine months from those disclosed in our 2021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221"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2" w:lineRule="exact"/>
        <w:rPr>
          <w:sz w:val="20"/>
          <w:szCs w:val="20"/>
          <w:color w:val="auto"/>
        </w:rPr>
      </w:pPr>
    </w:p>
    <w:p>
      <w:pPr>
        <w:ind w:left="940" w:hanging="370"/>
        <w:spacing w:after="0" w:line="282"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48"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217" w:lineRule="exact"/>
        <w:rPr>
          <w:rFonts w:ascii="Times New Roman" w:cs="Times New Roman" w:eastAsia="Times New Roman" w:hAnsi="Times New Roman"/>
          <w:sz w:val="14"/>
          <w:szCs w:val="14"/>
          <w:color w:val="auto"/>
        </w:rPr>
      </w:pPr>
    </w:p>
    <w:p>
      <w:pPr>
        <w:jc w:val="both"/>
        <w:ind w:left="940" w:hanging="370"/>
        <w:spacing w:after="0" w:line="261"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76" w:lineRule="exact"/>
        <w:rPr>
          <w:rFonts w:ascii="Times New Roman" w:cs="Times New Roman" w:eastAsia="Times New Roman" w:hAnsi="Times New Roman"/>
          <w:sz w:val="14"/>
          <w:szCs w:val="14"/>
          <w:color w:val="auto"/>
        </w:rPr>
      </w:pPr>
    </w:p>
    <w:p>
      <w:pPr>
        <w:jc w:val="both"/>
        <w:ind w:left="940" w:hanging="370"/>
        <w:spacing w:after="0" w:line="271"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56" w:lineRule="exact"/>
        <w:rPr>
          <w:rFonts w:ascii="Times New Roman" w:cs="Times New Roman" w:eastAsia="Times New Roman" w:hAnsi="Times New Roman"/>
          <w:sz w:val="14"/>
          <w:szCs w:val="14"/>
          <w:color w:val="auto"/>
        </w:rPr>
      </w:pPr>
    </w:p>
    <w:p>
      <w:pPr>
        <w:ind w:left="940" w:hanging="370"/>
        <w:spacing w:after="0" w:line="282"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204"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w:t>
      </w:r>
    </w:p>
    <w:p>
      <w:pPr>
        <w:spacing w:after="0" w:line="17" w:lineRule="exact"/>
        <w:rPr>
          <w:sz w:val="20"/>
          <w:szCs w:val="20"/>
          <w:color w:val="auto"/>
        </w:rPr>
      </w:pPr>
    </w:p>
    <w:p>
      <w:pPr>
        <w:ind w:left="1720" w:right="700"/>
        <w:spacing w:after="0" w:line="239" w:lineRule="auto"/>
        <w:rPr>
          <w:sz w:val="20"/>
          <w:szCs w:val="20"/>
          <w:color w:val="auto"/>
        </w:rPr>
      </w:pPr>
      <w:r>
        <w:rPr>
          <w:rFonts w:ascii="Times New Roman" w:cs="Times New Roman" w:eastAsia="Times New Roman" w:hAnsi="Times New Roman"/>
          <w:sz w:val="14"/>
          <w:szCs w:val="14"/>
          <w:color w:val="auto"/>
        </w:rPr>
        <w:t>markets that are not active and inputs that are observable for the asset or liability, either directly or indirectly, for substantially the full term, if applicable, of the financial instrument.</w:t>
      </w:r>
    </w:p>
    <w:p>
      <w:pPr>
        <w:spacing w:after="0" w:line="122" w:lineRule="exact"/>
        <w:rPr>
          <w:sz w:val="20"/>
          <w:szCs w:val="20"/>
          <w:color w:val="auto"/>
        </w:rPr>
      </w:pPr>
    </w:p>
    <w:p>
      <w:pPr>
        <w:ind w:left="1720" w:right="700" w:hanging="1133"/>
        <w:spacing w:after="0" w:line="282" w:lineRule="auto"/>
        <w:tabs>
          <w:tab w:leader="none" w:pos="170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4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Facility, 2026 Notes, 2026-2 Notes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The SEC recently adopted Rule 2a-5 under the 1940 Act which established requirements for determining fair value in good faith purposes of the 1940 Act. We will comply with the requirement of the rule before the requirement date of September 8, 2022.</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2024 Notes, our 2026 Notes, 2026 Notes-2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7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3" w:name="page44"/>
    <w:bookmarkEnd w:id="43"/>
    <w:p>
      <w:pPr>
        <w:jc w:val="both"/>
        <w:spacing w:after="0" w:line="257" w:lineRule="auto"/>
        <w:rPr>
          <w:sz w:val="20"/>
          <w:szCs w:val="20"/>
          <w:color w:val="auto"/>
        </w:rPr>
      </w:pPr>
      <w:r>
        <w:rPr>
          <w:rFonts w:ascii="Times New Roman" w:cs="Times New Roman" w:eastAsia="Times New Roman" w:hAnsi="Times New Roman"/>
          <w:sz w:val="14"/>
          <w:szCs w:val="14"/>
          <w:color w:val="auto"/>
        </w:rPr>
        <w:t>mitigating volatility in earnings from using different measurement attributes. Due to that election and in accordance with GAAP, we did not incur any expenses relating to amendment costs on the Credit Facility for both the three and nine months ended June 30,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is reported in our Consolidated Statements of Operations. We elect not to apply ASC 825-10 to any other financial assets or liabilities, including the 2024 Notes, 2026 Notes, 2026 Notes-2 and SBA debentures.</w:t>
      </w:r>
    </w:p>
    <w:p>
      <w:pPr>
        <w:spacing w:after="0" w:line="16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and nine months ended June 30, 2022, the Truist Credit Facility had a net change in unrealized depreciation of $8.9 million and $9.1 million, respectively. For the three and nine months ended June 30, 2021, our Truist Credit Facility had a net change in unrealized appreciation of $1.6 million and $18.5 million, respectively. As of June 30, 2022 and September 30, 2021, the net unrealized depreciation on the Truist Credit Facility totaled $10.9 million and $1.7 million, respectively. We use a nationally recognized independent valuation service to measure the fair value of our Truist Credit Facility in a manner consistent with the valuation process that the board of directors uses to value our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5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2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Credit Facility including any reversal of previously recorded unrealized appreciation or depreciation, when gains or losses are realized.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940" w:hanging="370"/>
        <w:spacing w:after="0"/>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203"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21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Payment-in-Kind, or PIK Interest</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20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6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351" w:lineRule="exact"/>
        <w:rPr>
          <w:sz w:val="20"/>
          <w:szCs w:val="20"/>
          <w:color w:val="auto"/>
        </w:rPr>
      </w:pPr>
    </w:p>
    <w:p>
      <w:pPr>
        <w:jc w:val="both"/>
        <w:ind w:firstLine="449"/>
        <w:spacing w:after="0" w:line="264"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333"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For the three and nine months ended June 30, 2022, we recorded a provision for taxes on net investment income of $0.2 million and $0.6 million respectively, all of which pertains to U.S. federal excise tax. For the three and nine months ended June 30, 2021, we recorded a provision for taxes on net investment income of $0.2 million and $0.5 million respectively, all of which pertains to U.S. federal excise tax.</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4" w:name="page45"/>
    <w:bookmarkEnd w:id="44"/>
    <w:p>
      <w:pPr>
        <w:jc w:val="both"/>
        <w:ind w:right="20" w:firstLine="449"/>
        <w:spacing w:after="0" w:line="302" w:lineRule="auto"/>
        <w:rPr>
          <w:sz w:val="20"/>
          <w:szCs w:val="20"/>
          <w:color w:val="auto"/>
        </w:rPr>
      </w:pPr>
      <w:r>
        <w:rPr>
          <w:rFonts w:ascii="Times New Roman" w:cs="Times New Roman" w:eastAsia="Times New Roman" w:hAnsi="Times New Roman"/>
          <w:sz w:val="14"/>
          <w:szCs w:val="14"/>
          <w:color w:val="auto"/>
        </w:rPr>
        <w:t>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3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For the three and nine months ended June 30, 2022, the Company recognized a provision for taxes of $1.1 million and $6.2 million, respectively, on net realized gain on investments by the Taxable Subsidiary. For the three and nine months ended June 30, 2022, the Company recognized a provision for taxes of $8.1 million and $8.1 million,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fiscal year ending September 30, 2022 and (ii) the expected tax benefit resulting from the use of loss carryforwards to offset such gains. For the three and nine months ended June 30, 2021, the Company recognized a provision for taxes of zero on net realized and unrealized gains on investments by the Taxable Subsidiary.</w:t>
      </w:r>
    </w:p>
    <w:p>
      <w:pPr>
        <w:spacing w:after="0" w:line="1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During the three and nine months ended June 30, 2022, the Company paid zero and $4.0 million, respectively, in federal taxes on realized gains on the sale of investments held by the Taxable Subsidiary. Due to offsetting losses in the three months ended June 30, 2022 the $4.0 million is expected to be refunded and is shown on the consolidated statement of assets and liabilities under prepaid expenses and other assets. The state and local tax liability of $6.2 million as of June 30, 2022 is included under accrued other expenses in the consolidated statement of assets and liabilities.</w:t>
      </w:r>
    </w:p>
    <w:p>
      <w:pPr>
        <w:spacing w:after="0" w:line="34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We have formed the Taxable Subsidiary, which is subject to tax as a corporation. The Taxable Subsidiary allows us to hold equity securities of certain portfolio companies treated as pass-through entities for U.S. federal income tax purposes while facilitating our ability to qualify as a RIC under the Code.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and nine months ended June 30, 2022 and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2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4"/>
          <w:szCs w:val="14"/>
          <w:color w:val="auto"/>
        </w:rPr>
        <w:t>Investment income for the three and nine months ended June 30, 2022 was $23.3 million and $76.0 million, respectively, which was attributable to $17.6 million and $52.2 million from first lien secured debt, $2.9 million and $13.7 million from second lien secured debt, $0.3 million and $2.6 million from subordinated debt and $2.5 million and $7.4 million from preferred and common equity, respectively. This compares to Investment income for the three and nine months ended June 30, 2021 was $20.5 million and $58.5 million, respectively, which was attributable to $11.8 million and $33.9 million from first lien secured debt, $5.2 million and $15.8 million from second lien secured debt, $1.8 million and $5.2 million from subordinated debt and $1.7 million and $3.6 million from preferred and common equity, respectively. The increase in investment income compared to the same periods in the prior year was primarily due to the increase in the size of our debt portfolio.</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221"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Expenses for the three and nine months ended June 30, 2022 totaled $12.8 million and $41.3 million, respectively. Base management fee for the same periods totaled $4.9 million and $15.0 million, performance base incentive fee for the same periods totaled zero and $2.7 million, debt related interest and expenses totaled $6.7 million and $20.1 million, general and administrative expenses totaled $1.0 million and $3.0 million and provision for taxes totaled $0.2 million and $0.6 million, respectively. This compares to expenses for the three and nine months ended June 30, 2021 $12.3 million and $33.2 million, respectively. Base management fee for the same periods totaled $4.4 million and $12.8 million, debt related interest and expenses totaled $6.9 million (including a one-time $1.1 million payment, which is related to the early repayment of SBA Debt) and $16.8 million, general and administrative expenses totaled $0.9 million and $3.2 million and provision for taxes totaled $0.2 million and $0.5 million, respectively. The increase in expenses for the three months ended June 30, 2022 compared to the same period in the prior year was primarily due to increased financing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Net investment income totaled $10.6 million and $34.8 million, or $0.16 and $0.52 per share, for the three and nine months ended June 30, 2022, respectively. Net investment income totaled $8.1 million and $25.2 million, or $0.12 and $0.38 per share, for the three and nine months ended June 30, 2021, respectively. The increase in net investment income compared to the same period in the prior year was primarily due to increased investment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20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Sales and repayments of investments for the three and nine months ended June 30, 2022 totaled $198.3 million and $736.0 million, respectively, and net realized gains (losses) totaled $(34.3) million and $82.4 million, respectively. Sales and repayments of investments for the three and nine months ended June 30, 2021 totaled $191.0 million and $358.6 million, respectively, and net realized gains (losses) totaled $41.7 million and $24.4 million, respectively. The change in realized gains was primarily due to changes in the market conditions of our investments and the values at which they were realized.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and the Credit Facility</w:t>
      </w:r>
    </w:p>
    <w:p>
      <w:pPr>
        <w:spacing w:after="0" w:line="2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For the three and nine months ended June 30, 2022, we reported net change in unrealized appreciation (depreciation) on investments of $5.6 million and $(99.1) million, respectively. For the three and nine months ended June 30, 2021, we reported net change in unrealized appreciation (depreciation) on investments of $(16.3) million and $110.4 million, respectively. As of June 30, 2022 and September 30, 2021, our net unrealized appreciation (depreciation) on investments totaled $(64.9) million and $34.2 million, respectively. The net change in unrealized depreciation on our investments compared to the same period in the prior year was primarily due to the reversal of the unrealized appreciation of PT Network Intermediate Holdings, LLC associated with the realization of the investment.</w:t>
      </w:r>
    </w:p>
    <w:p>
      <w:pPr>
        <w:spacing w:after="0" w:line="18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For the three and nine months ended June 30, 2022, the Truist Credit Facility had a net change in unrealized depreciation of $8.9 million and $9.2 million, respectively. For the three and nine months ended June 30, 2021, the Truist Credit Facility had a net change in unrealized appreciation of $1.6 million and $18.5 million, respectively, respectively. As of June 30, 2022 and September 30, 2021, the net unrealized depreciation on the Truist Credit Facility totaled $10.9 million and $1.7 million, respectively. The net change in unrealized depreciation compared to the same periods in the prior year was primarily due to changes in the capital markets.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20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Net change in net assets resulting from operations totaled $(18.5) million and $10.2 million, or $(0.28) and $0.15 per share, for the three and nine months ended June 30, 2022, respectively. Net change in net assets resulting from operations totaled $31.9 million and $141.5 million, or $0.48 and $2.11 per share, for the three and nine months ended June 30, 2021, respectively. The decrease in the net change in net assets from operations for the three and nine months ended June 30, 2022 compared to the same periods in the prior year was primarily due to a decrease in unrealized appreciation.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2022,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83" w:lineRule="exact"/>
        <w:rPr>
          <w:sz w:val="20"/>
          <w:szCs w:val="20"/>
          <w:color w:val="auto"/>
        </w:rPr>
      </w:pPr>
    </w:p>
    <w:p>
      <w:pPr>
        <w:jc w:val="both"/>
        <w:ind w:firstLine="449"/>
        <w:spacing w:after="0" w:line="264"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June 30, 2022 and September 30, 2021, our asset coverage ratio, computed in accordance with the 1940 Act was 187% and 221%, respectively.</w:t>
      </w:r>
    </w:p>
    <w:p>
      <w:pPr>
        <w:spacing w:after="0" w:line="21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The annualized weighted average cost of debt for the nine months ended June 30, 2022 and 2021, inclusive of the fee on the undrawn commitment and amendment costs on the Truist Credit Facility, amortized upfront fees on SBA debentures, was 4.0% and 3.5%, respectively.</w:t>
      </w:r>
    </w:p>
    <w:p>
      <w:pPr>
        <w:spacing w:after="0" w:line="162"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As of June 30, 2022, we had the multi-currency Truist Credit Facility for up to $465.0 million (increased from $435.0 million in December 2021) in borrowings with certain lenders and Truist Bank, acting as administrative agent, and JPMorgan Chase Bank, N.A., acting as syndication agent for the lenders. As of June 30, 2022 and September 30, 2021, we had $422.9 million and $316.5 million, respectively, in outstanding borrowings under the Truist Credit Facility. The Truist Credit Facility had a weighted average interest rate of 3.9% and 2.4%, respectively, exclusive of the fee on undrawn commitments, as of June 30, 2022 and September 30, 2021. The Truist Credit Facility is a revolving facility with a stated maturity date of September 4, 2024, a one-year term-out period on September 4, 2023 and pricing set at 225 basis points over LIBOR (or an alternative risk-free floating interest rate index). As of June 30, 2022 and September 30, 2021, we had $42.1 million and $118.5 million of unused borrowing capacity under the Truist Credit Facility, respectively, subject to leverage and borrowing base restrictions. The Truist Credit Facility is secured by substantially all of our assets excluding assets held by SBIC II. As of June 30, 2022, we were in compliance with the terms of the Truist Credit Facility.</w:t>
      </w:r>
    </w:p>
    <w:p>
      <w:pPr>
        <w:spacing w:after="0" w:line="18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On November 13, 2021, the 2024 Notes were redeemed at a redemption price of $25.00 per 2024 Note, plus accrued and unpaid interest to November 13, 2021, pursuant to the indenture governing the 2024 Notes. Accordingly, as of June 30, 2022 and September 30, 2021, we had zero and $86.3 million in aggregate principal amount of 2024 Notes outstanding, respectively. Interest on the 2024 Notes was paid quarterly on January 15, April 15, July 15 and October 15, at a rate of 5.5% per year.</w:t>
      </w:r>
    </w:p>
    <w:p>
      <w:pPr>
        <w:spacing w:after="0" w:line="109"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4"/>
          <w:szCs w:val="14"/>
          <w:color w:val="auto"/>
        </w:rPr>
        <w:t xml:space="preserve">As of June 30, 2022,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2026 Notes are structurally subordinated to all existing and future indebtedness and other obligations of any of our subsidiaries, financing vehicles, or similar facilities.</w:t>
      </w:r>
    </w:p>
    <w:p>
      <w:pPr>
        <w:spacing w:after="0" w:line="134"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14"/>
          <w:szCs w:val="14"/>
          <w:color w:val="auto"/>
        </w:rPr>
        <w:t>As of June 30, 2022, we had $165.0 million in aggregate principal amount of 2026 Notes-2 outstanding. Interest on the 2026 Notes is paid semi-annually on May 1 and November 1, at a rate of 4.0% per year, commencing May 1, 2022. The 2026 Notes-2 mature on November 1, 2026, and may be redeemed in whole or in part at our option subject to a make-whole premium if</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redeemed more than three months prior to maturity. The 2026 Notes-2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9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and conditions than the Truist Credit Facility, 2026 Notes, 2026 Notes-2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other general corporate or strategic purposes such as our stock repurchase program.</w:t>
      </w:r>
    </w:p>
    <w:p>
      <w:pPr>
        <w:spacing w:after="0" w:line="18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$27.5 million and $63.5 million as of June 30, 2022 and September 30,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both June 30, 2022 and September 30, 2021, SBIC II had an initial $150.0 million in debt commitments, all of which were drawn. During the three and nine months ended June 30, 2022, zero and $36.0 million in SBA debentures were repaid, respectively. During the three and nine months ended June 30, 2021, there was $45.0 million and $55.0 million in SBA debentures were repaid, respectively. As of both June 30, 2022 and September 30, 2021, the unamortized fees on the SBA debentures was $0.4 million, respectively. The SBA debentures’ upfront fees of 3.4% consist of a commitment fee of 1.0% and an issuance discount of 2.4%, which are being amortized.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4"/>
          <w:szCs w:val="14"/>
          <w:color w:val="auto"/>
        </w:rPr>
        <w:t>Our fixed-rate SBA debentures as of June 30, 2022 and September 30, 2021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33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tcPr>
          <w:p>
            <w:pPr>
              <w:spacing w:after="0"/>
              <w:rPr>
                <w:sz w:val="13"/>
                <w:szCs w:val="13"/>
                <w:color w:val="auto"/>
              </w:rPr>
            </w:pPr>
          </w:p>
        </w:tc>
        <w:tc>
          <w:tcPr>
            <w:tcW w:w="22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256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3"/>
                <w:szCs w:val="13"/>
                <w:color w:val="auto"/>
              </w:rPr>
            </w:pP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auto"/>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20" w:type="dxa"/>
            <w:vAlign w:val="bottom"/>
            <w:shd w:val="clear" w:color="auto" w:fill="CCECFF"/>
          </w:tcPr>
          <w:p>
            <w:pPr>
              <w:spacing w:after="0"/>
              <w:rPr>
                <w:sz w:val="14"/>
                <w:szCs w:val="14"/>
                <w:color w:val="auto"/>
              </w:rPr>
            </w:pPr>
          </w:p>
        </w:tc>
        <w:tc>
          <w:tcPr>
            <w:tcW w:w="22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40" w:type="dxa"/>
            <w:vAlign w:val="bottom"/>
            <w:shd w:val="clear" w:color="auto" w:fill="CCECFF"/>
          </w:tcPr>
          <w:p>
            <w:pPr>
              <w:spacing w:after="0"/>
              <w:rPr>
                <w:sz w:val="14"/>
                <w:szCs w:val="14"/>
                <w:color w:val="auto"/>
              </w:rPr>
            </w:pPr>
          </w:p>
        </w:tc>
        <w:tc>
          <w:tcPr>
            <w:tcW w:w="2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80" w:type="dxa"/>
            <w:vAlign w:val="bottom"/>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260" w:type="dxa"/>
            <w:vAlign w:val="bottom"/>
          </w:tcPr>
          <w:p>
            <w:pPr>
              <w:spacing w:after="0"/>
              <w:rPr>
                <w:sz w:val="24"/>
                <w:szCs w:val="24"/>
                <w:color w:val="auto"/>
              </w:rPr>
            </w:pPr>
          </w:p>
        </w:tc>
        <w:tc>
          <w:tcPr>
            <w:tcW w:w="33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tcPr>
          <w:p>
            <w:pPr>
              <w:spacing w:after="0"/>
              <w:rPr>
                <w:sz w:val="24"/>
                <w:szCs w:val="24"/>
                <w:color w:val="auto"/>
              </w:rPr>
            </w:pPr>
          </w:p>
        </w:tc>
        <w:tc>
          <w:tcPr>
            <w:tcW w:w="22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24"/>
                <w:szCs w:val="24"/>
                <w:color w:val="auto"/>
              </w:rPr>
            </w:pPr>
          </w:p>
        </w:tc>
        <w:tc>
          <w:tcPr>
            <w:tcW w:w="256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24"/>
                <w:szCs w:val="24"/>
                <w:color w:val="auto"/>
              </w:rPr>
            </w:pP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auto"/>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20" w:type="dxa"/>
            <w:vAlign w:val="bottom"/>
            <w:shd w:val="clear" w:color="auto" w:fill="CCECFF"/>
          </w:tcPr>
          <w:p>
            <w:pPr>
              <w:spacing w:after="0"/>
              <w:rPr>
                <w:sz w:val="14"/>
                <w:szCs w:val="14"/>
                <w:color w:val="auto"/>
              </w:rPr>
            </w:pPr>
          </w:p>
        </w:tc>
        <w:tc>
          <w:tcPr>
            <w:tcW w:w="22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40" w:type="dxa"/>
            <w:vAlign w:val="bottom"/>
            <w:shd w:val="clear" w:color="auto" w:fill="CCECFF"/>
          </w:tcPr>
          <w:p>
            <w:pPr>
              <w:spacing w:after="0"/>
              <w:rPr>
                <w:sz w:val="14"/>
                <w:szCs w:val="14"/>
                <w:color w:val="auto"/>
              </w:rPr>
            </w:pPr>
          </w:p>
        </w:tc>
        <w:tc>
          <w:tcPr>
            <w:tcW w:w="2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80" w:type="dxa"/>
            <w:vAlign w:val="bottom"/>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March 21, 2018</w:t>
            </w:r>
          </w:p>
        </w:tc>
        <w:tc>
          <w:tcPr>
            <w:tcW w:w="2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2028</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Weighted Average Rate / Total</w:t>
            </w:r>
          </w:p>
        </w:tc>
        <w:tc>
          <w:tcPr>
            <w:tcW w:w="220" w:type="dxa"/>
            <w:vAlign w:val="bottom"/>
            <w:tcBorders>
              <w:bottom w:val="single" w:sz="8" w:color="CCECFF"/>
            </w:tcBorders>
            <w:shd w:val="clear" w:color="auto" w:fill="CCECFF"/>
          </w:tcPr>
          <w:p>
            <w:pPr>
              <w:spacing w:after="0"/>
              <w:rPr>
                <w:sz w:val="18"/>
                <w:szCs w:val="18"/>
                <w:color w:val="auto"/>
              </w:rPr>
            </w:pPr>
          </w:p>
        </w:tc>
        <w:tc>
          <w:tcPr>
            <w:tcW w:w="22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80" w:type="dxa"/>
            <w:vAlign w:val="bottom"/>
            <w:tcBorders>
              <w:bottom w:val="single" w:sz="8" w:color="CCECFF"/>
            </w:tcBorders>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63,500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fees.</w:t>
            </w:r>
          </w:p>
        </w:tc>
        <w:tc>
          <w:tcPr>
            <w:tcW w:w="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162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Excluding 3.4% of upfront</w:t>
            </w:r>
          </w:p>
        </w:tc>
        <w:tc>
          <w:tcPr>
            <w:tcW w:w="1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-281940</wp:posOffset>
            </wp:positionV>
            <wp:extent cx="939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-264795</wp:posOffset>
            </wp:positionV>
            <wp:extent cx="939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2022, SBIC II was in compliance with their regulatory requirements.</w:t>
      </w:r>
    </w:p>
    <w:p>
      <w:pPr>
        <w:spacing w:after="0" w:line="18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In accordance with the 1940 Act, with certain limited exceptions, PennantPark Investment is only allowed to borrow amounts such that our required 150% asset coverage ratio is met after such borrowing. As of June 30, 2022 and September 30, 2021,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2022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8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February 2022 the Administrator furnishes us with office facilities and administrative services necessary to conduct our day-to-day operations.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70"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June 30, 2022 and September 30, 2021, we had cash and cash equivalents of $29.5 million and $20.4 million, respectively, available for investing and general corporate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liquidity and capital resources are sufficient to allows us to effectively operate our business.</w:t>
      </w:r>
    </w:p>
    <w:p>
      <w:pPr>
        <w:spacing w:after="0" w:line="191"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Our operating activities used cash of $97.5 million for the nine months ended June 30, 2022, and our financing activities provided cash of $106.9 million for the same period. Our operating activities used cash primarily due to our investment activities and our financing activities provided cash primarily due to borrowings under the Truist Credit Facility and proceeds from our 2026-2 Notes.</w:t>
      </w:r>
    </w:p>
    <w:p>
      <w:pPr>
        <w:spacing w:after="0" w:line="157" w:lineRule="exact"/>
        <w:rPr>
          <w:sz w:val="20"/>
          <w:szCs w:val="20"/>
          <w:color w:val="auto"/>
        </w:rPr>
      </w:pPr>
    </w:p>
    <w:p>
      <w:pPr>
        <w:jc w:val="both"/>
        <w:ind w:firstLine="449"/>
        <w:spacing w:after="0" w:line="302" w:lineRule="auto"/>
        <w:rPr>
          <w:sz w:val="20"/>
          <w:szCs w:val="20"/>
          <w:color w:val="auto"/>
        </w:rPr>
      </w:pPr>
      <w:r>
        <w:rPr>
          <w:rFonts w:ascii="Times New Roman" w:cs="Times New Roman" w:eastAsia="Times New Roman" w:hAnsi="Times New Roman"/>
          <w:sz w:val="14"/>
          <w:szCs w:val="14"/>
          <w:color w:val="auto"/>
        </w:rPr>
        <w:t>Our operating activities provided cash of $95.7 million for the nine months ended June 30, 2021 and our financing activities used cash of $107.4 million for the same period. Our operating activities provided cash primarily from our investment activities and our financing activities used cash primarily to pay down the Truist Credit Facility and our SBA Debentures.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219"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June 30, 2022 and September 30, 2021, PSLF had total assets of $664.6 million and $417.4 million, respectively. PSLF’s portfolio consisted of debt investments in 72 and 47 portfolio companies as of June 30, 2022 and September 30, 2021, respectively. As of the same dates, we and Pantheon had no remaining commitments to fund first lien secured debt and equity interests in PSLF. As of June 30, 2022, at fair value, the largest investment in a single portfolio company in PSLF was $17.9 million and the five largest investments totaled $87.2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1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June 30, 2022 and September 30, 2021, we and Pantheon owned 60.5% and 39.5%, respectively, of each of the outstanding subordinated notes and equity interests of PSLF. As of June 30, 2022 and September 30, 2021 our investment in PSLF consisted of subordinated notes of $88.0 million and $64.2 million, respectively, and equity interests of $53.1 million and $41.2 million, respectively.</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w:t>
      </w:r>
    </w:p>
    <w:p>
      <w:pPr>
        <w:spacing w:after="0" w:line="1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 us and Pantheon; (ii) the presence of three members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Member Designees’ Committee, provided that the individual that was elected, designated or appointed by each of us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4"/>
          <w:szCs w:val="14"/>
          <w:color w:val="auto"/>
        </w:rPr>
        <w:t>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4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Additionally, PSLF, through its wholly-owned subsidiary, or PSLF Subsidiary, has entered into a $225.0 million (reduced from $275.0 million on March 2, 2022) senior secured revolving credit facility which bears interest at SOFR (or an alternative risk-free interest rate index) plus 255 basis points during the investment period, or the PSLF Credit Facility, with BNP Paribas, subject to leverage and borrowing base restrictions.</w:t>
      </w:r>
    </w:p>
    <w:p>
      <w:pPr>
        <w:spacing w:after="0" w:line="17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8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Pr>
          <w:p>
            <w:pPr>
              <w:spacing w:after="0"/>
              <w:rPr>
                <w:sz w:val="24"/>
                <w:szCs w:val="24"/>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608,375</w:t>
            </w:r>
          </w:p>
        </w:tc>
        <w:tc>
          <w:tcPr>
            <w:tcW w:w="24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405,233</w:t>
            </w:r>
          </w:p>
        </w:tc>
        <w:tc>
          <w:tcPr>
            <w:tcW w:w="140" w:type="dxa"/>
            <w:vAlign w:val="bottom"/>
            <w:shd w:val="clear" w:color="auto" w:fill="CCECFF"/>
          </w:tcPr>
          <w:p>
            <w:pPr>
              <w:spacing w:after="0"/>
              <w:rPr>
                <w:sz w:val="14"/>
                <w:szCs w:val="14"/>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240" w:type="dxa"/>
            <w:vAlign w:val="bottom"/>
          </w:tcPr>
          <w:p>
            <w:pPr>
              <w:spacing w:after="0"/>
              <w:rPr>
                <w:sz w:val="15"/>
                <w:szCs w:val="15"/>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7.9 %</w:t>
            </w:r>
          </w:p>
        </w:tc>
        <w:tc>
          <w:tcPr>
            <w:tcW w:w="14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176"/>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24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CFF"/>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17,897</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140" w:type="dxa"/>
            <w:vAlign w:val="bottom"/>
          </w:tcPr>
          <w:p>
            <w:pPr>
              <w:spacing w:after="0"/>
              <w:rPr>
                <w:sz w:val="15"/>
                <w:szCs w:val="15"/>
                <w:color w:val="auto"/>
              </w:rPr>
            </w:pPr>
          </w:p>
        </w:tc>
      </w:tr>
      <w:tr>
        <w:trPr>
          <w:trHeight w:val="176"/>
        </w:trPr>
        <w:tc>
          <w:tcPr>
            <w:tcW w:w="7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87,170</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74,445</w:t>
            </w:r>
          </w:p>
        </w:tc>
        <w:tc>
          <w:tcPr>
            <w:tcW w:w="140" w:type="dxa"/>
            <w:vAlign w:val="bottom"/>
            <w:shd w:val="clear" w:color="auto" w:fill="CCECFF"/>
          </w:tcPr>
          <w:p>
            <w:pPr>
              <w:spacing w:after="0"/>
              <w:rPr>
                <w:sz w:val="15"/>
                <w:szCs w:val="15"/>
                <w:color w:val="auto"/>
              </w:rPr>
            </w:pPr>
          </w:p>
        </w:tc>
      </w:tr>
    </w:tbl>
    <w:p>
      <w:pPr>
        <w:spacing w:after="0" w:line="200" w:lineRule="exact"/>
        <w:rPr>
          <w:sz w:val="20"/>
          <w:szCs w:val="20"/>
          <w:color w:val="auto"/>
        </w:rPr>
      </w:pPr>
    </w:p>
    <w:p>
      <w:pPr>
        <w:spacing w:after="0" w:line="3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June 30, 2022($ in thousands, except share data):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9"/>
                <w:szCs w:val="9"/>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9"/>
                <w:szCs w:val="9"/>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60" w:type="dxa"/>
            <w:vAlign w:val="bottom"/>
          </w:tcPr>
          <w:p>
            <w:pPr>
              <w:spacing w:after="0"/>
              <w:rPr>
                <w:sz w:val="9"/>
                <w:szCs w:val="9"/>
                <w:color w:val="auto"/>
              </w:rPr>
            </w:pPr>
          </w:p>
        </w:tc>
        <w:tc>
          <w:tcPr>
            <w:tcW w:w="4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48"/>
        </w:trPr>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- 693.3%</w:t>
            </w: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5/6/2026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34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3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11/30/2026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Containers, Packaging and Glass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7.22 %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7/24/2025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9.24 %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876</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12/21/2023</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17,463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rPr>
              <w:t>Amsive Holding Corporation (f/k/a Vision Purchaser</w:t>
            </w: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27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Corporation)</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6/10/2025</w:t>
            </w:r>
          </w:p>
        </w:tc>
        <w:tc>
          <w:tcPr>
            <w:tcW w:w="120" w:type="dxa"/>
            <w:vAlign w:val="bottom"/>
            <w:shd w:val="clear" w:color="auto" w:fill="CCECFF"/>
          </w:tcPr>
          <w:p>
            <w:pPr>
              <w:spacing w:after="0"/>
              <w:rPr>
                <w:sz w:val="12"/>
                <w:szCs w:val="12"/>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13,905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13,757</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7/21/2027</w:t>
            </w:r>
          </w:p>
        </w:tc>
        <w:tc>
          <w:tcPr>
            <w:tcW w:w="12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6.25 %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6,498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 Term Loan 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12/29/2026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9/17/2024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18,078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17,829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7.58 %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7/13/2027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6.91 %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9,190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9,236</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8/5/2025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6.83 %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15,940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and Non-Durable Consumer Products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6,445</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11/3/2025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7.42 %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15,182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6.87 %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8,049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5/1/2028</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6.32 %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3/15/2027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6.81 %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3/16/2026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8/10/2027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7.09 %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11/23/2028</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13,990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12/10/2024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14,325</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12/30/2026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9/22/2028</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11/15/2027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6.91 %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5,660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12/7/2023</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9.08 %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16,979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11/1/2026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8/27/2025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7.83 %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17,490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17,412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14,475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8.50 %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2/18/2027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9.25 %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2/3/2026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7.42 %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12,377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12,137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4/1/2027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7,880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4/16/2027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12/10/2027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6.84 %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5/23/2024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15,276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9/28/2027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8/19/2026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6.37 %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7/9/2026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5.61 %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5,316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5,266</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2/4/2028</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(New Issue)</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5/18/2026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4,933</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11/9/2027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8.17 %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5/8/2026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7.25 %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6.76 %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12,676</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2/28/2028</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4,915</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1/29/2026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14,468</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6/20/2025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3/10/2025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1/3/2025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5/3/2024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1/17/2024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7.42 %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6.92 %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rPr>
              <w:t>System Planning and Analysis, Inc. (f/k/a Management</w:t>
            </w: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27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Consulting &amp; Research,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shd w:val="clear" w:color="auto" w:fill="CCECFF"/>
          </w:tcPr>
          <w:p>
            <w:pPr>
              <w:spacing w:after="0"/>
              <w:rPr>
                <w:sz w:val="12"/>
                <w:szCs w:val="12"/>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8.83 %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9,962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9,704</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3/1/2026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7/18/2025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6.31 %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10/31/2025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8.12 %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11,293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11,180</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7/27/2026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8/30/2027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4,495</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6.50 %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3/26/2026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7.67 %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17,282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6/16/2025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8.76 %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4/3/2028</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6.47 %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11,997</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4/3/2024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9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2/27/2026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6.75 %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11,471</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9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3/1/2024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40" w:type="dxa"/>
            <w:vAlign w:val="bottom"/>
            <w:tcBorders>
              <w:bottom w:val="single" w:sz="8" w:color="auto"/>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612,509</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608,375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- 693.3%</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- 61.2%</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4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53,690</w:t>
            </w:r>
          </w:p>
        </w:tc>
        <w:tc>
          <w:tcPr>
            <w:tcW w:w="1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53,690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- 754.4%</w:t>
            </w:r>
          </w:p>
        </w:tc>
        <w:tc>
          <w:tcPr>
            <w:tcW w:w="1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27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666,200</w:t>
            </w:r>
          </w:p>
        </w:tc>
        <w:tc>
          <w:tcPr>
            <w:tcW w:w="22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662,065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58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(654.4)%</w:t>
            </w: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1"/>
                <w:szCs w:val="11"/>
                <w:color w:val="auto"/>
              </w:rPr>
              <w:t>(574,309 )</w:t>
            </w:r>
          </w:p>
        </w:tc>
        <w:tc>
          <w:tcPr>
            <w:tcW w:w="0" w:type="dxa"/>
            <w:vAlign w:val="bottom"/>
          </w:tcPr>
          <w:p>
            <w:pPr>
              <w:spacing w:after="0"/>
              <w:rPr>
                <w:sz w:val="1"/>
                <w:szCs w:val="1"/>
                <w:color w:val="auto"/>
              </w:rPr>
            </w:pPr>
          </w:p>
        </w:tc>
      </w:tr>
      <w:tr>
        <w:trPr>
          <w:trHeight w:val="182"/>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27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87,756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-779145</wp:posOffset>
            </wp:positionV>
            <wp:extent cx="68580" cy="1028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028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-419100</wp:posOffset>
            </wp:positionV>
            <wp:extent cx="68580" cy="1028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1028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-230505</wp:posOffset>
            </wp:positionV>
            <wp:extent cx="720090" cy="1200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009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ind w:left="380" w:hanging="372"/>
        <w:spacing w:after="0" w:line="222" w:lineRule="auto"/>
        <w:tabs>
          <w:tab w:leader="none" w:pos="380" w:val="left"/>
        </w:tabs>
        <w:numPr>
          <w:ilvl w:val="0"/>
          <w:numId w:val="3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91" w:lineRule="auto"/>
        <w:tabs>
          <w:tab w:leader="none" w:pos="380" w:val="left"/>
        </w:tabs>
        <w:numPr>
          <w:ilvl w:val="0"/>
          <w:numId w:val="3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ind w:left="400" w:hanging="392"/>
        <w:spacing w:after="0" w:line="191" w:lineRule="auto"/>
        <w:tabs>
          <w:tab w:leader="none" w:pos="400" w:val="left"/>
        </w:tabs>
        <w:numPr>
          <w:ilvl w:val="0"/>
          <w:numId w:val="3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17227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2021($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3"/>
            <w:vMerge w:val="restart"/>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(2)</w:t>
            </w: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- 570.7%</w:t>
            </w:r>
          </w:p>
        </w:tc>
        <w:tc>
          <w:tcPr>
            <w:tcW w:w="120" w:type="dxa"/>
            <w:vAlign w:val="bottom"/>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70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05/06/26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3M L + 600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4,920</w:t>
            </w:r>
          </w:p>
        </w:tc>
        <w:tc>
          <w:tcPr>
            <w:tcW w:w="4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07/24/25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L+700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12/21/23</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07/21/27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07/31/25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07/31/25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6.55%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12/29/26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02/13/23</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13,674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08/05/25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11/03/25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13,428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03/31/28</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12/23/25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03/16/26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12/31/26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12/19/25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7.50%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12/10/24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04/09/27</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08/27/25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12/22/21</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12/20/23</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L+700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10/31/24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8.50%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02/03/26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12,273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04/13/23</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L+825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04/01/27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05/14/26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04/16/27</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05/23/24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05/08/26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5.65%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03/31/25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12/18/25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01/29/26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12/20/24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06/20/25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01/03/25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7,526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12/20/24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05/03/24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8.50%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01/17/24</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12/11/26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5.33%</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L+450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03/01/26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11/20/25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L+525</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07/18/25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11/24/25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03/26/26</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06/16/25</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04/03/28</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L+675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04/03/24</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L+500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06/10/25</w:t>
            </w:r>
          </w:p>
        </w:tc>
        <w:tc>
          <w:tcPr>
            <w:tcW w:w="12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8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L+675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02/27/26</w:t>
            </w: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8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409,602</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405,009</w:t>
            </w: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Equivalents—18.9%</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7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Equivalents—592.7%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416,023</w:t>
            </w:r>
          </w:p>
        </w:tc>
        <w:tc>
          <w:tcPr>
            <w:tcW w:w="4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60" w:type="dxa"/>
            <w:vAlign w:val="bottom"/>
            <w:tcBorders>
              <w:bottom w:val="single" w:sz="8" w:color="CCECFF"/>
            </w:tcBorders>
            <w:shd w:val="clear" w:color="auto" w:fill="CCEC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Assets—(492.7)%</w:t>
            </w:r>
          </w:p>
        </w:tc>
        <w:tc>
          <w:tcPr>
            <w:tcW w:w="120" w:type="dxa"/>
            <w:vAlign w:val="bottom"/>
            <w:tcBorders>
              <w:bottom w:val="single" w:sz="8" w:color="CCECFF"/>
            </w:tcBorders>
            <w:shd w:val="clear" w:color="auto" w:fill="CCECFF"/>
          </w:tcPr>
          <w:p>
            <w:pPr>
              <w:spacing w:after="0"/>
              <w:rPr>
                <w:sz w:val="8"/>
                <w:szCs w:val="8"/>
                <w:color w:val="auto"/>
              </w:rPr>
            </w:pPr>
          </w:p>
        </w:tc>
        <w:tc>
          <w:tcPr>
            <w:tcW w:w="60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270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40" w:type="dxa"/>
            <w:vAlign w:val="bottom"/>
            <w:tcBorders>
              <w:bottom w:val="single" w:sz="8" w:color="CCECFF"/>
            </w:tcBorders>
            <w:shd w:val="clear" w:color="auto" w:fill="CCECFF"/>
          </w:tcPr>
          <w:p>
            <w:pPr>
              <w:spacing w:after="0"/>
              <w:rPr>
                <w:sz w:val="8"/>
                <w:szCs w:val="8"/>
                <w:color w:val="auto"/>
              </w:rPr>
            </w:pPr>
          </w:p>
        </w:tc>
        <w:tc>
          <w:tcPr>
            <w:tcW w:w="24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auto"/>
            </w:tcBorders>
            <w:shd w:val="clear" w:color="auto" w:fill="CCECFF"/>
          </w:tcPr>
          <w:p>
            <w:pPr>
              <w:spacing w:after="0"/>
              <w:rPr>
                <w:sz w:val="8"/>
                <w:szCs w:val="8"/>
                <w:color w:val="auto"/>
              </w:rPr>
            </w:pPr>
          </w:p>
        </w:tc>
        <w:tc>
          <w:tcPr>
            <w:tcW w:w="52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(348,213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-325120</wp:posOffset>
            </wp:positionV>
            <wp:extent cx="68580" cy="1200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200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96" w:lineRule="exact"/>
        <w:rPr>
          <w:sz w:val="20"/>
          <w:szCs w:val="20"/>
          <w:color w:val="auto"/>
        </w:rPr>
      </w:pPr>
    </w:p>
    <w:p>
      <w:pPr>
        <w:jc w:val="both"/>
        <w:ind w:left="380" w:hanging="372"/>
        <w:spacing w:after="0" w:line="226" w:lineRule="auto"/>
        <w:tabs>
          <w:tab w:leader="none" w:pos="380" w:val="left"/>
        </w:tabs>
        <w:numPr>
          <w:ilvl w:val="0"/>
          <w:numId w:val="3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91" w:lineRule="auto"/>
        <w:tabs>
          <w:tab w:leader="none" w:pos="380" w:val="left"/>
        </w:tabs>
        <w:numPr>
          <w:ilvl w:val="0"/>
          <w:numId w:val="3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PSLF’s accounting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7227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4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w:t>
            </w:r>
          </w:p>
        </w:tc>
        <w:tc>
          <w:tcPr>
            <w:tcW w:w="2420" w:type="dxa"/>
            <w:vAlign w:val="bottom"/>
            <w:gridSpan w:val="2"/>
          </w:tcPr>
          <w:p>
            <w:pPr>
              <w:jc w:val="right"/>
              <w:ind w:right="988"/>
              <w:spacing w:after="0"/>
              <w:rPr>
                <w:sz w:val="20"/>
                <w:szCs w:val="20"/>
                <w:color w:val="auto"/>
              </w:rPr>
            </w:pPr>
            <w:r>
              <w:rPr>
                <w:rFonts w:ascii="Times New Roman" w:cs="Times New Roman" w:eastAsia="Times New Roman" w:hAnsi="Times New Roman"/>
                <w:sz w:val="14"/>
                <w:szCs w:val="14"/>
                <w:color w:val="auto"/>
              </w:rPr>
              <w:t>PSLF,($ in thousands):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(cost—$612,509 and $405,009, respectively)</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608,375</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(cost—$53,690 and $11,013, respectively)</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53,690</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58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664,615</w:t>
            </w:r>
          </w:p>
        </w:tc>
        <w:tc>
          <w:tcPr>
            <w:tcW w:w="22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 payable to Members</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67,265</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110,900</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224,000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2034 Asset-backed debt, net (par—$246,000)</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243,799</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145,472</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106,041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58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576,859</w:t>
            </w:r>
          </w:p>
        </w:tc>
        <w:tc>
          <w:tcPr>
            <w:tcW w:w="220" w:type="dxa"/>
            <w:vAlign w:val="bottom"/>
            <w:tcBorders>
              <w:bottom w:val="single" w:sz="8" w:color="CCECFF"/>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349,389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1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87,756</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 w:type="dxa"/>
            <w:vAlign w:val="bottom"/>
            <w:tcBorders>
              <w:bottom w:val="single" w:sz="8" w:color="CCECFF"/>
            </w:tcBorders>
            <w:shd w:val="clear" w:color="auto" w:fill="CCECFF"/>
          </w:tcPr>
          <w:p>
            <w:pPr>
              <w:spacing w:after="0"/>
              <w:rPr>
                <w:sz w:val="18"/>
                <w:szCs w:val="18"/>
                <w:color w:val="auto"/>
              </w:rPr>
            </w:pPr>
          </w:p>
        </w:tc>
        <w:tc>
          <w:tcPr>
            <w:tcW w:w="4120" w:type="dxa"/>
            <w:vAlign w:val="bottom"/>
            <w:tcBorders>
              <w:bottom w:val="single" w:sz="8" w:color="CCECFF"/>
            </w:tcBorders>
            <w:shd w:val="clear" w:color="auto" w:fill="CCEC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58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664,615</w:t>
            </w:r>
          </w:p>
        </w:tc>
        <w:tc>
          <w:tcPr>
            <w:tcW w:w="220" w:type="dxa"/>
            <w:vAlign w:val="bottom"/>
            <w:tcBorders>
              <w:bottom w:val="single" w:sz="8" w:color="CCECFF"/>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(1)</w:t>
            </w:r>
          </w:p>
        </w:tc>
        <w:tc>
          <w:tcPr>
            <w:tcW w:w="6540" w:type="dxa"/>
            <w:vAlign w:val="bottom"/>
            <w:gridSpan w:val="3"/>
          </w:tcPr>
          <w:p>
            <w:pPr>
              <w:ind w:left="260"/>
              <w:spacing w:after="0" w:line="121" w:lineRule="exact"/>
              <w:rPr>
                <w:sz w:val="20"/>
                <w:szCs w:val="20"/>
                <w:color w:val="auto"/>
              </w:rPr>
            </w:pPr>
            <w:r>
              <w:rPr>
                <w:rFonts w:ascii="Times New Roman" w:cs="Times New Roman" w:eastAsia="Times New Roman" w:hAnsi="Times New Roman"/>
                <w:sz w:val="11"/>
                <w:szCs w:val="11"/>
                <w:color w:val="auto"/>
              </w:rPr>
              <w:t>As of June 30, 2022 and September 30, 2021, PSLF did not have any unfunded commitments to fund investments.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9"/>
        </w:trPr>
        <w:tc>
          <w:tcPr>
            <w:tcW w:w="66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PSLF, ($ in thousands):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8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CCECFF"/>
          </w:tcPr>
          <w:p>
            <w:pPr>
              <w:spacing w:after="0"/>
              <w:rPr>
                <w:sz w:val="15"/>
                <w:szCs w:val="15"/>
                <w:color w:val="auto"/>
              </w:rPr>
            </w:pPr>
          </w:p>
        </w:tc>
        <w:tc>
          <w:tcPr>
            <w:tcW w:w="41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Interest</w:t>
            </w:r>
          </w:p>
        </w:tc>
        <w:tc>
          <w:tcPr>
            <w:tcW w:w="2420" w:type="dxa"/>
            <w:vAlign w:val="bottom"/>
            <w:gridSpan w:val="2"/>
            <w:shd w:val="clear" w:color="auto" w:fill="CCEC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7,101</w:t>
            </w: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23,759</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20,359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income</w:t>
            </w:r>
          </w:p>
        </w:tc>
        <w:tc>
          <w:tcPr>
            <w:tcW w:w="1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58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8,509</w:t>
            </w:r>
          </w:p>
        </w:tc>
        <w:tc>
          <w:tcPr>
            <w:tcW w:w="2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2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23,919</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22,167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CCECFF"/>
          </w:tcPr>
          <w:p>
            <w:pPr>
              <w:spacing w:after="0"/>
              <w:rPr>
                <w:sz w:val="15"/>
                <w:szCs w:val="15"/>
                <w:color w:val="auto"/>
              </w:rPr>
            </w:pPr>
          </w:p>
        </w:tc>
        <w:tc>
          <w:tcPr>
            <w:tcW w:w="41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CCECFF"/>
          </w:tcPr>
          <w:p>
            <w:pPr>
              <w:spacing w:after="0"/>
              <w:rPr>
                <w:sz w:val="15"/>
                <w:szCs w:val="15"/>
                <w:color w:val="auto"/>
              </w:rPr>
            </w:pPr>
          </w:p>
        </w:tc>
        <w:tc>
          <w:tcPr>
            <w:tcW w:w="41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412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58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spacing w:after="0"/>
              <w:rPr>
                <w:sz w:val="14"/>
                <w:szCs w:val="14"/>
                <w:color w:val="auto"/>
              </w:rPr>
            </w:pPr>
          </w:p>
        </w:tc>
        <w:tc>
          <w:tcPr>
            <w:tcW w:w="4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2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2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14,913</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13,063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820" w:type="dxa"/>
            <w:vAlign w:val="bottom"/>
            <w:gridSpan w:val="3"/>
            <w:shd w:val="clear" w:color="auto" w:fill="CCEC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credit facility foreign</w:t>
            </w:r>
          </w:p>
        </w:tc>
        <w:tc>
          <w:tcPr>
            <w:tcW w:w="8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shd w:val="clear" w:color="auto" w:fill="CCECFF"/>
          </w:tcPr>
          <w:p>
            <w:pPr>
              <w:spacing w:after="0"/>
              <w:rPr>
                <w:sz w:val="15"/>
                <w:szCs w:val="15"/>
                <w:color w:val="auto"/>
              </w:rPr>
            </w:pPr>
          </w:p>
        </w:tc>
        <w:tc>
          <w:tcPr>
            <w:tcW w:w="41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currency translations:</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158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Investments</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(3,630 )</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(4,357 )</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700" w:type="dxa"/>
            <w:vAlign w:val="bottom"/>
            <w:tcBorders>
              <w:bottom w:val="single" w:sz="8" w:color="CCECFF"/>
            </w:tcBorders>
            <w:gridSpan w:val="2"/>
            <w:shd w:val="clear" w:color="auto" w:fill="CCECFF"/>
          </w:tcPr>
          <w:p>
            <w:pPr>
              <w:ind w:left="80"/>
              <w:spacing w:after="0"/>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w:t>
            </w:r>
          </w:p>
        </w:tc>
        <w:tc>
          <w:tcPr>
            <w:tcW w:w="840" w:type="dxa"/>
            <w:vAlign w:val="bottom"/>
            <w:tcBorders>
              <w:top w:val="single" w:sz="8" w:color="auto"/>
              <w:bottom w:val="single" w:sz="8" w:color="auto"/>
            </w:tcBorders>
            <w:shd w:val="clear" w:color="auto" w:fill="CCECFF"/>
          </w:tcPr>
          <w:p>
            <w:pPr>
              <w:spacing w:after="0"/>
              <w:rPr>
                <w:sz w:val="14"/>
                <w:szCs w:val="14"/>
                <w:color w:val="auto"/>
              </w:rPr>
            </w:pPr>
          </w:p>
        </w:tc>
        <w:tc>
          <w:tcPr>
            <w:tcW w:w="44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top w:val="single" w:sz="8" w:color="auto"/>
              <w:bottom w:val="single" w:sz="8" w:color="auto"/>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4,546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(loss) gain from investments</w:t>
            </w: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(3,510 )</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(3,851 )</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158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top w:val="single" w:sz="8" w:color="auto"/>
              <w:bottom w:val="single" w:sz="8" w:color="auto"/>
            </w:tcBorders>
            <w:shd w:val="clear" w:color="auto" w:fill="CCEC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3,954</w:t>
            </w:r>
          </w:p>
        </w:tc>
        <w:tc>
          <w:tcPr>
            <w:tcW w:w="240" w:type="dxa"/>
            <w:vAlign w:val="bottom"/>
            <w:tcBorders>
              <w:bottom w:val="single" w:sz="8" w:color="CCECFF"/>
            </w:tcBorders>
            <w:shd w:val="clear" w:color="auto" w:fill="CCECFF"/>
          </w:tcPr>
          <w:p>
            <w:pPr>
              <w:spacing w:after="0"/>
              <w:rPr>
                <w:sz w:val="18"/>
                <w:szCs w:val="18"/>
                <w:color w:val="auto"/>
              </w:rPr>
            </w:pPr>
          </w:p>
        </w:tc>
        <w:tc>
          <w:tcPr>
            <w:tcW w:w="560" w:type="dxa"/>
            <w:vAlign w:val="bottom"/>
            <w:tcBorders>
              <w:top w:val="single" w:sz="8" w:color="auto"/>
              <w:bottom w:val="single" w:sz="8" w:color="auto"/>
            </w:tcBorders>
            <w:shd w:val="clear" w:color="auto" w:fill="CCEC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CFF"/>
          </w:tcPr>
          <w:p>
            <w:pPr>
              <w:spacing w:after="0"/>
              <w:rPr>
                <w:sz w:val="18"/>
                <w:szCs w:val="18"/>
                <w:color w:val="auto"/>
              </w:rPr>
            </w:pPr>
          </w:p>
        </w:tc>
        <w:tc>
          <w:tcPr>
            <w:tcW w:w="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2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14,114</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-4165600</wp:posOffset>
            </wp:positionV>
            <wp:extent cx="68580" cy="1200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-4165600</wp:posOffset>
            </wp:positionV>
            <wp:extent cx="68580" cy="1200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-3034030</wp:posOffset>
            </wp:positionV>
            <wp:extent cx="68580" cy="1289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1289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-2794000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-2776855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-1739265</wp:posOffset>
            </wp:positionV>
            <wp:extent cx="76835" cy="1200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-1739265</wp:posOffset>
            </wp:positionV>
            <wp:extent cx="77470" cy="1200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-1739265</wp:posOffset>
            </wp:positionV>
            <wp:extent cx="68580" cy="1200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200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-1053465</wp:posOffset>
            </wp:positionV>
            <wp:extent cx="76835" cy="1289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-1053465</wp:posOffset>
            </wp:positionV>
            <wp:extent cx="77470" cy="1289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-1053465</wp:posOffset>
            </wp:positionV>
            <wp:extent cx="68580" cy="1289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1289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-265430</wp:posOffset>
            </wp:positionV>
            <wp:extent cx="76835" cy="1289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-265430</wp:posOffset>
            </wp:positionV>
            <wp:extent cx="77470" cy="1289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-265430</wp:posOffset>
            </wp:positionV>
            <wp:extent cx="68580" cy="1289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1289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774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 management or incentive fees are payable by PSLF.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7145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20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4"/>
          <w:szCs w:val="14"/>
          <w:color w:val="auto"/>
        </w:rPr>
        <w:t>On July 29, 2022, the Company entered into the Fifth Amendment to the Truist Credit Facility. The Fifth Amendment amends certain provisions of the Credit Agreement to, among other things, (1) increase the facility size from $465.0 million to $500.0 million, which may be further increased up to $750.0 million, subject to the terms of the Amended Credit Agreement, (2) extend the term of the revolving period from September 4, 2023 to July 29, 2026 and the stated maturity date from September 4, 2024 to July 29, 2027 for $475.0 million out of the total $500.0 million commitments (with the revolving period with respect to the remaining $25.0 million of commitments continuing to expire on September 4, 2023 and the related obligations maturing on September 4, 2024), (3) adjust the applicable margin with respect to the loans extended by the lenders of the extended $475.0 million commitments and (4) replace the LIBOR benchmark provisions with SOFR benchmark provisions, including applicable credit adjustment spread. In connection with the facility increase contemplated by the Fifth Amendment, Regions Bank joined the Amended Credit Agreement as an additional multicurrency lender.</w:t>
      </w:r>
    </w:p>
    <w:p>
      <w:pPr>
        <w:spacing w:after="0" w:line="17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The foregoing descriptions of the Fifth Amendment does not purport to be complete and is qualified in their entirety by reference to the full text of the Fifth Amendment, which is filed as an exhibit hereto and incorporated by reference herein.</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Subsequent to quarter end we and Pantheon Ventures (UK) LLP, have agreed to increase our capital commitments to PSLF from $234.8 million to $310.8 million. PNNT's portion of this capital commitment increase is $45.9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208"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57" w:lineRule="exact"/>
        <w:rPr>
          <w:sz w:val="20"/>
          <w:szCs w:val="20"/>
          <w:color w:val="auto"/>
        </w:rPr>
      </w:pPr>
    </w:p>
    <w:p>
      <w:pPr>
        <w:jc w:val="both"/>
        <w:ind w:firstLine="449"/>
        <w:spacing w:after="0" w:line="302"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1" w:name="page52"/>
    <w:bookmarkEnd w:id="51"/>
    <w:p>
      <w:pPr>
        <w:jc w:val="both"/>
        <w:spacing w:after="0" w:line="271" w:lineRule="auto"/>
        <w:rPr>
          <w:sz w:val="20"/>
          <w:szCs w:val="20"/>
          <w:color w:val="auto"/>
        </w:rPr>
      </w:pPr>
      <w:r>
        <w:rPr>
          <w:rFonts w:ascii="Times New Roman" w:cs="Times New Roman" w:eastAsia="Times New Roman" w:hAnsi="Times New Roman"/>
          <w:sz w:val="14"/>
          <w:szCs w:val="14"/>
          <w:color w:val="auto"/>
        </w:rPr>
        <w:t>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5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During the three and nine months ended June 30, 2022, we declared distributions of $0.145 and $0.405 per share, for total distributions of $9.4 million and $26.8 million, respectively. For the same periods in the prior year, we declared distributions of $0.12 and $0.36 per share, for total distributions of $8.0 million and $24.1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intend to continue to make quarterly distributions to our stockholders. Our quarterly distributions, if any, are determined by our board of directors.</w:t>
      </w:r>
    </w:p>
    <w:p>
      <w:pPr>
        <w:spacing w:after="0" w:line="21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currently evaluating the impact the adoption of this new accounting standard will have on its consolidated financial statements, but the impact of the adoption is not expected to be material.</w:t>
      </w:r>
    </w:p>
    <w:p>
      <w:pPr>
        <w:spacing w:after="0" w:line="18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 June 2022, the FASB issued Accounting Standards Update,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Program</w:t>
      </w:r>
    </w:p>
    <w:p>
      <w:pPr>
        <w:spacing w:after="0" w:line="248"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4"/>
          <w:szCs w:val="14"/>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and nine months ended June 30, 2022, we repurchased 717,709 and 1,631,163, respectively, shares of common stock in open market transactions for an aggregate cost (including transaction costs) of $4.9 million and $12.0 million, respectively. During the three and nine months ended June 30, 2021, we did not make any repurchases of shares of our common stock.</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June 30, 2022, our debt portfolio consisted of 96% variable-rate investments and 4% fixed 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80" w:type="dxa"/>
            <w:vAlign w:val="bottom"/>
            <w:gridSpan w:val="2"/>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r>
      <w:tr>
        <w:trPr>
          <w:trHeight w:val="148"/>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80" w:type="dxa"/>
            <w:vAlign w:val="bottom"/>
            <w:gridSpan w:val="2"/>
          </w:tcPr>
          <w:p>
            <w:pPr>
              <w:jc w:val="center"/>
              <w:ind w:right="56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r>
      <w:tr>
        <w:trPr>
          <w:trHeight w:val="20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20" w:type="dxa"/>
            <w:vAlign w:val="bottom"/>
          </w:tcPr>
          <w:p>
            <w:pPr>
              <w:spacing w:after="0"/>
              <w:rPr>
                <w:sz w:val="17"/>
                <w:szCs w:val="17"/>
                <w:color w:val="auto"/>
              </w:rPr>
            </w:pPr>
          </w:p>
        </w:tc>
        <w:tc>
          <w:tcPr>
            <w:tcW w:w="28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80" w:type="dxa"/>
            <w:vAlign w:val="bottom"/>
            <w:gridSpan w:val="2"/>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Expense Per Share</w:t>
            </w:r>
          </w:p>
        </w:tc>
      </w:tr>
      <w:tr>
        <w:trPr>
          <w:trHeight w:val="169"/>
        </w:trPr>
        <w:tc>
          <w:tcPr>
            <w:tcW w:w="36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Down 1%</w:t>
            </w:r>
          </w:p>
        </w:tc>
        <w:tc>
          <w:tcPr>
            <w:tcW w:w="220" w:type="dxa"/>
            <w:vAlign w:val="bottom"/>
            <w:shd w:val="clear" w:color="auto" w:fill="CCECFF"/>
          </w:tcPr>
          <w:p>
            <w:pPr>
              <w:spacing w:after="0"/>
              <w:rPr>
                <w:sz w:val="14"/>
                <w:szCs w:val="14"/>
                <w:color w:val="auto"/>
              </w:rPr>
            </w:pPr>
          </w:p>
        </w:tc>
        <w:tc>
          <w:tcPr>
            <w:tcW w:w="2820" w:type="dxa"/>
            <w:vAlign w:val="bottom"/>
            <w:tcBorders>
              <w:top w:val="single" w:sz="8" w:color="auto"/>
            </w:tcBorders>
            <w:shd w:val="clear" w:color="auto" w:fill="CCECFF"/>
          </w:tcPr>
          <w:p>
            <w:pPr>
              <w:jc w:val="right"/>
              <w:ind w:right="26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36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5"/>
                <w:szCs w:val="15"/>
                <w:color w:val="auto"/>
              </w:rPr>
            </w:pPr>
          </w:p>
        </w:tc>
      </w:tr>
      <w:tr>
        <w:trPr>
          <w:trHeight w:val="176"/>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20" w:type="dxa"/>
            <w:vAlign w:val="bottom"/>
            <w:shd w:val="clear" w:color="auto" w:fill="CCECFF"/>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10,677</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shd w:val="clear" w:color="auto" w:fill="CCECFF"/>
          </w:tcPr>
          <w:p>
            <w:pPr>
              <w:spacing w:after="0"/>
              <w:rPr>
                <w:sz w:val="15"/>
                <w:szCs w:val="15"/>
                <w:color w:val="auto"/>
              </w:rPr>
            </w:pPr>
          </w:p>
        </w:tc>
      </w:tr>
      <w:tr>
        <w:trPr>
          <w:trHeight w:val="175"/>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15,906</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5"/>
                <w:szCs w:val="15"/>
                <w:color w:val="auto"/>
              </w:rPr>
            </w:pPr>
          </w:p>
        </w:tc>
      </w:tr>
      <w:tr>
        <w:trPr>
          <w:trHeight w:val="175"/>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3040" w:type="dxa"/>
            <w:vAlign w:val="bottom"/>
            <w:gridSpan w:val="2"/>
            <w:shd w:val="clear" w:color="auto" w:fill="CCECFF"/>
          </w:tcPr>
          <w:p>
            <w:pPr>
              <w:jc w:val="right"/>
              <w:ind w:right="26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21,134</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CFF"/>
          </w:tcPr>
          <w:p>
            <w:pPr>
              <w:spacing w:after="0"/>
              <w:rPr>
                <w:sz w:val="15"/>
                <w:szCs w:val="15"/>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2" w:name="page53"/>
    <w:bookmarkEnd w:id="52"/>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57"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5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4"/>
          <w:szCs w:val="14"/>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1" w:lineRule="exact"/>
        <w:rPr>
          <w:sz w:val="20"/>
          <w:szCs w:val="20"/>
          <w:color w:val="auto"/>
        </w:rPr>
      </w:pPr>
    </w:p>
    <w:p>
      <w:pPr>
        <w:jc w:val="both"/>
        <w:ind w:firstLine="449"/>
        <w:spacing w:after="0" w:line="302"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that occurred during the quarter ended June 30, 2022 that have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2021 filed on November 17, 2021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73" w:lineRule="exact"/>
        <w:rPr>
          <w:sz w:val="20"/>
          <w:szCs w:val="20"/>
          <w:color w:val="auto"/>
        </w:rPr>
      </w:pPr>
    </w:p>
    <w:p>
      <w:pPr>
        <w:jc w:val="both"/>
        <w:ind w:firstLine="449"/>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The ongoing invasion of Ukraine by Russia and related sanctions have increased global political and economic uncertainty, which may have a material impact on the Company's portfolio and the value of your investment in the Company</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4"/>
          <w:szCs w:val="14"/>
          <w:color w:val="auto"/>
        </w:rPr>
        <w:t>The ongoing invasion of Ukraine by Russia and related sanctions have increased global political and economic uncertainty. In February 2022, Russia invaded Ukraine and, in response, the United States and many other countries placed economic sanctions on certain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which have enacted sanctions, including cyberattacks against financial and governmental institutions, which could result in business disruptions and further economic turbulence. Although the Company has no direct exposure to Russia or Ukraine, the broader consequences of the invasion may have a material adverse impact on the Company's portfolio and the value of your investment in the Company. Because this is an uncertain and evolving situation, its full impact is unknown at this time.</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Inflation may adversely affect the business, results of operations and financial condition of our portfolio companies.</w:t>
      </w:r>
    </w:p>
    <w:p>
      <w:pPr>
        <w:spacing w:after="0" w:line="2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realized or unrealized losses and therefore reduce our net assets resulting from operations.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221"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84" w:lineRule="exact"/>
        <w:rPr>
          <w:sz w:val="20"/>
          <w:szCs w:val="20"/>
          <w:color w:val="auto"/>
        </w:rPr>
      </w:pPr>
    </w:p>
    <w:p>
      <w:pPr>
        <w:jc w:val="both"/>
        <w:ind w:right="20" w:firstLine="495"/>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5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7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4" w:name="page55"/>
    <w:bookmarkEnd w:id="54"/>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We have indebtedness outstanding pursuant to the Truist Credit Facility, 2024 Notes, 2026 Notes, 2026 Notes-2 and SBA debentures and expect in the future to borrow additional amounts under the Truist Credit Facility or other debt securities, subject to market availability, and, may increase the size of the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the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the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73" w:lineRule="exact"/>
        <w:rPr>
          <w:sz w:val="20"/>
          <w:szCs w:val="20"/>
          <w:color w:val="auto"/>
        </w:rPr>
      </w:pPr>
    </w:p>
    <w:p>
      <w:pPr>
        <w:jc w:val="both"/>
        <w:ind w:firstLine="495"/>
        <w:spacing w:after="0" w:line="264" w:lineRule="auto"/>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 unregistered securities were sold in the quarter ended June 30, 2022.</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Repurchases of our common stock under our share repurchase program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2"/>
                <w:szCs w:val="12"/>
                <w:color w:val="auto"/>
              </w:rPr>
            </w:pPr>
          </w:p>
        </w:tc>
        <w:tc>
          <w:tcPr>
            <w:tcW w:w="17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220" w:type="dxa"/>
            <w:vAlign w:val="bottom"/>
          </w:tcPr>
          <w:p>
            <w:pPr>
              <w:spacing w:after="0"/>
              <w:rPr>
                <w:sz w:val="12"/>
                <w:szCs w:val="12"/>
                <w:color w:val="auto"/>
              </w:rPr>
            </w:pPr>
          </w:p>
        </w:tc>
        <w:tc>
          <w:tcPr>
            <w:tcW w:w="1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18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Average Price per Share</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Programs </w:t>
            </w:r>
            <w:r>
              <w:rPr>
                <w:rFonts w:ascii="Times New Roman" w:cs="Times New Roman" w:eastAsia="Times New Roman" w:hAnsi="Times New Roman"/>
                <w:sz w:val="16"/>
                <w:szCs w:val="16"/>
                <w:b w:val="1"/>
                <w:bCs w:val="1"/>
                <w:color w:val="auto"/>
                <w:w w:val="98"/>
                <w:vertAlign w:val="superscript"/>
              </w:rPr>
              <w:t>(1)</w:t>
            </w:r>
          </w:p>
        </w:tc>
        <w:tc>
          <w:tcPr>
            <w:tcW w:w="220" w:type="dxa"/>
            <w:vAlign w:val="bottom"/>
          </w:tcPr>
          <w:p>
            <w:pPr>
              <w:spacing w:after="0"/>
              <w:rPr>
                <w:sz w:val="16"/>
                <w:szCs w:val="16"/>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 Programs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1, 2022 through March 31, 2022</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2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2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April 1, 2022 through June 30, 2022</w:t>
            </w:r>
          </w:p>
        </w:tc>
        <w:tc>
          <w:tcPr>
            <w:tcW w:w="120" w:type="dxa"/>
            <w:vAlign w:val="bottom"/>
            <w:tcBorders>
              <w:bottom w:val="single" w:sz="8" w:color="CCECFF"/>
            </w:tcBorders>
            <w:shd w:val="clear" w:color="auto" w:fill="CCECFF"/>
          </w:tcPr>
          <w:p>
            <w:pPr>
              <w:spacing w:after="0"/>
              <w:rPr>
                <w:sz w:val="15"/>
                <w:szCs w:val="15"/>
                <w:color w:val="auto"/>
              </w:rPr>
            </w:pPr>
          </w:p>
        </w:tc>
        <w:tc>
          <w:tcPr>
            <w:tcW w:w="1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717,709</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20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1,631,163</w:t>
            </w:r>
          </w:p>
        </w:tc>
        <w:tc>
          <w:tcPr>
            <w:tcW w:w="920" w:type="dxa"/>
            <w:vAlign w:val="bottom"/>
            <w:tcBorders>
              <w:bottom w:val="single" w:sz="8" w:color="CCECFF"/>
            </w:tcBorders>
            <w:gridSpan w:val="2"/>
            <w:shd w:val="clear" w:color="auto" w:fill="CCEC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1,631,163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-229870</wp:posOffset>
            </wp:positionV>
            <wp:extent cx="77470"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-229870</wp:posOffset>
            </wp:positionV>
            <wp:extent cx="68580" cy="1289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ind w:left="360" w:right="220" w:hanging="339"/>
        <w:spacing w:after="0" w:line="224" w:lineRule="auto"/>
        <w:tabs>
          <w:tab w:leader="none" w:pos="3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February 9, 2022, we announced a share repurchase program which allows us to repurchase up to $25.0 million of our outstanding commons stock. Unless extended by our board of directors, the program will expire on the earlier off March 31, 2023 and the repurchase of $25.0 million of common stock.</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1200" w:type="dxa"/>
            <w:vAlign w:val="bottom"/>
            <w:gridSpan w:val="25"/>
          </w:tcPr>
          <w:p>
            <w:pPr>
              <w:ind w:left="44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tc>
      </w:tr>
      <w:tr>
        <w:trPr>
          <w:trHeight w:val="348"/>
        </w:trPr>
        <w:tc>
          <w:tcPr>
            <w:tcW w:w="148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3.1</w:t>
            </w:r>
          </w:p>
        </w:tc>
        <w:tc>
          <w:tcPr>
            <w:tcW w:w="9720" w:type="dxa"/>
            <w:vAlign w:val="bottom"/>
            <w:gridSpan w:val="24"/>
          </w:tcPr>
          <w:p>
            <w:pPr>
              <w:spacing w:after="0"/>
              <w:rPr>
                <w:rFonts w:ascii="Times New Roman" w:cs="Times New Roman" w:eastAsia="Times New Roman" w:hAnsi="Times New Roman"/>
                <w:sz w:val="14"/>
                <w:szCs w:val="14"/>
                <w:color w:val="0000FF"/>
              </w:rPr>
            </w:pPr>
            <w:hyperlink r:id="rId424">
              <w:r>
                <w:rPr>
                  <w:rFonts w:ascii="Times New Roman" w:cs="Times New Roman" w:eastAsia="Times New Roman" w:hAnsi="Times New Roman"/>
                  <w:sz w:val="14"/>
                  <w:szCs w:val="14"/>
                  <w:color w:val="0000FF"/>
                </w:rPr>
                <w:t>Articles of Incorporation (Incorporated by reference to Exhibit 99(a) to the Registrant’s Pre-Effective Amendment No. 3 to the Registration Statement on Form N-2/A</w:t>
              </w:r>
            </w:hyperlink>
          </w:p>
        </w:tc>
      </w:tr>
      <w:tr>
        <w:trPr>
          <w:trHeight w:val="142"/>
        </w:trPr>
        <w:tc>
          <w:tcPr>
            <w:tcW w:w="148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4"/>
                <w:szCs w:val="14"/>
                <w:color w:val="0000FF"/>
              </w:rPr>
            </w:pPr>
            <w:hyperlink r:id="rId424">
              <w:r>
                <w:rPr>
                  <w:rFonts w:ascii="Times New Roman" w:cs="Times New Roman" w:eastAsia="Times New Roman" w:hAnsi="Times New Roman"/>
                  <w:sz w:val="14"/>
                  <w:szCs w:val="14"/>
                  <w:color w:val="0000FF"/>
                </w:rPr>
                <w:t>(File No. 333-140092), filed on April 5, 2007).</w:t>
              </w:r>
            </w:hyperlink>
          </w:p>
        </w:tc>
        <w:tc>
          <w:tcPr>
            <w:tcW w:w="20" w:type="dxa"/>
            <w:vAlign w:val="bottom"/>
            <w:tcBorders>
              <w:top w:val="single" w:sz="8" w:color="0000FF"/>
              <w:bottom w:val="single" w:sz="8" w:color="0000EE"/>
            </w:tcBorders>
          </w:tcPr>
          <w:p>
            <w:pPr>
              <w:spacing w:after="0"/>
              <w:rPr>
                <w:sz w:val="12"/>
                <w:szCs w:val="12"/>
                <w:color w:val="auto"/>
              </w:rPr>
            </w:pPr>
          </w:p>
        </w:tc>
        <w:tc>
          <w:tcPr>
            <w:tcW w:w="688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148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3.2</w:t>
            </w:r>
          </w:p>
        </w:tc>
        <w:tc>
          <w:tcPr>
            <w:tcW w:w="9720" w:type="dxa"/>
            <w:vAlign w:val="bottom"/>
            <w:gridSpan w:val="24"/>
          </w:tcPr>
          <w:p>
            <w:pPr>
              <w:spacing w:after="0"/>
              <w:rPr>
                <w:rFonts w:ascii="Times New Roman" w:cs="Times New Roman" w:eastAsia="Times New Roman" w:hAnsi="Times New Roman"/>
                <w:sz w:val="14"/>
                <w:szCs w:val="14"/>
                <w:color w:val="0000FF"/>
              </w:rPr>
            </w:pPr>
            <w:hyperlink r:id="rId425">
              <w:r>
                <w:rPr>
                  <w:rFonts w:ascii="Times New Roman" w:cs="Times New Roman" w:eastAsia="Times New Roman" w:hAnsi="Times New Roman"/>
                  <w:sz w:val="14"/>
                  <w:szCs w:val="14"/>
                  <w:color w:val="0000FF"/>
                </w:rPr>
                <w:t>Second Amended and Restated Bylaws of the Registrant (Incorporated by reference to Exhibit 3.2 to the Registrant's Quarterly Report on Form 10-Q (File No. 814-</w:t>
              </w:r>
            </w:hyperlink>
          </w:p>
        </w:tc>
      </w:tr>
      <w:tr>
        <w:trPr>
          <w:trHeight w:val="142"/>
        </w:trPr>
        <w:tc>
          <w:tcPr>
            <w:tcW w:w="148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4"/>
                <w:szCs w:val="14"/>
                <w:color w:val="0000FF"/>
              </w:rPr>
            </w:pPr>
            <w:hyperlink r:id="rId425">
              <w:r>
                <w:rPr>
                  <w:rFonts w:ascii="Times New Roman" w:cs="Times New Roman" w:eastAsia="Times New Roman" w:hAnsi="Times New Roman"/>
                  <w:sz w:val="14"/>
                  <w:szCs w:val="14"/>
                  <w:color w:val="0000FF"/>
                </w:rPr>
                <w:t>00736)</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on May 11, 2020).</w:t>
              </w:r>
            </w:hyperlink>
          </w:p>
        </w:tc>
        <w:tc>
          <w:tcPr>
            <w:tcW w:w="20" w:type="dxa"/>
            <w:vAlign w:val="bottom"/>
            <w:tcBorders>
              <w:top w:val="single" w:sz="8" w:color="0000FF"/>
              <w:bottom w:val="single" w:sz="8" w:color="0000EE"/>
            </w:tcBorders>
          </w:tcPr>
          <w:p>
            <w:pPr>
              <w:spacing w:after="0"/>
              <w:rPr>
                <w:sz w:val="12"/>
                <w:szCs w:val="12"/>
                <w:color w:val="auto"/>
              </w:rPr>
            </w:pPr>
          </w:p>
        </w:tc>
        <w:tc>
          <w:tcPr>
            <w:tcW w:w="7600" w:type="dxa"/>
            <w:vAlign w:val="bottom"/>
            <w:tcBorders>
              <w:top w:val="single" w:sz="8" w:color="0000FF"/>
            </w:tcBorders>
            <w:gridSpan w:val="1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317"/>
        </w:trPr>
        <w:tc>
          <w:tcPr>
            <w:tcW w:w="148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4.1</w:t>
            </w:r>
          </w:p>
        </w:tc>
        <w:tc>
          <w:tcPr>
            <w:tcW w:w="972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426">
              <w:r>
                <w:rPr>
                  <w:rFonts w:ascii="Times New Roman" w:cs="Times New Roman" w:eastAsia="Times New Roman" w:hAnsi="Times New Roman"/>
                  <w:sz w:val="14"/>
                  <w:szCs w:val="14"/>
                  <w:color w:val="0000FF"/>
                </w:rPr>
                <w:t>Form of Share Certificate (Incorporated by reference to Exhibit 99(d)(1) to the Registrant’s Registration Statement on Form N-2 (File No. 333-150033), filed on April 2,</w:t>
              </w:r>
            </w:hyperlink>
          </w:p>
        </w:tc>
      </w:tr>
      <w:tr>
        <w:trPr>
          <w:trHeight w:val="142"/>
        </w:trPr>
        <w:tc>
          <w:tcPr>
            <w:tcW w:w="1480" w:type="dxa"/>
            <w:vAlign w:val="bottom"/>
          </w:tcPr>
          <w:p>
            <w:pPr>
              <w:spacing w:after="0"/>
              <w:rPr>
                <w:sz w:val="12"/>
                <w:szCs w:val="12"/>
                <w:color w:val="auto"/>
              </w:rPr>
            </w:pPr>
          </w:p>
        </w:tc>
        <w:tc>
          <w:tcPr>
            <w:tcW w:w="360" w:type="dxa"/>
            <w:vAlign w:val="bottom"/>
            <w:tcBorders>
              <w:bottom w:val="single" w:sz="8" w:color="0000FF"/>
            </w:tcBorders>
          </w:tcPr>
          <w:p>
            <w:pPr>
              <w:spacing w:after="0" w:line="142" w:lineRule="exact"/>
              <w:rPr>
                <w:rFonts w:ascii="Times New Roman" w:cs="Times New Roman" w:eastAsia="Times New Roman" w:hAnsi="Times New Roman"/>
                <w:sz w:val="14"/>
                <w:szCs w:val="14"/>
                <w:color w:val="0000FF"/>
                <w:w w:val="93"/>
              </w:rPr>
            </w:pPr>
            <w:hyperlink r:id="rId426">
              <w:r>
                <w:rPr>
                  <w:rFonts w:ascii="Times New Roman" w:cs="Times New Roman" w:eastAsia="Times New Roman" w:hAnsi="Times New Roman"/>
                  <w:sz w:val="14"/>
                  <w:szCs w:val="14"/>
                  <w:color w:val="0000FF"/>
                  <w:w w:val="93"/>
                </w:rPr>
                <w:t>2008).</w:t>
              </w:r>
            </w:hyperlink>
          </w:p>
        </w:tc>
        <w:tc>
          <w:tcPr>
            <w:tcW w:w="20" w:type="dxa"/>
            <w:vAlign w:val="bottom"/>
            <w:tcBorders>
              <w:bottom w:val="single" w:sz="8" w:color="0000EE"/>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148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95"/>
              </w:rPr>
              <w:t>10.1*</w:t>
            </w:r>
          </w:p>
        </w:tc>
        <w:tc>
          <w:tcPr>
            <w:tcW w:w="840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427">
              <w:r>
                <w:rPr>
                  <w:rFonts w:ascii="Times New Roman" w:cs="Times New Roman" w:eastAsia="Times New Roman" w:hAnsi="Times New Roman"/>
                  <w:sz w:val="14"/>
                  <w:szCs w:val="14"/>
                  <w:color w:val="0000FF"/>
                </w:rPr>
                <w:t>Amended and Restated Administration Agreement between the Registrant and PennantPark Investment Administration LLC , Dated July 1, 2022.</w:t>
              </w:r>
            </w:hyperlink>
          </w:p>
        </w:tc>
        <w:tc>
          <w:tcPr>
            <w:tcW w:w="20" w:type="dxa"/>
            <w:vAlign w:val="bottom"/>
            <w:tcBorders>
              <w:bottom w:val="single" w:sz="8" w:color="0000EE"/>
            </w:tcBorders>
          </w:tcPr>
          <w:p>
            <w:pPr>
              <w:spacing w:after="0"/>
              <w:rPr>
                <w:sz w:val="24"/>
                <w:szCs w:val="24"/>
                <w:color w:val="auto"/>
              </w:rPr>
            </w:pPr>
          </w:p>
        </w:tc>
        <w:tc>
          <w:tcPr>
            <w:tcW w:w="1300" w:type="dxa"/>
            <w:vAlign w:val="bottom"/>
            <w:gridSpan w:val="6"/>
          </w:tcPr>
          <w:p>
            <w:pPr>
              <w:spacing w:after="0"/>
              <w:rPr>
                <w:sz w:val="24"/>
                <w:szCs w:val="24"/>
                <w:color w:val="auto"/>
              </w:rPr>
            </w:pPr>
          </w:p>
        </w:tc>
      </w:tr>
      <w:tr>
        <w:trPr>
          <w:trHeight w:val="331"/>
        </w:trPr>
        <w:tc>
          <w:tcPr>
            <w:tcW w:w="148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95"/>
              </w:rPr>
              <w:t>10.2*</w:t>
            </w:r>
          </w:p>
        </w:tc>
        <w:tc>
          <w:tcPr>
            <w:tcW w:w="9720" w:type="dxa"/>
            <w:vAlign w:val="bottom"/>
            <w:gridSpan w:val="24"/>
          </w:tcPr>
          <w:p>
            <w:pPr>
              <w:spacing w:after="0"/>
              <w:rPr>
                <w:rFonts w:ascii="Times New Roman" w:cs="Times New Roman" w:eastAsia="Times New Roman" w:hAnsi="Times New Roman"/>
                <w:sz w:val="14"/>
                <w:szCs w:val="14"/>
                <w:color w:val="0000FF"/>
              </w:rPr>
            </w:pPr>
            <w:hyperlink r:id="rId428">
              <w:r>
                <w:rPr>
                  <w:rFonts w:ascii="Times New Roman" w:cs="Times New Roman" w:eastAsia="Times New Roman" w:hAnsi="Times New Roman"/>
                  <w:sz w:val="14"/>
                  <w:szCs w:val="14"/>
                  <w:color w:val="0000FF"/>
                </w:rPr>
                <w:t>Fifth Amendment ("Fifth Amendment") to Second Amended and Restated Senior Secured Revolving Credit Agreement and Second Amended and Restated Guarantee</w:t>
              </w:r>
            </w:hyperlink>
          </w:p>
        </w:tc>
      </w:tr>
      <w:tr>
        <w:trPr>
          <w:trHeight w:val="142"/>
        </w:trPr>
        <w:tc>
          <w:tcPr>
            <w:tcW w:w="1480" w:type="dxa"/>
            <w:vAlign w:val="bottom"/>
          </w:tcPr>
          <w:p>
            <w:pPr>
              <w:spacing w:after="0"/>
              <w:rPr>
                <w:sz w:val="12"/>
                <w:szCs w:val="12"/>
                <w:color w:val="auto"/>
              </w:rPr>
            </w:pPr>
          </w:p>
        </w:tc>
        <w:tc>
          <w:tcPr>
            <w:tcW w:w="9620" w:type="dxa"/>
            <w:vAlign w:val="bottom"/>
            <w:tcBorders>
              <w:top w:val="single" w:sz="8" w:color="0000FF"/>
            </w:tcBorders>
            <w:gridSpan w:val="23"/>
          </w:tcPr>
          <w:p>
            <w:pPr>
              <w:spacing w:after="0" w:line="142" w:lineRule="exact"/>
              <w:rPr>
                <w:rFonts w:ascii="Times New Roman" w:cs="Times New Roman" w:eastAsia="Times New Roman" w:hAnsi="Times New Roman"/>
                <w:sz w:val="14"/>
                <w:szCs w:val="14"/>
                <w:color w:val="0000FF"/>
              </w:rPr>
            </w:pPr>
            <w:hyperlink r:id="rId428">
              <w:r>
                <w:rPr>
                  <w:rFonts w:ascii="Times New Roman" w:cs="Times New Roman" w:eastAsia="Times New Roman" w:hAnsi="Times New Roman"/>
                  <w:sz w:val="14"/>
                  <w:szCs w:val="14"/>
                  <w:color w:val="0000FF"/>
                </w:rPr>
                <w:t>and Security Agreement, dated as of July 29, 2022, among the Registrant, the lenders party thereto and Truist Bank, as administrative agent for the lenders ("Credit</w:t>
              </w:r>
            </w:hyperlink>
          </w:p>
        </w:tc>
        <w:tc>
          <w:tcPr>
            <w:tcW w:w="100" w:type="dxa"/>
            <w:vAlign w:val="bottom"/>
          </w:tcPr>
          <w:p>
            <w:pPr>
              <w:spacing w:after="0"/>
              <w:rPr>
                <w:sz w:val="12"/>
                <w:szCs w:val="12"/>
                <w:color w:val="auto"/>
              </w:rPr>
            </w:pPr>
          </w:p>
        </w:tc>
      </w:tr>
      <w:tr>
        <w:trPr>
          <w:trHeight w:val="129"/>
        </w:trPr>
        <w:tc>
          <w:tcPr>
            <w:tcW w:w="1480" w:type="dxa"/>
            <w:vAlign w:val="bottom"/>
          </w:tcPr>
          <w:p>
            <w:pPr>
              <w:spacing w:after="0"/>
              <w:rPr>
                <w:sz w:val="11"/>
                <w:szCs w:val="11"/>
                <w:color w:val="auto"/>
              </w:rPr>
            </w:pPr>
          </w:p>
        </w:tc>
        <w:tc>
          <w:tcPr>
            <w:tcW w:w="78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w w:val="99"/>
              </w:rPr>
            </w:pPr>
            <w:hyperlink r:id="rId428">
              <w:r>
                <w:rPr>
                  <w:rFonts w:ascii="Times New Roman" w:cs="Times New Roman" w:eastAsia="Times New Roman" w:hAnsi="Times New Roman"/>
                  <w:sz w:val="14"/>
                  <w:szCs w:val="14"/>
                  <w:color w:val="0000FF"/>
                  <w:w w:val="99"/>
                </w:rPr>
                <w:t>Agreement").</w:t>
              </w:r>
            </w:hyperlink>
          </w:p>
        </w:tc>
        <w:tc>
          <w:tcPr>
            <w:tcW w:w="20" w:type="dxa"/>
            <w:vAlign w:val="bottom"/>
            <w:tcBorders>
              <w:top w:val="single" w:sz="8" w:color="0000FF"/>
              <w:bottom w:val="single" w:sz="8" w:color="0000EE"/>
            </w:tcBorders>
          </w:tcPr>
          <w:p>
            <w:pPr>
              <w:spacing w:after="0"/>
              <w:rPr>
                <w:sz w:val="11"/>
                <w:szCs w:val="11"/>
                <w:color w:val="auto"/>
              </w:rPr>
            </w:pPr>
          </w:p>
        </w:tc>
        <w:tc>
          <w:tcPr>
            <w:tcW w:w="8640" w:type="dxa"/>
            <w:vAlign w:val="bottom"/>
            <w:tcBorders>
              <w:top w:val="single" w:sz="8" w:color="0000FF"/>
            </w:tcBorders>
            <w:gridSpan w:val="13"/>
          </w:tcPr>
          <w:p>
            <w:pPr>
              <w:spacing w:after="0"/>
              <w:rPr>
                <w:sz w:val="11"/>
                <w:szCs w:val="11"/>
                <w:color w:val="auto"/>
              </w:rPr>
            </w:pPr>
          </w:p>
        </w:tc>
        <w:tc>
          <w:tcPr>
            <w:tcW w:w="1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r>
      <w:tr>
        <w:trPr>
          <w:trHeight w:val="344"/>
        </w:trPr>
        <w:tc>
          <w:tcPr>
            <w:tcW w:w="148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95"/>
              </w:rPr>
              <w:t>10.3*</w:t>
            </w:r>
          </w:p>
        </w:tc>
        <w:tc>
          <w:tcPr>
            <w:tcW w:w="3920" w:type="dxa"/>
            <w:vAlign w:val="bottom"/>
            <w:tcBorders>
              <w:bottom w:val="single" w:sz="8" w:color="0000EE"/>
            </w:tcBorders>
            <w:gridSpan w:val="11"/>
          </w:tcPr>
          <w:p>
            <w:pPr>
              <w:spacing w:after="0"/>
              <w:rPr>
                <w:rFonts w:ascii="Times New Roman" w:cs="Times New Roman" w:eastAsia="Times New Roman" w:hAnsi="Times New Roman"/>
                <w:sz w:val="16"/>
                <w:szCs w:val="16"/>
                <w:color w:val="0000FF"/>
              </w:rPr>
            </w:pPr>
            <w:hyperlink r:id="rId429">
              <w:r>
                <w:rPr>
                  <w:rFonts w:ascii="Times New Roman" w:cs="Times New Roman" w:eastAsia="Times New Roman" w:hAnsi="Times New Roman"/>
                  <w:sz w:val="16"/>
                  <w:szCs w:val="16"/>
                  <w:color w:val="0000FF"/>
                </w:rPr>
                <w:t>Form of Credit Agreement (Exhibit A to Fifth Amendment)</w:t>
              </w:r>
            </w:hyperlink>
          </w:p>
        </w:tc>
        <w:tc>
          <w:tcPr>
            <w:tcW w:w="5800" w:type="dxa"/>
            <w:vAlign w:val="bottom"/>
            <w:gridSpan w:val="13"/>
          </w:tcPr>
          <w:p>
            <w:pPr>
              <w:spacing w:after="0"/>
              <w:rPr>
                <w:sz w:val="24"/>
                <w:szCs w:val="24"/>
                <w:color w:val="auto"/>
              </w:rPr>
            </w:pPr>
          </w:p>
        </w:tc>
      </w:tr>
      <w:tr>
        <w:trPr>
          <w:trHeight w:val="344"/>
        </w:trPr>
        <w:tc>
          <w:tcPr>
            <w:tcW w:w="148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95"/>
              </w:rPr>
              <w:t>31.1*</w:t>
            </w:r>
          </w:p>
        </w:tc>
        <w:tc>
          <w:tcPr>
            <w:tcW w:w="680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430">
              <w:r>
                <w:rPr>
                  <w:rFonts w:ascii="Times New Roman" w:cs="Times New Roman" w:eastAsia="Times New Roman" w:hAnsi="Times New Roman"/>
                  <w:sz w:val="14"/>
                  <w:szCs w:val="14"/>
                  <w:color w:val="0000FF"/>
                </w:rPr>
                <w:t>Certification of Chief Executive Officer pursuant to Rule 13a-14 of the Securities Exchange Act of 1934, as amended.</w:t>
              </w:r>
            </w:hyperlink>
          </w:p>
        </w:tc>
        <w:tc>
          <w:tcPr>
            <w:tcW w:w="2920" w:type="dxa"/>
            <w:vAlign w:val="bottom"/>
            <w:gridSpan w:val="8"/>
          </w:tcPr>
          <w:p>
            <w:pPr>
              <w:spacing w:after="0"/>
              <w:rPr>
                <w:sz w:val="24"/>
                <w:szCs w:val="24"/>
                <w:color w:val="auto"/>
              </w:rPr>
            </w:pPr>
          </w:p>
        </w:tc>
      </w:tr>
      <w:tr>
        <w:trPr>
          <w:trHeight w:val="331"/>
        </w:trPr>
        <w:tc>
          <w:tcPr>
            <w:tcW w:w="148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95"/>
              </w:rPr>
              <w:t>31.2*</w:t>
            </w:r>
          </w:p>
        </w:tc>
        <w:tc>
          <w:tcPr>
            <w:tcW w:w="67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431">
              <w:r>
                <w:rPr>
                  <w:rFonts w:ascii="Times New Roman" w:cs="Times New Roman" w:eastAsia="Times New Roman" w:hAnsi="Times New Roman"/>
                  <w:sz w:val="14"/>
                  <w:szCs w:val="14"/>
                  <w:color w:val="0000FF"/>
                </w:rPr>
                <w:t>Certification of Chief Financial Officer pursuant to Rule 13a-14 of the Securities Exchange Act of 1934, as amended.</w:t>
              </w:r>
            </w:hyperlink>
          </w:p>
        </w:tc>
        <w:tc>
          <w:tcPr>
            <w:tcW w:w="2960" w:type="dxa"/>
            <w:vAlign w:val="bottom"/>
            <w:gridSpan w:val="9"/>
          </w:tcPr>
          <w:p>
            <w:pPr>
              <w:spacing w:after="0"/>
              <w:rPr>
                <w:sz w:val="24"/>
                <w:szCs w:val="24"/>
                <w:color w:val="auto"/>
              </w:rPr>
            </w:pPr>
          </w:p>
        </w:tc>
      </w:tr>
      <w:tr>
        <w:trPr>
          <w:trHeight w:val="331"/>
        </w:trPr>
        <w:tc>
          <w:tcPr>
            <w:tcW w:w="148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95"/>
              </w:rPr>
              <w:t>32.1*</w:t>
            </w:r>
          </w:p>
        </w:tc>
        <w:tc>
          <w:tcPr>
            <w:tcW w:w="57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432">
              <w:r>
                <w:rPr>
                  <w:rFonts w:ascii="Times New Roman" w:cs="Times New Roman" w:eastAsia="Times New Roman" w:hAnsi="Times New Roman"/>
                  <w:sz w:val="14"/>
                  <w:szCs w:val="14"/>
                  <w:color w:val="0000FF"/>
                </w:rPr>
                <w:t>Certification of Chief Executive Officer pursuant to Section 906 of the Sarbanes-Oxley Act of 2002.</w:t>
              </w:r>
            </w:hyperlink>
          </w:p>
        </w:tc>
        <w:tc>
          <w:tcPr>
            <w:tcW w:w="3940" w:type="dxa"/>
            <w:vAlign w:val="bottom"/>
            <w:gridSpan w:val="10"/>
          </w:tcPr>
          <w:p>
            <w:pPr>
              <w:spacing w:after="0"/>
              <w:rPr>
                <w:sz w:val="24"/>
                <w:szCs w:val="24"/>
                <w:color w:val="auto"/>
              </w:rPr>
            </w:pPr>
          </w:p>
        </w:tc>
      </w:tr>
      <w:tr>
        <w:trPr>
          <w:trHeight w:val="331"/>
        </w:trPr>
        <w:tc>
          <w:tcPr>
            <w:tcW w:w="148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95"/>
              </w:rPr>
              <w:t>32.2*</w:t>
            </w:r>
          </w:p>
        </w:tc>
        <w:tc>
          <w:tcPr>
            <w:tcW w:w="574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433">
              <w:r>
                <w:rPr>
                  <w:rFonts w:ascii="Times New Roman" w:cs="Times New Roman" w:eastAsia="Times New Roman" w:hAnsi="Times New Roman"/>
                  <w:sz w:val="14"/>
                  <w:szCs w:val="14"/>
                  <w:color w:val="0000FF"/>
                </w:rPr>
                <w:t>Certification of Chief Financial Officer pursuant to Section 906 of the Sarbanes-Oxley Act of 2002.</w:t>
              </w:r>
            </w:hyperlink>
          </w:p>
        </w:tc>
        <w:tc>
          <w:tcPr>
            <w:tcW w:w="20" w:type="dxa"/>
            <w:vAlign w:val="bottom"/>
            <w:tcBorders>
              <w:bottom w:val="single" w:sz="8" w:color="0000EE"/>
            </w:tcBorders>
          </w:tcPr>
          <w:p>
            <w:pPr>
              <w:spacing w:after="0"/>
              <w:rPr>
                <w:sz w:val="24"/>
                <w:szCs w:val="24"/>
                <w:color w:val="auto"/>
              </w:rPr>
            </w:pPr>
          </w:p>
        </w:tc>
        <w:tc>
          <w:tcPr>
            <w:tcW w:w="3960" w:type="dxa"/>
            <w:vAlign w:val="bottom"/>
            <w:gridSpan w:val="11"/>
          </w:tcPr>
          <w:p>
            <w:pPr>
              <w:spacing w:after="0"/>
              <w:rPr>
                <w:sz w:val="24"/>
                <w:szCs w:val="24"/>
                <w:color w:val="auto"/>
              </w:rPr>
            </w:pPr>
          </w:p>
        </w:tc>
      </w:tr>
      <w:tr>
        <w:trPr>
          <w:trHeight w:val="331"/>
        </w:trPr>
        <w:tc>
          <w:tcPr>
            <w:tcW w:w="148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w w:val="97"/>
              </w:rPr>
              <w:t>99.1</w:t>
            </w:r>
          </w:p>
        </w:tc>
        <w:tc>
          <w:tcPr>
            <w:tcW w:w="9720" w:type="dxa"/>
            <w:vAlign w:val="bottom"/>
            <w:gridSpan w:val="24"/>
          </w:tcPr>
          <w:p>
            <w:pPr>
              <w:spacing w:after="0"/>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Privacy Policy of the Registrant (Incorporated by reference to Exhibit 99.1 to the Registrant’s Annual Report on Form 10-K (File No. 814-00736), filed on November</w:t>
              </w:r>
            </w:hyperlink>
          </w:p>
        </w:tc>
      </w:tr>
      <w:tr>
        <w:trPr>
          <w:trHeight w:val="142"/>
        </w:trPr>
        <w:tc>
          <w:tcPr>
            <w:tcW w:w="1480" w:type="dxa"/>
            <w:vAlign w:val="bottom"/>
          </w:tcPr>
          <w:p>
            <w:pPr>
              <w:spacing w:after="0"/>
              <w:rPr>
                <w:sz w:val="12"/>
                <w:szCs w:val="12"/>
                <w:color w:val="auto"/>
              </w:rPr>
            </w:pPr>
          </w:p>
        </w:tc>
        <w:tc>
          <w:tcPr>
            <w:tcW w:w="58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4"/>
                <w:szCs w:val="14"/>
                <w:color w:val="0000FF"/>
                <w:w w:val="97"/>
              </w:rPr>
            </w:pPr>
            <w:hyperlink r:id="rId434">
              <w:r>
                <w:rPr>
                  <w:rFonts w:ascii="Times New Roman" w:cs="Times New Roman" w:eastAsia="Times New Roman" w:hAnsi="Times New Roman"/>
                  <w:sz w:val="14"/>
                  <w:szCs w:val="14"/>
                  <w:color w:val="0000FF"/>
                  <w:w w:val="97"/>
                </w:rPr>
                <w:t>16, 2011).</w:t>
              </w:r>
            </w:hyperlink>
          </w:p>
        </w:tc>
        <w:tc>
          <w:tcPr>
            <w:tcW w:w="20" w:type="dxa"/>
            <w:vAlign w:val="bottom"/>
            <w:tcBorders>
              <w:top w:val="single" w:sz="8" w:color="0000FF"/>
              <w:bottom w:val="single" w:sz="8" w:color="0000EE"/>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35"/>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972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w:t>
            </w:r>
          </w:p>
        </w:tc>
      </w:tr>
      <w:tr>
        <w:trPr>
          <w:trHeight w:val="162"/>
        </w:trPr>
        <w:tc>
          <w:tcPr>
            <w:tcW w:w="1480" w:type="dxa"/>
            <w:vAlign w:val="bottom"/>
          </w:tcPr>
          <w:p>
            <w:pPr>
              <w:spacing w:after="0"/>
              <w:rPr>
                <w:sz w:val="14"/>
                <w:szCs w:val="1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17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972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75"/>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72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7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972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75"/>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972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8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72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ind w:left="1500" w:hanging="1479"/>
        <w:spacing w:after="0"/>
        <w:tabs>
          <w:tab w:leader="none" w:pos="150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7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1912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56" w:name="page57"/>
    <w:bookmarkEnd w:id="56"/>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10-Q/A to be signed on its behalf by the undersigned, thereunto duly authorized.</w:t>
      </w:r>
    </w:p>
    <w:p>
      <w:pPr>
        <w:sectPr>
          <w:pgSz w:w="11900" w:h="16838" w:orient="portrait"/>
          <w:cols w:equalWidth="0" w:num="1">
            <w:col w:w="11080"/>
          </w:cols>
          <w:pgMar w:left="320" w:top="317" w:right="49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18, 2022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18,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440" w:right="1140" w:hanging="1214"/>
        <w:spacing w:after="0" w:line="432" w:lineRule="auto"/>
        <w:rPr>
          <w:sz w:val="20"/>
          <w:szCs w:val="20"/>
          <w:color w:val="auto"/>
        </w:rPr>
      </w:pPr>
      <w:r>
        <w:rPr>
          <w:rFonts w:ascii="Times New Roman" w:cs="Times New Roman" w:eastAsia="Times New Roman" w:hAnsi="Times New Roman"/>
          <w:sz w:val="14"/>
          <w:szCs w:val="14"/>
          <w:color w:val="auto"/>
        </w:rPr>
        <w:t>PENNANTPARK INVESTMENT CORPORATION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-1270</wp:posOffset>
            </wp:positionV>
            <wp:extent cx="330898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4"/>
          <w:szCs w:val="14"/>
          <w:b w:val="1"/>
          <w:bCs w:val="1"/>
          <w:color w:val="auto"/>
        </w:rPr>
        <w:t>Arthur H. Penn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p>
      <w:pPr>
        <w:ind w:left="10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15240</wp:posOffset>
            </wp:positionV>
            <wp:extent cx="33089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Richard T. Allorto, Jr.</w:t>
      </w:r>
    </w:p>
    <w:p>
      <w:pPr>
        <w:spacing w:after="0" w:line="8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4880" w:space="720"/>
            <w:col w:w="340" w:space="720"/>
            <w:col w:w="4420"/>
          </w:cols>
          <w:pgMar w:left="320" w:top="317" w:right="499" w:bottom="1440" w:gutter="0" w:footer="0" w:header="0"/>
          <w:type w:val="continuous"/>
        </w:sect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17" w:right="499" w:bottom="1440" w:gutter="0" w:footer="0" w:header="0"/>
          <w:type w:val="continuous"/>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lowerLetter"/>
      <w:start w:val="2"/>
    </w:lvl>
  </w:abstractNum>
  <w:abstractNum w:abstractNumId="7">
    <w:nsid w:val="75A2A8D4"/>
    <w:multiLevelType w:val="hybridMultilevel"/>
    <w:lvl w:ilvl="0">
      <w:lvlJc w:val="left"/>
      <w:lvlText w:val="(%1)"/>
      <w:numFmt w:val="lowerLetter"/>
      <w:start w:val="3"/>
    </w:lvl>
  </w:abstractNum>
  <w:abstractNum w:abstractNumId="8">
    <w:nsid w:val="8EDBDAB"/>
    <w:multiLevelType w:val="hybridMultilevel"/>
    <w:lvl w:ilvl="0">
      <w:lvlJc w:val="left"/>
      <w:lvlText w:val="(%1)"/>
      <w:numFmt w:val="lowerLetter"/>
      <w:start w:val="4"/>
    </w:lvl>
  </w:abstractNum>
  <w:abstractNum w:abstractNumId="9">
    <w:nsid w:val="79838CB2"/>
    <w:multiLevelType w:val="hybridMultilevel"/>
    <w:lvl w:ilvl="0">
      <w:lvlJc w:val="left"/>
      <w:lvlText w:val="(%1)"/>
      <w:numFmt w:val="lowerLetter"/>
      <w:start w:val="5"/>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lowerLetter"/>
      <w:start w:val="6"/>
    </w:lvl>
  </w:abstractNum>
  <w:abstractNum w:abstractNumId="12">
    <w:nsid w:val="189A769B"/>
    <w:multiLevelType w:val="hybridMultilevel"/>
    <w:lvl w:ilvl="0">
      <w:lvlJc w:val="left"/>
      <w:lvlText w:val="(%1)"/>
      <w:numFmt w:val="lowerLetter"/>
      <w:start w:val="7"/>
    </w:lvl>
  </w:abstractNum>
  <w:abstractNum w:abstractNumId="13">
    <w:nsid w:val="54E49EB4"/>
    <w:multiLevelType w:val="hybridMultilevel"/>
    <w:lvl w:ilvl="0">
      <w:lvlJc w:val="left"/>
      <w:lvlText w:val="(%1)"/>
      <w:numFmt w:val="lowerLetter"/>
      <w:start w:val="8"/>
    </w:lvl>
  </w:abstractNum>
  <w:abstractNum w:abstractNumId="14">
    <w:nsid w:val="71F32454"/>
    <w:multiLevelType w:val="hybridMultilevel"/>
    <w:lvl w:ilvl="0">
      <w:lvlJc w:val="left"/>
      <w:lvlText w:val="%1."/>
      <w:numFmt w:val="decimal"/>
      <w:start w:val="3"/>
    </w:lvl>
    <w:lvl w:ilvl="1">
      <w:lvlJc w:val="left"/>
      <w:lvlText w:val="(%2)"/>
      <w:numFmt w:val="lowerLetter"/>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2"/>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24" Type="http://schemas.openxmlformats.org/officeDocument/2006/relationships/hyperlink" Target="https://www.sec.gov/Archives/edgar/data/1383414/000119312507075646/dex99a.htm" TargetMode="External"/><Relationship Id="rId425" Type="http://schemas.openxmlformats.org/officeDocument/2006/relationships/hyperlink" Target="https://www.sec.gov/Archives/edgar/data/1383414/000156459020024172/pnnt-ex32_163.htm" TargetMode="External"/><Relationship Id="rId426" Type="http://schemas.openxmlformats.org/officeDocument/2006/relationships/hyperlink" Target="https://www.sec.gov/Archives/edgar/data/1383414/000119312508072557/dex99d1.htm" TargetMode="External"/><Relationship Id="rId427" Type="http://schemas.openxmlformats.org/officeDocument/2006/relationships/hyperlink" Target="https://www.sec.gov/Archives/edgar/data/1383414/000095017022014227/pnnt-ex10_1.htm" TargetMode="External"/><Relationship Id="rId428" Type="http://schemas.openxmlformats.org/officeDocument/2006/relationships/hyperlink" Target="https://www.sec.gov/Archives/edgar/data/1383414/000095017022014227/pnnt-ex10_2.htm" TargetMode="External"/><Relationship Id="rId429" Type="http://schemas.openxmlformats.org/officeDocument/2006/relationships/hyperlink" Target="https://www.sec.gov/Archives/edgar/data/1383414/000095017022014227/pnnt-ex10_3.htm" TargetMode="External"/><Relationship Id="rId430" Type="http://schemas.openxmlformats.org/officeDocument/2006/relationships/hyperlink" Target="https://www.sec.gov/Archives/edgar/data/1383414/000095017022014227/pnnt-ex31_1.htm" TargetMode="External"/><Relationship Id="rId431" Type="http://schemas.openxmlformats.org/officeDocument/2006/relationships/hyperlink" Target="https://www.sec.gov/Archives/edgar/data/1383414/000095017022014227/pnnt-ex31_2.htm" TargetMode="External"/><Relationship Id="rId432" Type="http://schemas.openxmlformats.org/officeDocument/2006/relationships/hyperlink" Target="https://www.sec.gov/Archives/edgar/data/1383414/000095017022014227/pnnt-ex32_1.htm" TargetMode="External"/><Relationship Id="rId433" Type="http://schemas.openxmlformats.org/officeDocument/2006/relationships/hyperlink" Target="https://www.sec.gov/Archives/edgar/data/1383414/000095017022014227/pnnt-ex32_2.htm" TargetMode="External"/><Relationship Id="rId434"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2022-11-21T06:02:33Z</dcterms:created>
  <dcterms:modified xsi:type="dcterms:W3CDTF">2022-11-21T06:02:33Z</dcterms:modified>
</cp:coreProperties>
</file>