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08,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0"/>
        <w:spacing w:after="0"/>
        <w:rPr>
          <w:sz w:val="20"/>
          <w:szCs w:val="20"/>
          <w:color w:val="auto"/>
        </w:rPr>
      </w:pPr>
      <w:r>
        <w:rPr>
          <w:rFonts w:ascii="Arial" w:cs="Arial" w:eastAsia="Arial" w:hAnsi="Arial"/>
          <w:sz w:val="22"/>
          <w:szCs w:val="22"/>
          <w:color w:val="auto"/>
        </w:rPr>
        <w:t>On August 8, 2016, PennantPark Investment Corporation issued a press release announcing financial results for the third fiscal quarter ended June 30, 2016. A copy of the press release is furnished as Exhibit 99.1 to this report pursuant to Item 2.02 on Form 8-K and Regulation FD.</w:t>
      </w:r>
    </w:p>
    <w:p>
      <w:pPr>
        <w:spacing w:after="0" w:line="213"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ectPr>
          <w:pgSz w:w="11900" w:h="16884" w:orient="portrait"/>
          <w:cols w:equalWidth="0" w:num="1">
            <w:col w:w="11200"/>
          </w:cols>
          <w:pgMar w:left="320" w:top="828" w:right="379" w:bottom="0" w:gutter="0" w:footer="0" w:header="0"/>
        </w:sectPr>
      </w:pPr>
    </w:p>
    <w:bookmarkStart w:id="1" w:name="page2"/>
    <w:bookmarkEnd w:id="1"/>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August 08,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08, 2016</w:t>
            </w:r>
          </w:p>
        </w:tc>
        <w:tc>
          <w:tcPr>
            <w:tcW w:w="6600" w:type="dxa"/>
            <w:vAlign w:val="bottom"/>
            <w:gridSpan w:val="3"/>
          </w:tcPr>
          <w:p>
            <w:pPr>
              <w:ind w:left="178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40" w:type="dxa"/>
            <w:vAlign w:val="bottom"/>
          </w:tcPr>
          <w:p>
            <w:pPr>
              <w:spacing w:after="0"/>
              <w:rPr>
                <w:sz w:val="24"/>
                <w:szCs w:val="24"/>
                <w:color w:val="auto"/>
              </w:rPr>
            </w:pPr>
          </w:p>
        </w:tc>
        <w:tc>
          <w:tcPr>
            <w:tcW w:w="660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60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60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August 08,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line="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PennantPark Investment Corporation Announces Financial Results for the Quarter Ended June 30, 2016</w:t>
      </w:r>
    </w:p>
    <w:p>
      <w:pPr>
        <w:spacing w:after="0" w:line="213"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NEW YORK, NY -- (Marketwired - August 08, 2016) - PennantPark Investment Corporation (NASDAQ: PNNT) announces financial results for the third fiscal quarter ended June 30, 2016.</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HIGHLIGHTS</w:t>
      </w:r>
    </w:p>
    <w:p>
      <w:pPr>
        <w:spacing w:after="0" w:line="238" w:lineRule="auto"/>
        <w:rPr>
          <w:sz w:val="20"/>
          <w:szCs w:val="20"/>
          <w:color w:val="auto"/>
        </w:rPr>
      </w:pPr>
      <w:r>
        <w:rPr>
          <w:rFonts w:ascii="Courier New" w:cs="Courier New" w:eastAsia="Courier New" w:hAnsi="Courier New"/>
          <w:sz w:val="18"/>
          <w:szCs w:val="18"/>
          <w:color w:val="auto"/>
        </w:rPr>
        <w:t>Quarter ended June 30, 2016</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 and Liabilities:</w:t>
            </w: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1,236.6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635.6</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8.94</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101.1</w:t>
            </w:r>
          </w:p>
        </w:tc>
      </w:tr>
      <w:tr>
        <w:trPr>
          <w:trHeight w:val="202"/>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249.7</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 debentures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193.1</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70.6</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10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11.8%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Results:</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17.8</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Portfolio Activity:</w:t>
            </w: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 repayments of investments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103.1</w:t>
            </w:r>
          </w:p>
        </w:tc>
      </w:tr>
      <w:tr>
        <w:trPr>
          <w:trHeight w:val="405"/>
        </w:trPr>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rPr>
              <w:t>Number of new portfolio companies invested</w:t>
            </w:r>
          </w:p>
        </w:tc>
        <w:tc>
          <w:tcPr>
            <w:tcW w:w="106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existing portfolio companies invested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 portfolio companies at quarter-end</w:t>
            </w:r>
          </w:p>
        </w:tc>
        <w:tc>
          <w:tcPr>
            <w:tcW w:w="1060" w:type="dxa"/>
            <w:vAlign w:val="bottom"/>
          </w:tcPr>
          <w:p>
            <w:pPr>
              <w:spacing w:after="0"/>
              <w:rPr>
                <w:sz w:val="17"/>
                <w:szCs w:val="17"/>
                <w:color w:val="auto"/>
              </w:rPr>
            </w:pP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9, 2016</w:t>
      </w:r>
    </w:p>
    <w:p>
      <w:pPr>
        <w:spacing w:after="0" w:line="212" w:lineRule="exact"/>
        <w:rPr>
          <w:sz w:val="20"/>
          <w:szCs w:val="20"/>
          <w:color w:val="auto"/>
        </w:rPr>
      </w:pPr>
    </w:p>
    <w:p>
      <w:pPr>
        <w:jc w:val="both"/>
        <w:ind w:right="200"/>
        <w:spacing w:after="0" w:line="273" w:lineRule="auto"/>
        <w:rPr>
          <w:sz w:val="20"/>
          <w:szCs w:val="20"/>
          <w:color w:val="auto"/>
        </w:rPr>
      </w:pPr>
      <w:r>
        <w:rPr>
          <w:rFonts w:ascii="Arial" w:cs="Arial" w:eastAsia="Arial" w:hAnsi="Arial"/>
          <w:sz w:val="19"/>
          <w:szCs w:val="19"/>
          <w:color w:val="auto"/>
        </w:rPr>
        <w:t>PennantPark Investment Corporation ("we," "our," "us" or "Company") will host a conference call at 10:00 a.m. (Eastern Time) on Tuesday, August 9, 2016 to discuss its financial results. All interested parties are welcome to participate. You can access the conference call by dialing (888) 240-1009 approximately 5-10 minutes prior to the call. International callers should dial (913)</w:t>
      </w:r>
    </w:p>
    <w:p>
      <w:pPr>
        <w:spacing w:after="0" w:line="1" w:lineRule="exact"/>
        <w:rPr>
          <w:sz w:val="20"/>
          <w:szCs w:val="20"/>
          <w:color w:val="auto"/>
        </w:rPr>
      </w:pPr>
    </w:p>
    <w:p>
      <w:pPr>
        <w:jc w:val="both"/>
        <w:ind w:right="500"/>
        <w:spacing w:after="0" w:line="234" w:lineRule="auto"/>
        <w:rPr>
          <w:sz w:val="20"/>
          <w:szCs w:val="20"/>
          <w:color w:val="auto"/>
        </w:rPr>
      </w:pPr>
      <w:r>
        <w:rPr>
          <w:rFonts w:ascii="Arial" w:cs="Arial" w:eastAsia="Arial" w:hAnsi="Arial"/>
          <w:sz w:val="22"/>
          <w:szCs w:val="22"/>
          <w:color w:val="auto"/>
        </w:rPr>
        <w:t>981-5526. All callers should reference PennantPark Investment Corporation. An archived replay of the call will be available through August 23, 2016 by calling (888) 203-1112. International callers please dial (719) 457-0820. For all phone replays, please reference conference ID #9852824.</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June 30, 2016, our portfolio totaled $1,236.6 million and consisted of $422.0 million of senior secured debt, $508.6 million of second lien secured debt, $175.4 million of subordinated debt and $130.6 million of preferred and common equity. Our debt portfolio consisted of 81% variable-rate investments (including 77% with a London Interbank Offered Rate, or LIBOR, or prime floor) and 19% fixed-rate investments. As of June 30, 2016, we had three companies on non-accrual, representing 3.1% and 1.6% of our overall portfolio on a cost and fair value basis, respectively. Overall, the portfolio had net unrealized depreciation of $123.1 million as of June 30, 2016. Our overall portfolio consisted of 59 companies with an average investment size of $21.0 million, had a weighted average yield on interest bearing debt investments of 11.8% and was invested 34% in senior secured debt, 41% in second lien secured debt, 14% in subordinated debt and 11% in preferred and common equity.</w:t>
      </w:r>
    </w:p>
    <w:p>
      <w:pPr>
        <w:spacing w:after="0" w:line="157"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For the three months ended June 30, 2016, we invested $90.5 million in eight existing portfolio companies with a weighted average yield on debt investments of 12.4%. Sales and repayments of investments for the three months ended June 30, 2016 totaled $103.1 million. For the nine months ended June 30, 2016, we invested $307.3 million in six new and 18 existing portfolio companies with a weighted average yield on debt investments of 11.9%. Sales and repayments of investments for the nine months ended June 30, 2016 totaled $304.1 million.</w:t>
      </w:r>
    </w:p>
    <w:p>
      <w:pPr>
        <w:spacing w:after="0" w:line="187"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For the three months ended June 30, 2015, we invested $113.3 million in three new and nine existing portfolio companies with a weighted average yield on debt investments of 10.8%. Sales and repayments of investments for the three months ended June 30, 2015 totaled $107.0 million. For the nine months ended June 30, 2015, we invested $344.8 million in eight new and 22 existing</w:t>
      </w:r>
    </w:p>
    <w:p>
      <w:pPr>
        <w:sectPr>
          <w:pgSz w:w="11900" w:h="16925" w:orient="portrait"/>
          <w:cols w:equalWidth="0" w:num="1">
            <w:col w:w="11240"/>
          </w:cols>
          <w:pgMar w:left="320" w:top="111" w:right="339" w:bottom="0" w:gutter="0" w:footer="0" w:header="0"/>
        </w:sectPr>
      </w:pPr>
    </w:p>
    <w:bookmarkStart w:id="3" w:name="page4"/>
    <w:bookmarkEnd w:id="3"/>
    <w:p>
      <w:pPr>
        <w:ind w:right="280"/>
        <w:spacing w:after="0" w:line="251" w:lineRule="auto"/>
        <w:rPr>
          <w:sz w:val="20"/>
          <w:szCs w:val="20"/>
          <w:color w:val="auto"/>
        </w:rPr>
      </w:pPr>
      <w:r>
        <w:rPr>
          <w:rFonts w:ascii="Arial" w:cs="Arial" w:eastAsia="Arial" w:hAnsi="Arial"/>
          <w:sz w:val="22"/>
          <w:szCs w:val="22"/>
          <w:color w:val="auto"/>
        </w:rPr>
        <w:t>portfolio companies with a weighted average yield on debt investments of 12.1%. Sales and repayments of investments for the nine months ended June 30, 2015 totaled $289.5 million.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and nine months ended June 30, 2016 and 2015.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Investment income for the three and nine months ended June 30, 2016 was $35.5 million and $109.9 million, respectively, and was attributable to $14.3 million and $46.7 million from senior secured loans, $14.9 million and $46.2 million from second lien secured debt and the remainder from subordinated debt, preferred and common equity, respectively. This compares to investment income for the three and nine months ended June 30, 2015, which was $40.6 million and $122.5 million, respectively, and was attributable to $12.3 million and $42.6 million from senior secured loans, $19.5 million and $54.1 million from second lien secured debt, $7.2 million and $23.5 million from subordinated debt and the remainder from preferred and common equity, respectively. The decrease in investment income compared with the same periods in the prior year was primarily due to a lower yielding portfolio.</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Net expenses for the three and nine months ended June 30, 2016 totaled $17.7 million and $54.5 million, respectively. Base management fee for the same periods totaled $5.2 million (after a base management fee waiver of $1.0 million) and $15.8 million (after a base management fee waiver of $3.0 million), incentive fee totaled $3.4 million (after an incentive fee waiver of $0.6 million) and $10.6 million (after an incentive fee waiver of $2.0 million), debt related interest and expenses totaled $7.0 million and $20.7 million, general and administrative expenses totaled $1.7 million and $5.4 million and provision for taxes totaled $0.4 million and $2.0 million, respectively. This compares to expenses for the three and nine months ended June 30, 2015, which totaled $20.0 million and $60.3 million, respectively. Base management fee for the same periods totaled $6.5 million and $20.1 million, incentive fee totaled $5.2 million and $15.6 million, debt related interest and expenses totaled $6.6 million and $19.7 million and general and administrative expenses totaled $1.7 million and $4.9 million, respectively. The decrease in expenses compared with the same periods in the prior year was primarily due to the Management Fee waiver and lower portfolio size partially offset by a higher provision for taxes.</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Through December 31, 2016, PennantPark Investment Advisers, LLC has voluntarily agreed, in consultation with the board of directors, to waive 16% of both base management and incentive fees, or collectively referred to as the Management Fee, correlated to our 16% energy exposure (oil &amp; gas and energy &amp; utilities industries) at cost as of December 31, 2015. For the three and nine months ended June 30, 2016, the Management Fee waiver was $1.6 million and $5.0 million, or $0.02 and $0.07 per share, respectively. For each the three and nine months ended June 30, 2015, there was no fee waiver.</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Net investment income totaled $17.8 million and $55.5 million, or $0.25 and $0.77 per share, for the three and nine months ended June 30, 2016, respectively. Net investment income totaled $20.7 million and $62.2 million, or $0.28 and $0.83 per share, for the three and nine months ended June 30, 2015, respectively. The decrease in net investment income per share compared to the same periods in the prior year was primarily due to the repayments of higher yielding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ind w:right="540"/>
        <w:spacing w:after="0" w:line="282" w:lineRule="auto"/>
        <w:rPr>
          <w:sz w:val="20"/>
          <w:szCs w:val="20"/>
          <w:color w:val="auto"/>
        </w:rPr>
      </w:pPr>
      <w:r>
        <w:rPr>
          <w:rFonts w:ascii="Arial" w:cs="Arial" w:eastAsia="Arial" w:hAnsi="Arial"/>
          <w:sz w:val="19"/>
          <w:szCs w:val="19"/>
          <w:color w:val="auto"/>
        </w:rPr>
        <w:t>Sales and repayments of investments for the three and nine months ended June 30, 2016 totaled $103.1 million and $304.1 million, respectively, and realized losses totaled $45.5 million and $82.1 million, respectively. Sales and repayments of investments for the three and nine months ended June 30, 2015 totaled $107.0 million and $289.5 million, respectively, and realized gains totaled $13.8 million and $31.9 million, respectively. The increase in realized losses compared with the same periods in the prior year was primarily due to certain portfolio companies sales or restructurings.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For the three and nine months ended June 30, 2016, we reported a net change in unrealized appreciation on investments of $58.0 million and $2.1 million, respectively. For the three and nine months ended June 30, 2015, we reported a net change in unrealized depreciation on investments of $30.2 million and $108.1 million, respectively. As of June 30, 2016 and September 30, 2015, our net unrealized depreciation on investments totaled $123.1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sold or restructured.</w:t>
      </w:r>
    </w:p>
    <w:p>
      <w:pPr>
        <w:spacing w:after="0" w:line="150"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For the three and nine months ended June 30, 2016, we reported a net change in unrealized (appreciation) depreciation on our $545 million multi-currency, senior secured revolving credit facility, as amended and restated, or the Credit Facility, our 4.50% senior notes due 2019, or 2019 Notes, and our 6.25% senior notes due 2025, or 2025 Notes, of $(2.4) million and $15.6 million, respectively. For the three and nine months ended June 30, 2015, we reported a net change in unrealized depreciation on our Credit Facility, 2019Notes and 2025 Notes of $0.6 million and $2.3 million, respectively. The change compared with the same periods in the prior year was primarily due to changes in the capital markets.</w:t>
      </w:r>
    </w:p>
    <w:p>
      <w:pPr>
        <w:sectPr>
          <w:pgSz w:w="11900" w:h="16838" w:orient="portrait"/>
          <w:cols w:equalWidth="0" w:num="1">
            <w:col w:w="11220"/>
          </w:cols>
          <w:pgMar w:left="320" w:top="118" w:right="359" w:bottom="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3" w:lineRule="exact"/>
        <w:rPr>
          <w:sz w:val="20"/>
          <w:szCs w:val="20"/>
          <w:color w:val="auto"/>
        </w:rPr>
      </w:pPr>
    </w:p>
    <w:p>
      <w:pPr>
        <w:jc w:val="both"/>
        <w:ind w:right="40"/>
        <w:spacing w:after="0" w:line="249" w:lineRule="auto"/>
        <w:rPr>
          <w:sz w:val="20"/>
          <w:szCs w:val="20"/>
          <w:color w:val="auto"/>
        </w:rPr>
      </w:pPr>
      <w:r>
        <w:rPr>
          <w:rFonts w:ascii="Arial" w:cs="Arial" w:eastAsia="Arial" w:hAnsi="Arial"/>
          <w:sz w:val="21"/>
          <w:szCs w:val="21"/>
          <w:color w:val="auto"/>
        </w:rPr>
        <w:t>Net change in net assets resulting from operations totaled $27.8 million and $(9.0) million, or $0.39 and $(0.12) per share, for the three and nine months ended June 30, 2016, respectively. This compares to a net change in net assets resulting from operations of $4.9 million and $(11.6) million, or $0.07 and $(0.16) per share, for the three and nine months ended June 30, 2015, respectively. The increase in the net change in net assets from operations compared with the same periods in the prior year reflects the change in portfolio investment values during the reporting periods.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As of June 30, 2016 and September 30, 2015, there was $117.1 million and $136.9 million (including a temporary draw of $30.0 million), respectively, in outstanding borrowings under the Credit Facility. The Credit Facility had a weighted average interest rate at the time of 2.82% and 3.07%, respectively, exclusive of the fee on undrawn commitments. The annualized weighted average cost of debt for the nine months ended June 30, 2016 and 2015, inclusive of the fee on the undrawn commitment of</w:t>
      </w:r>
    </w:p>
    <w:p>
      <w:pPr>
        <w:spacing w:after="0" w:line="3" w:lineRule="exact"/>
        <w:rPr>
          <w:sz w:val="20"/>
          <w:szCs w:val="20"/>
          <w:color w:val="auto"/>
        </w:rPr>
      </w:pPr>
    </w:p>
    <w:p>
      <w:pPr>
        <w:ind w:right="120"/>
        <w:spacing w:after="0" w:line="280" w:lineRule="auto"/>
        <w:rPr>
          <w:sz w:val="20"/>
          <w:szCs w:val="20"/>
          <w:color w:val="auto"/>
        </w:rPr>
      </w:pPr>
      <w:r>
        <w:rPr>
          <w:rFonts w:ascii="Arial" w:cs="Arial" w:eastAsia="Arial" w:hAnsi="Arial"/>
          <w:sz w:val="19"/>
          <w:szCs w:val="19"/>
          <w:color w:val="auto"/>
        </w:rPr>
        <w:t>0.375% on the Credit Facility and upfront fees on SBA debentures, was 4.36% and 4.55%, respectively. The Credit Facility is a five-year revolving facility with a stated maturity date of June 25, 2019, a one-year term-out period following its fourth year and pricing is set at 225 basis points over LIBOR. As of June 30, 2016 and September 30, 2015, we had $427.9 million and $408.1 million of unused borrowing capacity under our Credit Facility, respectively, subject to the regulatory restrictions.</w:t>
      </w:r>
    </w:p>
    <w:p>
      <w:pPr>
        <w:spacing w:after="0" w:line="150" w:lineRule="exact"/>
        <w:rPr>
          <w:sz w:val="20"/>
          <w:szCs w:val="20"/>
          <w:color w:val="auto"/>
        </w:rPr>
      </w:pPr>
    </w:p>
    <w:p>
      <w:pPr>
        <w:ind w:right="40"/>
        <w:spacing w:after="0" w:line="248" w:lineRule="auto"/>
        <w:rPr>
          <w:sz w:val="20"/>
          <w:szCs w:val="20"/>
          <w:color w:val="auto"/>
        </w:rPr>
      </w:pPr>
      <w:r>
        <w:rPr>
          <w:rFonts w:ascii="Arial" w:cs="Arial" w:eastAsia="Arial" w:hAnsi="Arial"/>
          <w:sz w:val="21"/>
          <w:szCs w:val="21"/>
          <w:color w:val="auto"/>
        </w:rPr>
        <w:t>As of June 30, 2016 and September 30, 2015, we had $250.0 million and $71.3 million in aggregate principal amount of 2019 Notes and 2025 Notes, respectively, with a fixed interest rate of 4.50% and 6.25% per year, respectively. As of June 30, 2016 and September 30, 2015, our SBIC Funds had $225.0 million in debt commitments, of which $197.5 million and $150.0 million was drawn, respectively. As of June 30, 2016 and September 30, 2015, the unamortized fees on the SBA debentures was $4.4 million and $3.7 million, respectively. The SBA debentures' upfront fees of 3.43% consist of a commitment fee of 1.00% and an issuance discount of 2.43%, which are being amortized.</w:t>
      </w:r>
    </w:p>
    <w:p>
      <w:pPr>
        <w:spacing w:after="0" w:line="177"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At June 30, 2016 and September 30, 2015, we had cash and cash equivalents at fair value of $37.9 million and $49.6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440"/>
        <w:spacing w:after="0" w:line="257" w:lineRule="auto"/>
        <w:rPr>
          <w:sz w:val="20"/>
          <w:szCs w:val="20"/>
          <w:color w:val="auto"/>
        </w:rPr>
      </w:pPr>
      <w:r>
        <w:rPr>
          <w:rFonts w:ascii="Arial" w:cs="Arial" w:eastAsia="Arial" w:hAnsi="Arial"/>
          <w:sz w:val="21"/>
          <w:szCs w:val="21"/>
          <w:color w:val="auto"/>
        </w:rPr>
        <w:t>Our operating activities provided cash of $34.2 million for the nine months ended June 30, 2016, and our financing activities used cash of $46.0 million for the same period. Our operating activities provided cash from sales and repayments on our investments and our financing activities used cash primarily for our stock repurchase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Our operating activities provided cash of $41.4 million for the nine months ended June 30, 2015, primarily for net purchases of investments. Our financing activities used cash of $24.8 million for the same period, primarily to repay certain amounts under our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REPURCHASE PROGRAM</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program expired on May 6, 2016. During the three and nine months ended June 30, 2016, we repurchased zero and 1.9 million shares of common stock, respectively, in open market transactions for an aggregate cost (including transaction costs) of zero and $12.2 million, respectively. From May 6, 2015 through the program's expiration, we purchased 4.0 million shares of common stock in open market transactions for an aggregate cost (including transaction costs) of $30.1 million.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During the three and nine months ended June 30, 2016, we declared distributions of $0.28 and $0.84 per share, respectively, for total distributions of $19.9 million and $59.9 million, respectively. For the same periods in the prior year, we declared distributions of $0.28 and $0.84 per share, respectively, for total distributions of $20.8 million and $62.8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may be deemed to be a return of capital. Tax characteristics of all distributions will be reported to stockholders on Form 1099-DIV after the end of each calendar year and in our periodic reports filed with the Securities and Exchange Commission, or the SEC.</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 and stockholders may find the report on our website at www.pennantpark.com.</w:t>
      </w:r>
    </w:p>
    <w:p>
      <w:pPr>
        <w:sectPr>
          <w:pgSz w:w="11900" w:h="16838" w:orient="portrait"/>
          <w:cols w:equalWidth="0" w:num="1">
            <w:col w:w="11240"/>
          </w:cols>
          <w:pgMar w:left="320" w:top="112" w:right="339" w:bottom="0" w:gutter="0" w:footer="0" w:header="0"/>
        </w:sectPr>
      </w:pPr>
    </w:p>
    <w:bookmarkStart w:id="5" w:name="page6"/>
    <w:bookmarkEnd w:id="5"/>
    <w:p>
      <w:pPr>
        <w:jc w:val="center"/>
        <w:ind w:right="2219"/>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2219"/>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June 30, 2016</w:t>
            </w:r>
          </w:p>
        </w:tc>
        <w:tc>
          <w:tcPr>
            <w:tcW w:w="160" w:type="dxa"/>
            <w:vAlign w:val="bottom"/>
          </w:tcPr>
          <w:p>
            <w:pPr>
              <w:spacing w:after="0"/>
              <w:rPr>
                <w:sz w:val="17"/>
                <w:szCs w:val="17"/>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(cost--$916,933,385 and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$1,138,155,969, respectively)</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904,615,102</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$ 1,096,719,079</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(cost--$261,810,939 and $133,693,295,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208,959,772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95,503,104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(cost--$180,718,378 and $152,387,898,</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123,006,217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106,825,650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$1,359,462,702 and $1,424,237,162,</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1,236,581,091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1,299,047,833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$38,106,415 and $49,637,415,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37,872,854</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49,619,256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7,396,797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7,590,197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3,564,680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8,790,944</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1,285,415,422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1,365,048,230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19,897,034</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20,430,492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3,591,177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Credit Facility payable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$117,143,923 and $136,864,300,</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101,067,312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132,356,860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(par--$250,000,000)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249,675,000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253,102,500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(par--$197,500,000</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$150,000,000, 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193,073,622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146,269,957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(par--$71,250,000)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70,566,000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71,136,000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 payable, net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5,200,087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6,602,029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3,393,005</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5,007,792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6,377,581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7,638,514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611,269</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2,322,367</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649,860,910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648,457,688</w:t>
            </w:r>
          </w:p>
        </w:tc>
      </w:tr>
      <w:tr>
        <w:trPr>
          <w:trHeight w:val="202"/>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71,060,836 and 72,966,043</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71,061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72,966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822,532,643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834,711,229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(17,850,376)</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(13,424,886)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(63,173,143)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18,919,305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investments</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(123,111,284)</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(125,207,012)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17,085,611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1,518,940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635,554,512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716,590,542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$ 1,285,415,422</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$ 1,365,048,230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w:t>
            </w:r>
          </w:p>
        </w:tc>
      </w:tr>
      <w:tr>
        <w:trPr>
          <w:trHeight w:val="202"/>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219"/>
        <w:spacing w:after="0" w:line="236" w:lineRule="auto"/>
        <w:rPr>
          <w:sz w:val="20"/>
          <w:szCs w:val="20"/>
          <w:color w:val="auto"/>
        </w:rPr>
      </w:pPr>
      <w:r>
        <w:rPr>
          <w:rFonts w:ascii="Courier New" w:cs="Courier New" w:eastAsia="Courier New" w:hAnsi="Courier New"/>
          <w:sz w:val="18"/>
          <w:szCs w:val="18"/>
          <w:color w:val="auto"/>
        </w:rPr>
        <w:t>PENNANTPARK INVESTMENT CORPORATION AND SUBSIDIARIES CONSOLIDATED STATEMENTS OF OPERATIONS (Unaudited)</w:t>
      </w:r>
    </w:p>
    <w:p>
      <w:pPr>
        <w:sectPr>
          <w:pgSz w:w="11900" w:h="16838" w:orient="portrait"/>
          <w:cols w:equalWidth="0" w:num="1">
            <w:col w:w="10139"/>
          </w:cols>
          <w:pgMar w:left="320" w:top="541" w:right="1440" w:bottom="0" w:gutter="0" w:footer="0" w:header="0"/>
        </w:sectPr>
      </w:pPr>
    </w:p>
    <w:p>
      <w:pPr>
        <w:spacing w:after="0" w:line="203"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8"/>
          <w:szCs w:val="18"/>
          <w:color w:val="auto"/>
        </w:rPr>
        <w:t>Three Months Ended</w:t>
      </w:r>
    </w:p>
    <w:p>
      <w:pPr>
        <w:jc w:val="center"/>
        <w:ind w:left="2120"/>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left="2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2540"/>
        <w:spacing w:after="0"/>
        <w:tabs>
          <w:tab w:leader="none" w:pos="1020" w:val="left"/>
        </w:tabs>
        <w:rPr>
          <w:sz w:val="20"/>
          <w:szCs w:val="20"/>
          <w:color w:val="auto"/>
        </w:rPr>
      </w:pPr>
      <w:r>
        <w:rPr>
          <w:rFonts w:ascii="Courier New" w:cs="Courier New" w:eastAsia="Courier New" w:hAnsi="Courier New"/>
          <w:sz w:val="18"/>
          <w:szCs w:val="18"/>
          <w:color w:val="auto"/>
        </w:rPr>
        <w:t>2016</w:t>
      </w:r>
      <w:r>
        <w:rPr>
          <w:sz w:val="20"/>
          <w:szCs w:val="20"/>
          <w:color w:val="auto"/>
        </w:rPr>
        <w:tab/>
      </w:r>
      <w:r>
        <w:rPr>
          <w:rFonts w:ascii="Courier New" w:cs="Courier New" w:eastAsia="Courier New" w:hAnsi="Courier New"/>
          <w:sz w:val="18"/>
          <w:szCs w:val="18"/>
          <w:color w:val="auto"/>
        </w:rPr>
        <w:t>2015</w:t>
      </w:r>
    </w:p>
    <w:p>
      <w:pPr>
        <w:jc w:val="center"/>
        <w:ind w:left="2120"/>
        <w:spacing w:after="0" w:line="238" w:lineRule="auto"/>
        <w:tabs>
          <w:tab w:leader="none" w:pos="180" w:val="left"/>
        </w:tabs>
        <w:rPr>
          <w:sz w:val="20"/>
          <w:szCs w:val="20"/>
          <w:color w:val="auto"/>
        </w:rPr>
      </w:pPr>
      <w:r>
        <w:rPr>
          <w:rFonts w:ascii="Courier New" w:cs="Courier New" w:eastAsia="Courier New" w:hAnsi="Courier New"/>
          <w:sz w:val="18"/>
          <w:szCs w:val="18"/>
          <w:color w:val="auto"/>
        </w:rPr>
        <w:t>------------</w:t>
        <w:tab/>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8"/>
          <w:szCs w:val="18"/>
          <w:color w:val="auto"/>
        </w:rPr>
        <w:t>Nine Months Ended</w:t>
      </w:r>
    </w:p>
    <w:p>
      <w:pPr>
        <w:jc w:val="center"/>
        <w:ind w:right="2139"/>
        <w:spacing w:after="0" w:line="238" w:lineRule="auto"/>
        <w:rPr>
          <w:sz w:val="20"/>
          <w:szCs w:val="20"/>
          <w:color w:val="auto"/>
        </w:rPr>
      </w:pPr>
      <w:r>
        <w:rPr>
          <w:rFonts w:ascii="Courier New" w:cs="Courier New" w:eastAsia="Courier New" w:hAnsi="Courier New"/>
          <w:sz w:val="18"/>
          <w:szCs w:val="18"/>
          <w:color w:val="auto"/>
        </w:rPr>
        <w:t>June 30,</w:t>
      </w:r>
    </w:p>
    <w:p>
      <w:pPr>
        <w:spacing w:after="0" w:line="5"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819"/>
        <w:spacing w:after="0"/>
        <w:tabs>
          <w:tab w:leader="none" w:pos="1140" w:val="left"/>
        </w:tabs>
        <w:rPr>
          <w:sz w:val="20"/>
          <w:szCs w:val="20"/>
          <w:color w:val="auto"/>
        </w:rPr>
      </w:pPr>
      <w:r>
        <w:rPr>
          <w:rFonts w:ascii="Courier New" w:cs="Courier New" w:eastAsia="Courier New" w:hAnsi="Courier New"/>
          <w:sz w:val="18"/>
          <w:szCs w:val="18"/>
          <w:color w:val="auto"/>
        </w:rPr>
        <w:t>2016</w:t>
      </w:r>
      <w:r>
        <w:rPr>
          <w:sz w:val="20"/>
          <w:szCs w:val="20"/>
          <w:color w:val="auto"/>
        </w:rPr>
        <w:tab/>
      </w:r>
      <w:r>
        <w:rPr>
          <w:rFonts w:ascii="Courier New" w:cs="Courier New" w:eastAsia="Courier New" w:hAnsi="Courier New"/>
          <w:sz w:val="18"/>
          <w:szCs w:val="18"/>
          <w:color w:val="auto"/>
        </w:rPr>
        <w:t>2015</w:t>
      </w:r>
    </w:p>
    <w:p>
      <w:pPr>
        <w:jc w:val="center"/>
        <w:ind w:right="2239"/>
        <w:spacing w:after="0" w:line="238" w:lineRule="auto"/>
        <w:tabs>
          <w:tab w:leader="none" w:pos="200" w:val="left"/>
        </w:tabs>
        <w:rPr>
          <w:sz w:val="20"/>
          <w:szCs w:val="20"/>
          <w:color w:val="auto"/>
        </w:rPr>
      </w:pPr>
      <w:r>
        <w:rPr>
          <w:rFonts w:ascii="Courier New" w:cs="Courier New" w:eastAsia="Courier New" w:hAnsi="Courier New"/>
          <w:sz w:val="18"/>
          <w:szCs w:val="18"/>
          <w:color w:val="auto"/>
        </w:rPr>
        <w:t>------------</w:t>
        <w:tab/>
        <w:t>-------------</w:t>
      </w:r>
    </w:p>
    <w:p>
      <w:pPr>
        <w:sectPr>
          <w:pgSz w:w="11900" w:h="16838" w:orient="portrait"/>
          <w:cols w:equalWidth="0" w:num="2">
            <w:col w:w="4860" w:space="200"/>
            <w:col w:w="5079"/>
          </w:cols>
          <w:pgMar w:left="320" w:top="541" w:right="1440"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Investment income: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 non-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$ 26,432,244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$ 31,722,226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$ 81,300,064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$ 101,811,852</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2,151,427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3,138,382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9,679,096</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9,535,685</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3,458,232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4,263,709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8,956,381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7,000,896</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61,094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159,437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80,521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159,437</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3,436,797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1,357,778</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9,895,449</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3,998,887</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investment</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35,539,794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40,641,532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109,911,511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122,506,757</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Base management</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6,190,579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6,497,136</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18,811,434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20,093,624</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Performance-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based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incentive fee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4,039,292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5,163,582</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12,607,547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15,556,767</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 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7,005,077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6,616,779</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20,674,327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19,699,606</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services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898,167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855,313</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2,666,167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2,562,033</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Other general</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899,508</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854,397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2,721,700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2,367,661</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Expenses before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management fee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waiver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19,032,623</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19,987,207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57,481,175</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60,279,691</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Management Fee</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waiver</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(1,636,779)</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(5,027,041)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Provision for</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taxes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350,000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expenses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17,745,844</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19,987,207</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54,454,134</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60,279,691</w:t>
            </w:r>
          </w:p>
        </w:tc>
      </w:tr>
      <w:tr>
        <w:trPr>
          <w:trHeight w:val="202"/>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17,793,950</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20,654,325</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55,457,377</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62,227,066</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realized (loss)</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(45,507,467)</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13,820,350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(82,092,448)</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31,936,928</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appreciation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(depreciation) 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Non-controlled,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non-affiliated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50,184,115</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(24,919,481)</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27,230,048</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(102,855,290)</w:t>
            </w:r>
          </w:p>
        </w:tc>
      </w:tr>
      <w:tr>
        <w:trPr>
          <w:trHeight w:val="202"/>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Controlled and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controlled,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affiliated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investments</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7,770,408</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(5,260,674)</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(25,134,320)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(5,258,057)</w:t>
            </w:r>
          </w:p>
        </w:tc>
      </w:tr>
      <w:tr>
        <w:trPr>
          <w:trHeight w:val="203"/>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Debt</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(appreciation)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(2,408,132)</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641,430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15,566,671</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2,318,310</w:t>
            </w:r>
          </w:p>
        </w:tc>
      </w:tr>
      <w:tr>
        <w:trPr>
          <w:trHeight w:val="203"/>
        </w:trPr>
        <w:tc>
          <w:tcPr>
            <w:tcW w:w="20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2"/>
        </w:trPr>
        <w:tc>
          <w:tcPr>
            <w:tcW w:w="2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change in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unrealized</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appreciation</w:t>
            </w:r>
          </w:p>
        </w:tc>
        <w:tc>
          <w:tcPr>
            <w:tcW w:w="1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40" w:type="dxa"/>
            <w:vAlign w:val="bottom"/>
          </w:tcPr>
          <w:p>
            <w:pPr>
              <w:spacing w:after="0"/>
              <w:rPr>
                <w:sz w:val="17"/>
                <w:szCs w:val="17"/>
                <w:color w:val="auto"/>
              </w:rPr>
            </w:pPr>
          </w:p>
        </w:tc>
      </w:tr>
    </w:tbl>
    <w:p>
      <w:pPr>
        <w:sectPr>
          <w:pgSz w:w="11900" w:h="16838" w:orient="portrait"/>
          <w:cols w:equalWidth="0" w:num="1">
            <w:col w:w="10139"/>
          </w:cols>
          <w:pgMar w:left="320" w:top="136"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ind w:left="540"/>
              <w:spacing w:after="0"/>
              <w:rPr>
                <w:sz w:val="20"/>
                <w:szCs w:val="20"/>
                <w:color w:val="auto"/>
              </w:rPr>
            </w:pPr>
            <w:r>
              <w:rPr>
                <w:rFonts w:ascii="Courier New" w:cs="Courier New" w:eastAsia="Courier New" w:hAnsi="Courier New"/>
                <w:sz w:val="18"/>
                <w:szCs w:val="18"/>
                <w:color w:val="auto"/>
                <w:w w:val="99"/>
              </w:rPr>
              <w:t>(depreciation)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on investments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debt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55,546,391</w:t>
            </w: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(29,538,725)</w:t>
            </w:r>
          </w:p>
        </w:tc>
        <w:tc>
          <w:tcPr>
            <w:tcW w:w="16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17,662,399</w:t>
            </w:r>
          </w:p>
        </w:tc>
        <w:tc>
          <w:tcPr>
            <w:tcW w:w="1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(105,795,037)</w:t>
            </w:r>
          </w:p>
        </w:tc>
      </w:tr>
      <w:tr>
        <w:trPr>
          <w:trHeight w:val="203"/>
        </w:trPr>
        <w:tc>
          <w:tcPr>
            <w:tcW w:w="20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unrealized gain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from</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debt</w:t>
            </w:r>
          </w:p>
        </w:tc>
        <w:tc>
          <w:tcPr>
            <w:tcW w:w="22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10,038,924</w:t>
            </w:r>
          </w:p>
        </w:tc>
        <w:tc>
          <w:tcPr>
            <w:tcW w:w="2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(15,718,375)</w:t>
            </w:r>
          </w:p>
        </w:tc>
        <w:tc>
          <w:tcPr>
            <w:tcW w:w="1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(64,430,049)</w:t>
            </w:r>
          </w:p>
        </w:tc>
        <w:tc>
          <w:tcPr>
            <w:tcW w:w="16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(73,858,109)</w:t>
            </w:r>
          </w:p>
        </w:tc>
      </w:tr>
      <w:tr>
        <w:trPr>
          <w:trHeight w:val="203"/>
        </w:trPr>
        <w:tc>
          <w:tcPr>
            <w:tcW w:w="20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2"/>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$ 27,832,874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4,935,950</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(8,972,672)</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(11,631,043)</w:t>
            </w:r>
          </w:p>
        </w:tc>
      </w:tr>
      <w:tr>
        <w:trPr>
          <w:trHeight w:val="203"/>
        </w:trPr>
        <w:tc>
          <w:tcPr>
            <w:tcW w:w="20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(decrease) in net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operations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0.39</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0.07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(0.16)</w:t>
            </w:r>
          </w:p>
        </w:tc>
      </w:tr>
      <w:tr>
        <w:trPr>
          <w:trHeight w:val="203"/>
        </w:trPr>
        <w:tc>
          <w:tcPr>
            <w:tcW w:w="20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per common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0.77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0.83</w:t>
            </w:r>
          </w:p>
        </w:tc>
      </w:tr>
      <w:tr>
        <w:trPr>
          <w:trHeight w:val="203"/>
        </w:trPr>
        <w:tc>
          <w:tcPr>
            <w:tcW w:w="206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20"/>
      </w:cols>
      <w:pgMar w:left="320" w:top="13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2020-05-05T15:07:32Z</dcterms:created>
  <dcterms:modified xsi:type="dcterms:W3CDTF">2020-05-05T15:07:32Z</dcterms:modified>
</cp:coreProperties>
</file>