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708062104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division of UBS AG (see Item 7)</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98-0186363</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rPr>
              <w:t>725,570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1,049,055</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1,049,055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399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4.98%</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5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Reporting Person disclaims beneficial ownership of such securities pursuant to Rule 13d-4 under the Securities Exchange Act of 1934. In accordance</w:t>
      </w:r>
    </w:p>
    <w:p>
      <w:pPr>
        <w:spacing w:after="0" w:line="6" w:lineRule="exact"/>
        <w:rPr>
          <w:rFonts w:ascii="Courier New" w:cs="Courier New" w:eastAsia="Courier New" w:hAnsi="Courier New"/>
          <w:sz w:val="16"/>
          <w:szCs w:val="16"/>
          <w:color w:val="auto"/>
        </w:rPr>
      </w:pPr>
    </w:p>
    <w:p>
      <w:pPr>
        <w:ind w:right="45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 SEC Release No. 34-39538 (January 12, 1998), this filing reflects the securities beneficially owned</w:t>
      </w:r>
    </w:p>
    <w:p>
      <w:pPr>
        <w:ind w:right="46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the UBS Global Asset Management division of UBS AG and its subsidiaries and affiliates on behalf of its clients. This filing does not reflect securities,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any, beneficially owned by any other division of UBS AG.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1(a).  Name of Issuer:</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PENNANTPARK INVESTMENT CORP</w:t>
      </w:r>
    </w:p>
    <w:p>
      <w:pPr>
        <w:spacing w:after="0" w:line="20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590 Madison Avenue</w:t>
      </w:r>
    </w:p>
    <w:p>
      <w:pPr>
        <w:spacing w:after="0" w:line="238" w:lineRule="auto"/>
        <w:rPr>
          <w:sz w:val="20"/>
          <w:szCs w:val="20"/>
          <w:color w:val="auto"/>
        </w:rPr>
      </w:pPr>
      <w:r>
        <w:rPr>
          <w:rFonts w:ascii="Courier New" w:cs="Courier New" w:eastAsia="Courier New" w:hAnsi="Courier New"/>
          <w:sz w:val="18"/>
          <w:szCs w:val="18"/>
          <w:color w:val="auto"/>
        </w:rPr>
        <w:t>15th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708062104</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w:t>
      </w:r>
    </w:p>
    <w:p>
      <w:pPr>
        <w:spacing w:after="0" w:line="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Incorporated by reference to Items 5-11 of the cover pages.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Accounts managed on a discretionary basis by the UBS Global Asset Management division of UBS AG (UBS Global AM)</w:t>
      </w:r>
    </w:p>
    <w:p>
      <w:pPr>
        <w:ind w:right="3899"/>
        <w:spacing w:after="0" w:line="268" w:lineRule="auto"/>
        <w:rPr>
          <w:sz w:val="20"/>
          <w:szCs w:val="20"/>
          <w:color w:val="auto"/>
        </w:rPr>
      </w:pPr>
      <w:r>
        <w:rPr>
          <w:rFonts w:ascii="Courier New" w:cs="Courier New" w:eastAsia="Courier New" w:hAnsi="Courier New"/>
          <w:sz w:val="16"/>
          <w:szCs w:val="16"/>
          <w:color w:val="auto"/>
        </w:rPr>
        <w:t>have the right to receive or the power to direct the receipt of dividends from, or the proceeds from the sale of, the Common Stock. To the best of our knowledge, no account holds more than 5 percent of the outstanding Common Stock.</w:t>
      </w:r>
    </w:p>
    <w:p>
      <w:pPr>
        <w:ind w:left="220" w:hanging="212"/>
        <w:spacing w:after="0" w:line="234"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division included in this filing:</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UBS Global Asset Management (Americas) Inc., UBS Global Asset Management Trust Company, UBS Global Asset Management (Canada) Inc., UBS Global Asset Management (Australia) Ltd., UBS Global Asset Management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None of the reporting persons affirm the existence of a group within the meaning of Rule 13d-5(b)(1).</w:t>
      </w:r>
    </w:p>
    <w:p>
      <w:pPr>
        <w:spacing w:after="0" w:line="209"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 Not Applicable</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spacing w:after="0" w:line="4" w:lineRule="exact"/>
        <w:rPr>
          <w:rFonts w:ascii="Courier New" w:cs="Courier New" w:eastAsia="Courier New" w:hAnsi="Courier New"/>
          <w:sz w:val="18"/>
          <w:szCs w:val="18"/>
          <w:color w:val="auto"/>
        </w:rPr>
      </w:pPr>
    </w:p>
    <w:p>
      <w:pPr>
        <w:ind w:right="3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6,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Mark F. Kemper</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Mark F. Kemper</w:t>
      </w:r>
    </w:p>
    <w:p>
      <w:pPr>
        <w:ind w:left="8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3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Calhoun</w:t>
      </w:r>
    </w:p>
    <w:p>
      <w:pPr>
        <w:ind w:left="860"/>
        <w:spacing w:after="0" w:line="238" w:lineRule="auto"/>
        <w:rPr>
          <w:sz w:val="20"/>
          <w:szCs w:val="20"/>
          <w:color w:val="auto"/>
        </w:rPr>
      </w:pPr>
      <w:r>
        <w:rPr>
          <w:rFonts w:ascii="Courier New" w:cs="Courier New" w:eastAsia="Courier New" w:hAnsi="Courier New"/>
          <w:sz w:val="18"/>
          <w:szCs w:val="18"/>
          <w:color w:val="auto"/>
        </w:rPr>
        <w:t>Michael J. Calhoun</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3"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00" w:lineRule="exact"/>
        <w:rPr>
          <w:sz w:val="20"/>
          <w:szCs w:val="20"/>
          <w:color w:val="auto"/>
        </w:rPr>
      </w:pPr>
    </w:p>
    <w:p>
      <w:pPr>
        <w:sectPr>
          <w:pgSz w:w="11900" w:h="16838" w:orient="portrait"/>
          <w:cols w:equalWidth="0" w:num="2">
            <w:col w:w="1820" w:space="720"/>
            <w:col w:w="767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October 28, 2008</w:t>
      </w:r>
    </w:p>
    <w:p>
      <w:pPr>
        <w:spacing w:after="0" w:line="200" w:lineRule="exact"/>
        <w:rPr>
          <w:sz w:val="20"/>
          <w:szCs w:val="20"/>
          <w:color w:val="auto"/>
        </w:rPr>
      </w:pPr>
    </w:p>
    <w:p>
      <w:pPr>
        <w:sectPr>
          <w:pgSz w:w="11900" w:h="16838" w:orient="portrait"/>
          <w:cols w:equalWidth="0" w:num="2">
            <w:col w:w="1820" w:space="720"/>
            <w:col w:w="7679"/>
          </w:cols>
          <w:pgMar w:left="240" w:top="136"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Each of the following employees of UBS Global Asset Management (Americas) Inc. is hereby appointed as agent and attorney-in-fact with power and authority to</w:t>
      </w:r>
    </w:p>
    <w:p>
      <w:pPr>
        <w:spacing w:after="0" w:line="1"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sign US Regulatory Filings on behalf of UBS AG, required as a result of the operations of the UBS Global Asset Management division: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F. Kemper</w:t>
      </w:r>
    </w:p>
    <w:p>
      <w:pPr>
        <w:spacing w:after="0" w:line="238" w:lineRule="auto"/>
        <w:rPr>
          <w:sz w:val="20"/>
          <w:szCs w:val="20"/>
          <w:color w:val="auto"/>
        </w:rPr>
      </w:pPr>
      <w:r>
        <w:rPr>
          <w:rFonts w:ascii="Courier New" w:cs="Courier New" w:eastAsia="Courier New" w:hAnsi="Courier New"/>
          <w:sz w:val="18"/>
          <w:szCs w:val="18"/>
          <w:color w:val="auto"/>
        </w:rPr>
        <w:t>Joseph McGill</w:t>
      </w:r>
    </w:p>
    <w:p>
      <w:pPr>
        <w:spacing w:after="0"/>
        <w:rPr>
          <w:sz w:val="20"/>
          <w:szCs w:val="20"/>
          <w:color w:val="auto"/>
        </w:rPr>
      </w:pPr>
      <w:r>
        <w:rPr>
          <w:rFonts w:ascii="Courier New" w:cs="Courier New" w:eastAsia="Courier New" w:hAnsi="Courier New"/>
          <w:sz w:val="18"/>
          <w:szCs w:val="18"/>
          <w:color w:val="auto"/>
        </w:rPr>
        <w:t>John Moore</w:t>
      </w:r>
    </w:p>
    <w:p>
      <w:pPr>
        <w:spacing w:after="0" w:line="237" w:lineRule="auto"/>
        <w:rPr>
          <w:sz w:val="20"/>
          <w:szCs w:val="20"/>
          <w:color w:val="auto"/>
        </w:rPr>
      </w:pPr>
      <w:r>
        <w:rPr>
          <w:rFonts w:ascii="Courier New" w:cs="Courier New" w:eastAsia="Courier New" w:hAnsi="Courier New"/>
          <w:sz w:val="18"/>
          <w:szCs w:val="18"/>
          <w:color w:val="auto"/>
        </w:rPr>
        <w:t>Michael J. Calhoun</w:t>
      </w:r>
    </w:p>
    <w:p>
      <w:pPr>
        <w:spacing w:after="0" w:line="238" w:lineRule="auto"/>
        <w:rPr>
          <w:sz w:val="20"/>
          <w:szCs w:val="20"/>
          <w:color w:val="auto"/>
        </w:rPr>
      </w:pPr>
      <w:r>
        <w:rPr>
          <w:rFonts w:ascii="Courier New" w:cs="Courier New" w:eastAsia="Courier New" w:hAnsi="Courier New"/>
          <w:sz w:val="18"/>
          <w:szCs w:val="18"/>
          <w:color w:val="auto"/>
        </w:rPr>
        <w:t>Mary T. Capasso</w:t>
      </w:r>
    </w:p>
    <w:p>
      <w:pPr>
        <w:spacing w:after="0"/>
        <w:rPr>
          <w:sz w:val="20"/>
          <w:szCs w:val="20"/>
          <w:color w:val="auto"/>
        </w:rPr>
      </w:pPr>
      <w:r>
        <w:rPr>
          <w:rFonts w:ascii="Courier New" w:cs="Courier New" w:eastAsia="Courier New" w:hAnsi="Courier New"/>
          <w:sz w:val="18"/>
          <w:szCs w:val="18"/>
          <w:color w:val="auto"/>
        </w:rPr>
        <w:t>Trevor Chambers</w:t>
      </w:r>
    </w:p>
    <w:p>
      <w:pPr>
        <w:spacing w:after="0" w:line="20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This Power of Attorney is limited to the circumstances set forth herein and may be revoked, in whole or in part, at any time. If a person identified above ceases to perform services for UBS Global Asset Management for any reason, this Power of Attorney shall be automatically revoked with respect to that person. Nothing in this Power of Attorney is intended to limit the authority of any other persons to sign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relating to the subject matter 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extent permitted by UBS Group Policy or otherwise.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As of October 28, 2008</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Mario Cueni</w:t>
      </w:r>
    </w:p>
    <w:p>
      <w:pPr>
        <w:spacing w:after="0" w:line="238" w:lineRule="auto"/>
        <w:rPr>
          <w:sz w:val="20"/>
          <w:szCs w:val="20"/>
          <w:color w:val="auto"/>
        </w:rPr>
      </w:pPr>
      <w:r>
        <w:rPr>
          <w:rFonts w:ascii="Courier New" w:cs="Courier New" w:eastAsia="Courier New" w:hAnsi="Courier New"/>
          <w:sz w:val="18"/>
          <w:szCs w:val="18"/>
          <w:color w:val="auto"/>
        </w:rPr>
        <w:t>Mario Cueni</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General Counsel &amp; Chief Risk Officer</w:t>
      </w:r>
    </w:p>
    <w:p>
      <w:pPr>
        <w:spacing w:after="0" w:line="238" w:lineRule="auto"/>
        <w:rPr>
          <w:sz w:val="20"/>
          <w:szCs w:val="20"/>
          <w:color w:val="auto"/>
        </w:rPr>
      </w:pPr>
      <w:r>
        <w:rPr>
          <w:rFonts w:ascii="Courier New" w:cs="Courier New" w:eastAsia="Courier New" w:hAnsi="Courier New"/>
          <w:sz w:val="18"/>
          <w:szCs w:val="18"/>
          <w:color w:val="auto"/>
        </w:rPr>
        <w:t>Member of the Group Managing Board</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Kai R. Sotorp</w:t>
      </w:r>
    </w:p>
    <w:p>
      <w:pPr>
        <w:spacing w:after="0" w:line="238" w:lineRule="auto"/>
        <w:rPr>
          <w:sz w:val="20"/>
          <w:szCs w:val="20"/>
          <w:color w:val="auto"/>
        </w:rPr>
      </w:pPr>
      <w:r>
        <w:rPr>
          <w:rFonts w:ascii="Courier New" w:cs="Courier New" w:eastAsia="Courier New" w:hAnsi="Courier New"/>
          <w:sz w:val="18"/>
          <w:szCs w:val="18"/>
          <w:color w:val="auto"/>
        </w:rPr>
        <w:t>Kai R. Sotorp</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Head of Americas Member of the Group Managing Board</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a"/>
      <w:numFmt w:val="bullet"/>
      <w:start w:val="1"/>
    </w:lvl>
  </w:abstractNum>
  <w:abstractNum w:abstractNumId="6">
    <w:nsid w:val="3352255A"/>
    <w:multiLevelType w:val="hybridMultilevel"/>
    <w:lvl w:ilvl="0">
      <w:lvlJc w:val="left"/>
      <w:lvlText w:val="b"/>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2019-12-11T02:57:44Z</dcterms:created>
  <dcterms:modified xsi:type="dcterms:W3CDTF">2019-12-11T02:57:44Z</dcterms:modified>
</cp:coreProperties>
</file>