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1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SEPTEMBER 30, 2016</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8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ind w:left="3140"/>
              <w:spacing w:after="0"/>
              <w:rPr>
                <w:sz w:val="20"/>
                <w:szCs w:val="20"/>
                <w:color w:val="auto"/>
              </w:rPr>
            </w:pPr>
            <w:r>
              <w:rPr>
                <w:rFonts w:ascii="Arial" w:cs="Arial" w:eastAsia="Arial" w:hAnsi="Arial"/>
                <w:sz w:val="14"/>
                <w:szCs w:val="14"/>
                <w:b w:val="1"/>
                <w:bCs w:val="1"/>
                <w:color w:val="auto"/>
              </w:rPr>
              <w:t>FOR THE TRANSITION PERIOD FROM</w:t>
            </w:r>
          </w:p>
        </w:tc>
        <w:tc>
          <w:tcPr>
            <w:tcW w:w="440" w:type="dxa"/>
            <w:vAlign w:val="bottom"/>
            <w:tcBorders>
              <w:bottom w:val="single" w:sz="8" w:color="auto"/>
            </w:tcBorders>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05"/>
        </w:trPr>
        <w:tc>
          <w:tcPr>
            <w:tcW w:w="6900" w:type="dxa"/>
            <w:vAlign w:val="bottom"/>
            <w:gridSpan w:val="4"/>
          </w:tcPr>
          <w:p>
            <w:pPr>
              <w:jc w:val="center"/>
              <w:ind w:left="3146"/>
              <w:spacing w:after="0"/>
              <w:rPr>
                <w:sz w:val="20"/>
                <w:szCs w:val="20"/>
                <w:color w:val="auto"/>
              </w:rPr>
            </w:pPr>
            <w:r>
              <w:rPr>
                <w:rFonts w:ascii="Arial" w:cs="Arial" w:eastAsia="Arial" w:hAnsi="Arial"/>
                <w:sz w:val="14"/>
                <w:szCs w:val="14"/>
                <w:b w:val="1"/>
                <w:bCs w:val="1"/>
                <w:color w:val="auto"/>
              </w:rPr>
              <w:t>COMMISSION FILE NUMBER: 814-00736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62"/>
        </w:trPr>
        <w:tc>
          <w:tcPr>
            <w:tcW w:w="9180" w:type="dxa"/>
            <w:vAlign w:val="bottom"/>
            <w:gridSpan w:val="7"/>
          </w:tcPr>
          <w:p>
            <w:pPr>
              <w:jc w:val="center"/>
              <w:ind w:left="866"/>
              <w:spacing w:after="0"/>
              <w:rPr>
                <w:sz w:val="20"/>
                <w:szCs w:val="20"/>
                <w:color w:val="auto"/>
              </w:rPr>
            </w:pPr>
            <w:r>
              <w:rPr>
                <w:rFonts w:ascii="Arial" w:cs="Arial" w:eastAsia="Arial" w:hAnsi="Arial"/>
                <w:sz w:val="31"/>
                <w:szCs w:val="31"/>
                <w:b w:val="1"/>
                <w:bCs w:val="1"/>
                <w:color w:val="auto"/>
                <w:w w:val="99"/>
              </w:rPr>
              <w:t>PENNANTPARK INVESTMENT CORPORATION</w:t>
            </w:r>
          </w:p>
        </w:tc>
      </w:tr>
      <w:tr>
        <w:trPr>
          <w:trHeight w:val="186"/>
        </w:trPr>
        <w:tc>
          <w:tcPr>
            <w:tcW w:w="6900" w:type="dxa"/>
            <w:vAlign w:val="bottom"/>
            <w:gridSpan w:val="4"/>
          </w:tcPr>
          <w:p>
            <w:pPr>
              <w:jc w:val="center"/>
              <w:ind w:left="31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74"/>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rPr>
              <w:t>MARYLAND</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tcPr>
          <w:p>
            <w:pPr>
              <w:jc w:val="right"/>
              <w:ind w:right="811"/>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5840" w:type="dxa"/>
            <w:vAlign w:val="bottom"/>
          </w:tcPr>
          <w:p>
            <w:pPr>
              <w:jc w:val="center"/>
              <w:ind w:right="1186"/>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2"/>
          </w:tcPr>
          <w:p>
            <w:pPr>
              <w:jc w:val="center"/>
              <w:ind w:right="191"/>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348"/>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w w:val="92"/>
              </w:rPr>
              <w:t>590 Madison Avenue,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7"/>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w w:val="97"/>
              </w:rPr>
              <w:t>15</w:t>
            </w:r>
            <w:r>
              <w:rPr>
                <w:rFonts w:ascii="Arial" w:cs="Arial" w:eastAsia="Arial" w:hAnsi="Arial"/>
                <w:sz w:val="12"/>
                <w:szCs w:val="12"/>
                <w:b w:val="1"/>
                <w:bCs w:val="1"/>
                <w:color w:val="auto"/>
                <w:w w:val="97"/>
              </w:rPr>
              <w:t>th</w:t>
            </w:r>
            <w:r>
              <w:rPr>
                <w:rFonts w:ascii="Arial" w:cs="Arial" w:eastAsia="Arial" w:hAnsi="Arial"/>
                <w:sz w:val="14"/>
                <w:szCs w:val="14"/>
                <w:b w:val="1"/>
                <w:bCs w:val="1"/>
                <w:color w:val="auto"/>
                <w:w w:val="97"/>
              </w:rPr>
              <w:t xml:space="preserve"> Floor New York, NY</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jc w:val="right"/>
              <w:ind w:right="971"/>
              <w:spacing w:after="0"/>
              <w:rPr>
                <w:sz w:val="20"/>
                <w:szCs w:val="20"/>
                <w:color w:val="auto"/>
              </w:rPr>
            </w:pPr>
            <w:r>
              <w:rPr>
                <w:rFonts w:ascii="Arial" w:cs="Arial" w:eastAsia="Arial" w:hAnsi="Arial"/>
                <w:sz w:val="14"/>
                <w:szCs w:val="14"/>
                <w:b w:val="1"/>
                <w:bCs w:val="1"/>
                <w:color w:val="auto"/>
              </w:rPr>
              <w:t>10022</w:t>
            </w:r>
          </w:p>
        </w:tc>
      </w:tr>
      <w:tr>
        <w:trPr>
          <w:trHeight w:val="150"/>
        </w:trPr>
        <w:tc>
          <w:tcPr>
            <w:tcW w:w="5840" w:type="dxa"/>
            <w:vAlign w:val="bottom"/>
          </w:tcPr>
          <w:p>
            <w:pPr>
              <w:jc w:val="center"/>
              <w:ind w:right="1206"/>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40" w:type="dxa"/>
            <w:vAlign w:val="bottom"/>
          </w:tcPr>
          <w:p>
            <w:pPr>
              <w:jc w:val="center"/>
              <w:ind w:right="651"/>
              <w:spacing w:after="0"/>
              <w:rPr>
                <w:sz w:val="20"/>
                <w:szCs w:val="20"/>
                <w:color w:val="auto"/>
              </w:rPr>
            </w:pPr>
            <w:r>
              <w:rPr>
                <w:rFonts w:ascii="Arial" w:cs="Arial" w:eastAsia="Arial" w:hAnsi="Arial"/>
                <w:sz w:val="12"/>
                <w:szCs w:val="12"/>
                <w:b w:val="1"/>
                <w:bCs w:val="1"/>
                <w:color w:val="auto"/>
                <w:w w:val="90"/>
              </w:rPr>
              <w:t>(Zip Code)</w:t>
            </w:r>
          </w:p>
        </w:tc>
      </w:tr>
      <w:tr>
        <w:trPr>
          <w:trHeight w:val="227"/>
        </w:trPr>
        <w:tc>
          <w:tcPr>
            <w:tcW w:w="5840" w:type="dxa"/>
            <w:vAlign w:val="bottom"/>
          </w:tcPr>
          <w:p>
            <w:pPr>
              <w:jc w:val="center"/>
              <w:ind w:left="4226"/>
              <w:spacing w:after="0"/>
              <w:rPr>
                <w:sz w:val="20"/>
                <w:szCs w:val="20"/>
                <w:color w:val="auto"/>
              </w:rPr>
            </w:pPr>
            <w:r>
              <w:rPr>
                <w:rFonts w:ascii="Arial" w:cs="Arial" w:eastAsia="Arial" w:hAnsi="Arial"/>
                <w:sz w:val="14"/>
                <w:szCs w:val="14"/>
                <w:b w:val="1"/>
                <w:bCs w:val="1"/>
                <w:color w:val="auto"/>
                <w:w w:val="93"/>
              </w:rPr>
              <w:t>(212) 905-1000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86"/>
        </w:trPr>
        <w:tc>
          <w:tcPr>
            <w:tcW w:w="6900" w:type="dxa"/>
            <w:vAlign w:val="bottom"/>
            <w:gridSpan w:val="4"/>
          </w:tcPr>
          <w:p>
            <w:pPr>
              <w:jc w:val="center"/>
              <w:ind w:left="314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7"/>
        </w:trPr>
        <w:tc>
          <w:tcPr>
            <w:tcW w:w="6900" w:type="dxa"/>
            <w:vAlign w:val="bottom"/>
            <w:gridSpan w:val="4"/>
          </w:tcPr>
          <w:p>
            <w:pPr>
              <w:jc w:val="center"/>
              <w:ind w:left="314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317"/>
        </w:trPr>
        <w:tc>
          <w:tcPr>
            <w:tcW w:w="5840" w:type="dxa"/>
            <w:vAlign w:val="bottom"/>
          </w:tcPr>
          <w:p>
            <w:pPr>
              <w:jc w:val="center"/>
              <w:ind w:right="1146"/>
              <w:spacing w:after="0"/>
              <w:rPr>
                <w:sz w:val="20"/>
                <w:szCs w:val="20"/>
                <w:color w:val="auto"/>
              </w:rPr>
            </w:pPr>
            <w:r>
              <w:rPr>
                <w:rFonts w:ascii="Arial" w:cs="Arial" w:eastAsia="Arial" w:hAnsi="Arial"/>
                <w:sz w:val="12"/>
                <w:szCs w:val="12"/>
                <w:b w:val="1"/>
                <w:bCs w:val="1"/>
                <w:color w:val="auto"/>
                <w:w w:val="88"/>
              </w:rPr>
              <w:t>Title of Each Class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Name of Each Exchange on Which Registered</w:t>
            </w:r>
          </w:p>
        </w:tc>
      </w:tr>
      <w:tr>
        <w:trPr>
          <w:trHeight w:val="149"/>
        </w:trPr>
        <w:tc>
          <w:tcPr>
            <w:tcW w:w="5840" w:type="dxa"/>
            <w:vAlign w:val="bottom"/>
          </w:tcPr>
          <w:p>
            <w:pPr>
              <w:jc w:val="center"/>
              <w:ind w:right="1126"/>
              <w:spacing w:after="0" w:line="149" w:lineRule="exact"/>
              <w:rPr>
                <w:sz w:val="20"/>
                <w:szCs w:val="20"/>
                <w:color w:val="auto"/>
              </w:rPr>
            </w:pPr>
            <w:r>
              <w:rPr>
                <w:rFonts w:ascii="Arial" w:cs="Arial" w:eastAsia="Arial" w:hAnsi="Arial"/>
                <w:sz w:val="14"/>
                <w:szCs w:val="14"/>
                <w:color w:val="auto"/>
                <w:w w:val="91"/>
              </w:rPr>
              <w:t>Common Stock, par value $0.001 per share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2"/>
          </w:tcPr>
          <w:p>
            <w:pPr>
              <w:jc w:val="center"/>
              <w:ind w:right="11"/>
              <w:spacing w:after="0" w:line="149" w:lineRule="exact"/>
              <w:rPr>
                <w:sz w:val="20"/>
                <w:szCs w:val="20"/>
                <w:color w:val="auto"/>
              </w:rPr>
            </w:pPr>
            <w:r>
              <w:rPr>
                <w:rFonts w:ascii="Arial" w:cs="Arial" w:eastAsia="Arial" w:hAnsi="Arial"/>
                <w:sz w:val="14"/>
                <w:szCs w:val="14"/>
                <w:color w:val="auto"/>
                <w:w w:val="98"/>
              </w:rPr>
              <w:t>The NASDAQ Stock Market LLC</w:t>
            </w:r>
          </w:p>
        </w:tc>
      </w:tr>
      <w:tr>
        <w:trPr>
          <w:trHeight w:val="182"/>
        </w:trPr>
        <w:tc>
          <w:tcPr>
            <w:tcW w:w="5840" w:type="dxa"/>
            <w:vAlign w:val="bottom"/>
          </w:tcPr>
          <w:p>
            <w:pPr>
              <w:jc w:val="center"/>
              <w:ind w:right="1126"/>
              <w:spacing w:after="0"/>
              <w:rPr>
                <w:sz w:val="20"/>
                <w:szCs w:val="20"/>
                <w:color w:val="auto"/>
              </w:rPr>
            </w:pPr>
            <w:r>
              <w:rPr>
                <w:rFonts w:ascii="Arial" w:cs="Arial" w:eastAsia="Arial" w:hAnsi="Arial"/>
                <w:sz w:val="14"/>
                <w:szCs w:val="14"/>
                <w:color w:val="auto"/>
                <w:w w:val="92"/>
              </w:rPr>
              <w:t>6.25% Senior Notes due 2025</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2"/>
          </w:tcPr>
          <w:p>
            <w:pPr>
              <w:jc w:val="center"/>
              <w:ind w:right="11"/>
              <w:spacing w:after="0"/>
              <w:rPr>
                <w:sz w:val="20"/>
                <w:szCs w:val="20"/>
                <w:color w:val="auto"/>
              </w:rPr>
            </w:pPr>
            <w:r>
              <w:rPr>
                <w:rFonts w:ascii="Arial" w:cs="Arial" w:eastAsia="Arial" w:hAnsi="Arial"/>
                <w:sz w:val="14"/>
                <w:szCs w:val="14"/>
                <w:color w:val="auto"/>
                <w:w w:val="92"/>
              </w:rPr>
              <w:t>The New York Stock Exchange</w:t>
            </w:r>
          </w:p>
        </w:tc>
      </w:tr>
      <w:tr>
        <w:trPr>
          <w:trHeight w:val="297"/>
        </w:trPr>
        <w:tc>
          <w:tcPr>
            <w:tcW w:w="7440" w:type="dxa"/>
            <w:vAlign w:val="bottom"/>
            <w:gridSpan w:val="6"/>
          </w:tcPr>
          <w:p>
            <w:pPr>
              <w:jc w:val="center"/>
              <w:ind w:left="262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740" w:type="dxa"/>
            <w:vAlign w:val="bottom"/>
          </w:tcPr>
          <w:p>
            <w:pPr>
              <w:spacing w:after="0"/>
              <w:rPr>
                <w:sz w:val="24"/>
                <w:szCs w:val="24"/>
                <w:color w:val="auto"/>
              </w:rPr>
            </w:pPr>
          </w:p>
        </w:tc>
      </w:tr>
      <w:tr>
        <w:trPr>
          <w:trHeight w:val="326"/>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4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74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24"/>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80" w:type="dxa"/>
            <w:vAlign w:val="bottom"/>
          </w:tcPr>
          <w:p>
            <w:pPr>
              <w:spacing w:after="0"/>
              <w:rPr>
                <w:sz w:val="24"/>
                <w:szCs w:val="24"/>
                <w:color w:val="auto"/>
              </w:rPr>
            </w:pPr>
          </w:p>
        </w:tc>
        <w:tc>
          <w:tcPr>
            <w:tcW w:w="460" w:type="dxa"/>
            <w:vAlign w:val="bottom"/>
          </w:tcPr>
          <w:p>
            <w:pPr>
              <w:ind w:left="6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174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99"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ind w:right="1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ind w:right="60" w:firstLine="56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99" w:lineRule="exact"/>
        <w:rPr>
          <w:sz w:val="24"/>
          <w:szCs w:val="24"/>
          <w:color w:val="auto"/>
        </w:rPr>
      </w:pPr>
    </w:p>
    <w:p>
      <w:pPr>
        <w:ind w:right="4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306" w:right="339" w:bottom="1440" w:gutter="0" w:footer="0" w:header="0"/>
        </w:sectPr>
      </w:pP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306"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5">
            <w:col w:w="1220" w:space="580"/>
            <w:col w:w="140" w:space="80"/>
            <w:col w:w="6240" w:space="720"/>
            <w:col w:w="1580" w:space="540"/>
            <w:col w:w="140"/>
          </w:cols>
          <w:pgMar w:left="320" w:top="306" w:right="339" w:bottom="1440" w:gutter="0" w:footer="0" w:header="0"/>
          <w:type w:val="continuous"/>
        </w:sectPr>
      </w:pPr>
    </w:p>
    <w:p>
      <w:pPr>
        <w:spacing w:after="0" w:line="27"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8" w:lineRule="exact"/>
        <w:rPr>
          <w:sz w:val="24"/>
          <w:szCs w:val="24"/>
          <w:color w:val="auto"/>
        </w:rPr>
      </w:pPr>
    </w:p>
    <w:p>
      <w:pPr>
        <w:sectPr>
          <w:pgSz w:w="11900" w:h="16838" w:orient="portrait"/>
          <w:cols w:equalWidth="0" w:num="5">
            <w:col w:w="6500" w:space="140"/>
            <w:col w:w="200" w:space="80"/>
            <w:col w:w="140" w:space="140"/>
            <w:col w:w="180" w:space="60"/>
            <w:col w:w="3800"/>
          </w:cols>
          <w:pgMar w:left="320" w:top="306" w:right="339" w:bottom="1440" w:gutter="0" w:footer="0" w:header="0"/>
          <w:type w:val="continuous"/>
        </w:sectPr>
      </w:pPr>
    </w:p>
    <w:p>
      <w:pPr>
        <w:jc w:val="both"/>
        <w:ind w:right="20" w:firstLine="562"/>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2016 based on the closing price on that date of $6.06 on the NASDAQ Global Select Market was approximately $423 million. For purposes of calculating the aggregate market value of common stock held by non-affiliates, all directors and executive officers of the Registrant have been treated as affiliates. There were 71,060,836 shares of the Registrant’s common stock outstanding as of March 17, 2017.</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0" w:lineRule="exact"/>
        <w:rPr>
          <w:sz w:val="24"/>
          <w:szCs w:val="24"/>
          <w:color w:val="auto"/>
        </w:rPr>
      </w:pPr>
    </w:p>
    <w:p>
      <w:pPr>
        <w:ind w:left="56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08"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PennantPark Investment Corporation, a Maryland corporation, or together with its subsidiaries, where applicable, the Company, which may also be referred to as “we”, “us” or “our”, is filing this Amendment No. 1, or the Amendment, to its Annual Report on Form 10-K for the fiscal year ended September 30, 2016, which was initially filed with the Securities and Exchange Commission, or the SEC, on November 21, 2016, or the Form 10-K, to provide stand-alone audited financial statements for our investment in an unconsolidated controlled portfolio company, RAM Energy Holdings LLC, as of and for the year ended December 31, 2016 (as Exhibit 99.2).</w:t>
      </w:r>
    </w:p>
    <w:p>
      <w:pPr>
        <w:spacing w:after="0" w:line="185"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We have determined that this unconsolidated controlled portfolio company has met the conditions of a significant subsidiary under Rule 1-02(w) of Regulation S-X for which we are required, pursuant to Rule 3-09 of Regulation S-X, to attach separate audited financial statements as exhibits to the Form 10-K. In accordance with Rule 3-09(b)(1), the separate audited financial statements of RAM Energy Holdings LLC are being filed as an amendment to the Form 10-K, within 90 days after the end of RAM Energy Holdings LLC’s fiscal year.</w:t>
      </w:r>
    </w:p>
    <w:p>
      <w:pPr>
        <w:spacing w:after="0" w:line="168"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As required, this Amendment also includes the filing of new Exhibits 31.1, 31.2, 32.1 and 32.2, certifications of our Chief Executive Officer and Chief Financial Officer, pursuant to Rule 13a-14(a) and (b) of the Securities Exchange Act of 1934, as amended.</w:t>
      </w:r>
    </w:p>
    <w:p>
      <w:pPr>
        <w:spacing w:after="0" w:line="174"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No other changes have been made to the Form 10-K. This Amendment does not reflect subsequent events that may have occurred after the original filing date of the Form 10-K or modify or update in any way disclosures made in the Form 10-K. Among other things, forward-looking statements made in the Form 10-K have not been revised to reflect events that occurred or facts that became known to us after filing of the Form 10-K, and such forward-looking statements should be read in their historical context. Furthermore, this Amendment should be read in conjunction with the Form 10-K and with our subsequent filings with the SEC.</w:t>
      </w:r>
    </w:p>
    <w:p>
      <w:pPr>
        <w:sectPr>
          <w:pgSz w:w="11900" w:h="16838" w:orient="portrait"/>
          <w:cols w:equalWidth="0" w:num="1">
            <w:col w:w="11180"/>
          </w:cols>
          <w:pgMar w:left="320" w:top="265" w:right="3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IV</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documents are filed or incorporated by reference as part of this Annual Report:</w:t>
      </w:r>
    </w:p>
    <w:p>
      <w:pPr>
        <w:spacing w:after="0" w:line="109" w:lineRule="exact"/>
        <w:rPr>
          <w:sz w:val="20"/>
          <w:szCs w:val="20"/>
          <w:color w:val="auto"/>
        </w:rPr>
      </w:pPr>
    </w:p>
    <w:p>
      <w:pPr>
        <w:ind w:left="780" w:hanging="448"/>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44 of the Registrant’s Annual Report on Form 10-K filed on November 21, 2016.</w:t>
      </w:r>
    </w:p>
    <w:p>
      <w:pPr>
        <w:spacing w:after="0" w:line="109" w:lineRule="exact"/>
        <w:rPr>
          <w:rFonts w:ascii="Arial" w:cs="Arial" w:eastAsia="Arial" w:hAnsi="Arial"/>
          <w:sz w:val="14"/>
          <w:szCs w:val="14"/>
          <w:color w:val="auto"/>
        </w:rPr>
      </w:pPr>
    </w:p>
    <w:p>
      <w:pPr>
        <w:ind w:left="780" w:hanging="448"/>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109" w:lineRule="exact"/>
        <w:rPr>
          <w:rFonts w:ascii="Arial" w:cs="Arial" w:eastAsia="Arial" w:hAnsi="Arial"/>
          <w:sz w:val="14"/>
          <w:szCs w:val="14"/>
          <w:color w:val="auto"/>
        </w:rPr>
      </w:pPr>
    </w:p>
    <w:p>
      <w:pPr>
        <w:ind w:left="780" w:hanging="448"/>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Exhibits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3.1</w:t>
            </w:r>
          </w:p>
        </w:tc>
        <w:tc>
          <w:tcPr>
            <w:tcW w:w="10600" w:type="dxa"/>
            <w:vAlign w:val="bottom"/>
          </w:tcPr>
          <w:p>
            <w:pPr>
              <w:ind w:left="240"/>
              <w:spacing w:after="0"/>
              <w:rPr>
                <w:sz w:val="20"/>
                <w:szCs w:val="20"/>
                <w:color w:val="auto"/>
              </w:rPr>
            </w:pPr>
            <w:r>
              <w:rPr>
                <w:rFonts w:ascii="Arial" w:cs="Arial" w:eastAsia="Arial" w:hAnsi="Arial"/>
                <w:sz w:val="14"/>
                <w:szCs w:val="14"/>
                <w:color w:val="auto"/>
                <w:w w:val="99"/>
              </w:rPr>
              <w:t>Articles of Incorporation (Incorporated by reference to Exhibit 99(a) to the Registrant’s Pre-Effective Amendment No.3 to the Registration Statement on Form N-2/A (File</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No. 333-140092), filed on April 5, 2007).</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3.2</w:t>
            </w:r>
          </w:p>
        </w:tc>
        <w:tc>
          <w:tcPr>
            <w:tcW w:w="10600" w:type="dxa"/>
            <w:vAlign w:val="bottom"/>
          </w:tcPr>
          <w:p>
            <w:pPr>
              <w:ind w:left="240"/>
              <w:spacing w:after="0"/>
              <w:rPr>
                <w:sz w:val="20"/>
                <w:szCs w:val="20"/>
                <w:color w:val="auto"/>
              </w:rPr>
            </w:pPr>
            <w:r>
              <w:rPr>
                <w:rFonts w:ascii="Arial" w:cs="Arial" w:eastAsia="Arial" w:hAnsi="Arial"/>
                <w:sz w:val="14"/>
                <w:szCs w:val="14"/>
                <w:color w:val="auto"/>
                <w:w w:val="99"/>
              </w:rPr>
              <w:t>Amended and Restated Bylaws of the Registrant (Incorporated by reference to Exhibit 3.1 to the Registrant’s Current Report on Form 8-K (File No. 814-00736), filed on</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December 2, 2015).</w:t>
            </w:r>
          </w:p>
        </w:tc>
      </w:tr>
      <w:tr>
        <w:trPr>
          <w:trHeight w:val="256"/>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4.1</w:t>
            </w:r>
          </w:p>
        </w:tc>
        <w:tc>
          <w:tcPr>
            <w:tcW w:w="10600" w:type="dxa"/>
            <w:vAlign w:val="bottom"/>
          </w:tcPr>
          <w:p>
            <w:pPr>
              <w:ind w:left="240"/>
              <w:spacing w:after="0"/>
              <w:rPr>
                <w:sz w:val="20"/>
                <w:szCs w:val="20"/>
                <w:color w:val="auto"/>
              </w:rPr>
            </w:pPr>
            <w:r>
              <w:rPr>
                <w:rFonts w:ascii="Arial" w:cs="Arial" w:eastAsia="Arial" w:hAnsi="Arial"/>
                <w:sz w:val="14"/>
                <w:szCs w:val="14"/>
                <w:color w:val="auto"/>
                <w:w w:val="96"/>
              </w:rPr>
              <w:t>Form of Share Certificate (Incorporated by reference to Exhibit 99(d)(1) to the Registrant’s Registration Statement on Form N-2 (File No. 333-150033), filed on April 2, 2008).</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4.2</w:t>
            </w:r>
          </w:p>
        </w:tc>
        <w:tc>
          <w:tcPr>
            <w:tcW w:w="10600" w:type="dxa"/>
            <w:vAlign w:val="bottom"/>
          </w:tcPr>
          <w:p>
            <w:pPr>
              <w:ind w:left="240"/>
              <w:spacing w:after="0"/>
              <w:rPr>
                <w:sz w:val="20"/>
                <w:szCs w:val="20"/>
                <w:color w:val="auto"/>
              </w:rPr>
            </w:pPr>
            <w:r>
              <w:rPr>
                <w:rFonts w:ascii="Arial" w:cs="Arial" w:eastAsia="Arial" w:hAnsi="Arial"/>
                <w:sz w:val="14"/>
                <w:szCs w:val="14"/>
                <w:color w:val="auto"/>
                <w:w w:val="92"/>
              </w:rPr>
              <w:t>Base Indenture, dated as of January 22, 2013, relating to the 6.25% Senior Notes due 2025, between the Registrant and American Stock Transfer &amp; Trust Company, LLC, as trustee</w:t>
            </w:r>
          </w:p>
        </w:tc>
      </w:tr>
      <w:tr>
        <w:trPr>
          <w:trHeight w:val="149"/>
        </w:trPr>
        <w:tc>
          <w:tcPr>
            <w:tcW w:w="520" w:type="dxa"/>
            <w:vAlign w:val="bottom"/>
          </w:tcPr>
          <w:p>
            <w:pPr>
              <w:spacing w:after="0"/>
              <w:rPr>
                <w:sz w:val="12"/>
                <w:szCs w:val="12"/>
                <w:color w:val="auto"/>
              </w:rPr>
            </w:pPr>
          </w:p>
        </w:tc>
        <w:tc>
          <w:tcPr>
            <w:tcW w:w="10600" w:type="dxa"/>
            <w:vAlign w:val="bottom"/>
          </w:tcPr>
          <w:p>
            <w:pPr>
              <w:ind w:left="240"/>
              <w:spacing w:after="0" w:line="149" w:lineRule="exact"/>
              <w:rPr>
                <w:sz w:val="20"/>
                <w:szCs w:val="20"/>
                <w:color w:val="auto"/>
              </w:rPr>
            </w:pPr>
            <w:r>
              <w:rPr>
                <w:rFonts w:ascii="Arial" w:cs="Arial" w:eastAsia="Arial" w:hAnsi="Arial"/>
                <w:sz w:val="14"/>
                <w:szCs w:val="14"/>
                <w:color w:val="auto"/>
                <w:w w:val="96"/>
              </w:rPr>
              <w:t>(Incorporated by reference to Exhibit 99(d)(8) to the Registrant’s Post-Effective Amendment No.4 to the Registration Statement on Form N-2/A (File No.333-172524), filed on</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January 22, 2013.</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4.3</w:t>
            </w:r>
          </w:p>
        </w:tc>
        <w:tc>
          <w:tcPr>
            <w:tcW w:w="10600" w:type="dxa"/>
            <w:vAlign w:val="bottom"/>
          </w:tcPr>
          <w:p>
            <w:pPr>
              <w:ind w:left="240"/>
              <w:spacing w:after="0"/>
              <w:rPr>
                <w:sz w:val="20"/>
                <w:szCs w:val="20"/>
                <w:color w:val="auto"/>
              </w:rPr>
            </w:pPr>
            <w:r>
              <w:rPr>
                <w:rFonts w:ascii="Arial" w:cs="Arial" w:eastAsia="Arial" w:hAnsi="Arial"/>
                <w:sz w:val="14"/>
                <w:szCs w:val="14"/>
                <w:color w:val="auto"/>
                <w:w w:val="93"/>
              </w:rPr>
              <w:t>First Supplemental Indenture, dated as of January 22, 2013, relating to the 6.25% Senior Notes due 2025, between the Registrant and American Stock Transfer &amp; Trust Company,</w:t>
            </w:r>
          </w:p>
        </w:tc>
      </w:tr>
      <w:tr>
        <w:trPr>
          <w:trHeight w:val="148"/>
        </w:trPr>
        <w:tc>
          <w:tcPr>
            <w:tcW w:w="520" w:type="dxa"/>
            <w:vAlign w:val="bottom"/>
          </w:tcPr>
          <w:p>
            <w:pPr>
              <w:spacing w:after="0"/>
              <w:rPr>
                <w:sz w:val="12"/>
                <w:szCs w:val="12"/>
                <w:color w:val="auto"/>
              </w:rPr>
            </w:pPr>
          </w:p>
        </w:tc>
        <w:tc>
          <w:tcPr>
            <w:tcW w:w="10600" w:type="dxa"/>
            <w:vAlign w:val="bottom"/>
          </w:tcPr>
          <w:p>
            <w:pPr>
              <w:ind w:left="240"/>
              <w:spacing w:after="0" w:line="149" w:lineRule="exact"/>
              <w:rPr>
                <w:sz w:val="20"/>
                <w:szCs w:val="20"/>
                <w:color w:val="auto"/>
              </w:rPr>
            </w:pPr>
            <w:r>
              <w:rPr>
                <w:rFonts w:ascii="Arial" w:cs="Arial" w:eastAsia="Arial" w:hAnsi="Arial"/>
                <w:sz w:val="14"/>
                <w:szCs w:val="14"/>
                <w:color w:val="auto"/>
              </w:rPr>
              <w:t>LLC, as trustee (Incorporated by reference to Exhibit 99(d)(9) to the Registrant’s Post-Effective Amendment No.4 to the Registration Statement on Form N-2/A (File</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No.333-172524), filed on January 22, 2013.</w:t>
            </w:r>
          </w:p>
        </w:tc>
      </w:tr>
      <w:tr>
        <w:trPr>
          <w:trHeight w:val="256"/>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4.4</w:t>
            </w:r>
          </w:p>
        </w:tc>
        <w:tc>
          <w:tcPr>
            <w:tcW w:w="10600" w:type="dxa"/>
            <w:vAlign w:val="bottom"/>
          </w:tcPr>
          <w:p>
            <w:pPr>
              <w:ind w:left="240"/>
              <w:spacing w:after="0"/>
              <w:rPr>
                <w:sz w:val="20"/>
                <w:szCs w:val="20"/>
                <w:color w:val="auto"/>
              </w:rPr>
            </w:pPr>
            <w:r>
              <w:rPr>
                <w:rFonts w:ascii="Arial" w:cs="Arial" w:eastAsia="Arial" w:hAnsi="Arial"/>
                <w:sz w:val="14"/>
                <w:szCs w:val="14"/>
                <w:color w:val="auto"/>
              </w:rPr>
              <w:t>Form of 6.25% Senior Notes due 2025 (included as part of Exhibit 4.3).</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4.5</w:t>
            </w:r>
          </w:p>
        </w:tc>
        <w:tc>
          <w:tcPr>
            <w:tcW w:w="10600" w:type="dxa"/>
            <w:vAlign w:val="bottom"/>
          </w:tcPr>
          <w:p>
            <w:pPr>
              <w:ind w:left="240"/>
              <w:spacing w:after="0"/>
              <w:rPr>
                <w:sz w:val="20"/>
                <w:szCs w:val="20"/>
                <w:color w:val="auto"/>
              </w:rPr>
            </w:pPr>
            <w:r>
              <w:rPr>
                <w:rFonts w:ascii="Arial" w:cs="Arial" w:eastAsia="Arial" w:hAnsi="Arial"/>
                <w:sz w:val="14"/>
                <w:szCs w:val="14"/>
                <w:color w:val="auto"/>
                <w:w w:val="93"/>
              </w:rPr>
              <w:t>Second Supplemental Indenture, dated as of September 23, 2014, relating to the 4.50% Notes due 2019, between the Registrant and American Stock Transfer &amp; Trust Company,</w:t>
            </w:r>
          </w:p>
        </w:tc>
      </w:tr>
      <w:tr>
        <w:trPr>
          <w:trHeight w:val="149"/>
        </w:trPr>
        <w:tc>
          <w:tcPr>
            <w:tcW w:w="520" w:type="dxa"/>
            <w:vAlign w:val="bottom"/>
          </w:tcPr>
          <w:p>
            <w:pPr>
              <w:spacing w:after="0"/>
              <w:rPr>
                <w:sz w:val="12"/>
                <w:szCs w:val="12"/>
                <w:color w:val="auto"/>
              </w:rPr>
            </w:pPr>
          </w:p>
        </w:tc>
        <w:tc>
          <w:tcPr>
            <w:tcW w:w="10600" w:type="dxa"/>
            <w:vAlign w:val="bottom"/>
          </w:tcPr>
          <w:p>
            <w:pPr>
              <w:ind w:left="240"/>
              <w:spacing w:after="0" w:line="149" w:lineRule="exact"/>
              <w:rPr>
                <w:sz w:val="20"/>
                <w:szCs w:val="20"/>
                <w:color w:val="auto"/>
              </w:rPr>
            </w:pPr>
            <w:r>
              <w:rPr>
                <w:rFonts w:ascii="Arial" w:cs="Arial" w:eastAsia="Arial" w:hAnsi="Arial"/>
                <w:sz w:val="14"/>
                <w:szCs w:val="14"/>
                <w:color w:val="auto"/>
                <w:w w:val="95"/>
              </w:rPr>
              <w:t>LLC, as trustee (Incorporated by reference to Exhibit 99 (d)(11) to the Registrant’s Post-Effective Amendment No. 2 to Form N-2 (File No. 333-192782), filed on September 23,</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2014.</w:t>
            </w:r>
          </w:p>
        </w:tc>
      </w:tr>
      <w:tr>
        <w:trPr>
          <w:trHeight w:val="256"/>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4.6</w:t>
            </w:r>
          </w:p>
        </w:tc>
        <w:tc>
          <w:tcPr>
            <w:tcW w:w="10600" w:type="dxa"/>
            <w:vAlign w:val="bottom"/>
          </w:tcPr>
          <w:p>
            <w:pPr>
              <w:ind w:left="240"/>
              <w:spacing w:after="0"/>
              <w:rPr>
                <w:sz w:val="20"/>
                <w:szCs w:val="20"/>
                <w:color w:val="auto"/>
              </w:rPr>
            </w:pPr>
            <w:r>
              <w:rPr>
                <w:rFonts w:ascii="Arial" w:cs="Arial" w:eastAsia="Arial" w:hAnsi="Arial"/>
                <w:sz w:val="14"/>
                <w:szCs w:val="14"/>
                <w:color w:val="auto"/>
              </w:rPr>
              <w:t>Form of 4.50% Notes due 2019 (included as part of Exhibit 4.5).</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w w:val="87"/>
              </w:rPr>
              <w:t>10.1</w:t>
            </w:r>
          </w:p>
        </w:tc>
        <w:tc>
          <w:tcPr>
            <w:tcW w:w="10600" w:type="dxa"/>
            <w:vAlign w:val="bottom"/>
          </w:tcPr>
          <w:p>
            <w:pPr>
              <w:ind w:left="240"/>
              <w:spacing w:after="0"/>
              <w:rPr>
                <w:sz w:val="20"/>
                <w:szCs w:val="20"/>
                <w:color w:val="auto"/>
              </w:rPr>
            </w:pPr>
            <w:r>
              <w:rPr>
                <w:rFonts w:ascii="Arial" w:cs="Arial" w:eastAsia="Arial" w:hAnsi="Arial"/>
                <w:sz w:val="14"/>
                <w:szCs w:val="14"/>
                <w:color w:val="auto"/>
                <w:w w:val="94"/>
              </w:rPr>
              <w:t>First Amended and Restated Investment Advisory Management Agreement between the Registrant and PennantPark Investment Advisers, LLC (Incorporated by reference to the</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Registrant’s Quarterly Report on Form 10-Q (File No. 814-00736), filed on February 3, 2016).</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w w:val="87"/>
              </w:rPr>
              <w:t>10.2</w:t>
            </w:r>
          </w:p>
        </w:tc>
        <w:tc>
          <w:tcPr>
            <w:tcW w:w="10600" w:type="dxa"/>
            <w:vAlign w:val="bottom"/>
          </w:tcPr>
          <w:p>
            <w:pPr>
              <w:ind w:left="240"/>
              <w:spacing w:after="0"/>
              <w:rPr>
                <w:sz w:val="20"/>
                <w:szCs w:val="20"/>
                <w:color w:val="auto"/>
              </w:rPr>
            </w:pPr>
            <w:r>
              <w:rPr>
                <w:rFonts w:ascii="Arial" w:cs="Arial" w:eastAsia="Arial" w:hAnsi="Arial"/>
                <w:sz w:val="14"/>
                <w:szCs w:val="14"/>
                <w:color w:val="auto"/>
                <w:w w:val="96"/>
              </w:rPr>
              <w:t>Form of Administration Agreement between the Registrant and PennantPark Investment Administration LLC (Incorporated by reference to Exhibit 99(k)(1) to the Registrant’s</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Registration Statement on Form N-2(File No. 333-150033), filed on April 2, 2008).</w:t>
            </w:r>
          </w:p>
        </w:tc>
      </w:tr>
      <w:tr>
        <w:trPr>
          <w:trHeight w:val="257"/>
        </w:trPr>
        <w:tc>
          <w:tcPr>
            <w:tcW w:w="520" w:type="dxa"/>
            <w:vAlign w:val="bottom"/>
          </w:tcPr>
          <w:p>
            <w:pPr>
              <w:jc w:val="right"/>
              <w:ind w:right="188"/>
              <w:spacing w:after="0"/>
              <w:rPr>
                <w:sz w:val="20"/>
                <w:szCs w:val="20"/>
                <w:color w:val="auto"/>
              </w:rPr>
            </w:pPr>
            <w:r>
              <w:rPr>
                <w:rFonts w:ascii="Arial" w:cs="Arial" w:eastAsia="Arial" w:hAnsi="Arial"/>
                <w:sz w:val="14"/>
                <w:szCs w:val="14"/>
                <w:color w:val="auto"/>
                <w:w w:val="87"/>
              </w:rPr>
              <w:t>10.3</w:t>
            </w:r>
          </w:p>
        </w:tc>
        <w:tc>
          <w:tcPr>
            <w:tcW w:w="10600" w:type="dxa"/>
            <w:vAlign w:val="bottom"/>
          </w:tcPr>
          <w:p>
            <w:pPr>
              <w:ind w:left="240"/>
              <w:spacing w:after="0"/>
              <w:rPr>
                <w:sz w:val="20"/>
                <w:szCs w:val="20"/>
                <w:color w:val="auto"/>
              </w:rPr>
            </w:pPr>
            <w:r>
              <w:rPr>
                <w:rFonts w:ascii="Arial" w:cs="Arial" w:eastAsia="Arial" w:hAnsi="Arial"/>
                <w:sz w:val="14"/>
                <w:szCs w:val="14"/>
                <w:color w:val="auto"/>
                <w:w w:val="96"/>
              </w:rPr>
              <w:t>Dividend Reinvestment Plan (Incorporated by reference to Exhibit 99(e) to the Registrant’s Registration Statement on Form N-2 (File No. 333-150033), filed on April 2, 2008).</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w w:val="87"/>
              </w:rPr>
              <w:t>10.4</w:t>
            </w:r>
          </w:p>
        </w:tc>
        <w:tc>
          <w:tcPr>
            <w:tcW w:w="10600" w:type="dxa"/>
            <w:vAlign w:val="bottom"/>
          </w:tcPr>
          <w:p>
            <w:pPr>
              <w:ind w:left="240"/>
              <w:spacing w:after="0"/>
              <w:rPr>
                <w:sz w:val="20"/>
                <w:szCs w:val="20"/>
                <w:color w:val="auto"/>
              </w:rPr>
            </w:pPr>
            <w:r>
              <w:rPr>
                <w:rFonts w:ascii="Arial" w:cs="Arial" w:eastAsia="Arial" w:hAnsi="Arial"/>
                <w:sz w:val="14"/>
                <w:szCs w:val="14"/>
                <w:color w:val="auto"/>
                <w:w w:val="92"/>
              </w:rPr>
              <w:t>Second Amended and Restated Senior Secured Revolving Credit Agreement, dated as of June 25, 2014, among PennantPark Investment Corporation, the lenders party thereto and</w:t>
            </w:r>
          </w:p>
        </w:tc>
      </w:tr>
      <w:tr>
        <w:trPr>
          <w:trHeight w:val="149"/>
        </w:trPr>
        <w:tc>
          <w:tcPr>
            <w:tcW w:w="520" w:type="dxa"/>
            <w:vAlign w:val="bottom"/>
          </w:tcPr>
          <w:p>
            <w:pPr>
              <w:spacing w:after="0"/>
              <w:rPr>
                <w:sz w:val="12"/>
                <w:szCs w:val="12"/>
                <w:color w:val="auto"/>
              </w:rPr>
            </w:pPr>
          </w:p>
        </w:tc>
        <w:tc>
          <w:tcPr>
            <w:tcW w:w="10600" w:type="dxa"/>
            <w:vAlign w:val="bottom"/>
          </w:tcPr>
          <w:p>
            <w:pPr>
              <w:ind w:left="240"/>
              <w:spacing w:after="0" w:line="149" w:lineRule="exact"/>
              <w:rPr>
                <w:sz w:val="20"/>
                <w:szCs w:val="20"/>
                <w:color w:val="auto"/>
              </w:rPr>
            </w:pPr>
            <w:r>
              <w:rPr>
                <w:rFonts w:ascii="Arial" w:cs="Arial" w:eastAsia="Arial" w:hAnsi="Arial"/>
                <w:sz w:val="14"/>
                <w:szCs w:val="14"/>
                <w:color w:val="auto"/>
                <w:w w:val="95"/>
              </w:rPr>
              <w:t>SunTrust Bank, as administrative agent for the lenders (Incorporated by reference to Exhibit 99.2 to the Registrant’s Current Report on Form 8-K (File No. 814-00736), filed on</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June 30, 2014).</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w w:val="87"/>
              </w:rPr>
              <w:t>10.5</w:t>
            </w:r>
          </w:p>
        </w:tc>
        <w:tc>
          <w:tcPr>
            <w:tcW w:w="10600" w:type="dxa"/>
            <w:vAlign w:val="bottom"/>
          </w:tcPr>
          <w:p>
            <w:pPr>
              <w:ind w:left="240"/>
              <w:spacing w:after="0"/>
              <w:rPr>
                <w:sz w:val="20"/>
                <w:szCs w:val="20"/>
                <w:color w:val="auto"/>
              </w:rPr>
            </w:pPr>
            <w:r>
              <w:rPr>
                <w:rFonts w:ascii="Arial" w:cs="Arial" w:eastAsia="Arial" w:hAnsi="Arial"/>
                <w:sz w:val="14"/>
                <w:szCs w:val="14"/>
                <w:color w:val="auto"/>
                <w:w w:val="94"/>
              </w:rPr>
              <w:t>Indemnification Agreement, dated as of November 15, 2016, between PennantPark Investment Corporation and each of the directors and officers listed on Schedule A attached</w:t>
            </w:r>
          </w:p>
        </w:tc>
      </w:tr>
      <w:tr>
        <w:trPr>
          <w:trHeight w:val="182"/>
        </w:trPr>
        <w:tc>
          <w:tcPr>
            <w:tcW w:w="520" w:type="dxa"/>
            <w:vAlign w:val="bottom"/>
          </w:tcPr>
          <w:p>
            <w:pPr>
              <w:spacing w:after="0"/>
              <w:rPr>
                <w:sz w:val="15"/>
                <w:szCs w:val="15"/>
                <w:color w:val="auto"/>
              </w:rPr>
            </w:pPr>
          </w:p>
        </w:tc>
        <w:tc>
          <w:tcPr>
            <w:tcW w:w="10600" w:type="dxa"/>
            <w:vAlign w:val="bottom"/>
          </w:tcPr>
          <w:p>
            <w:pPr>
              <w:ind w:left="240"/>
              <w:spacing w:after="0"/>
              <w:rPr>
                <w:sz w:val="20"/>
                <w:szCs w:val="20"/>
                <w:color w:val="auto"/>
              </w:rPr>
            </w:pPr>
            <w:r>
              <w:rPr>
                <w:rFonts w:ascii="Arial" w:cs="Arial" w:eastAsia="Arial" w:hAnsi="Arial"/>
                <w:sz w:val="14"/>
                <w:szCs w:val="14"/>
                <w:color w:val="auto"/>
              </w:rPr>
              <w:t>thereto (Incorporated by reference to Exhibit 10.5 to the Registrant’s Annual Report on Form 10-K (File No. 814-00736), filed on November 21, 2016).</w:t>
            </w:r>
          </w:p>
        </w:tc>
      </w:tr>
    </w:tbl>
    <w:p>
      <w:pPr>
        <w:spacing w:after="0" w:line="74" w:lineRule="exact"/>
        <w:rPr>
          <w:sz w:val="20"/>
          <w:szCs w:val="20"/>
          <w:color w:val="auto"/>
        </w:rPr>
      </w:pPr>
    </w:p>
    <w:p>
      <w:pPr>
        <w:ind w:left="760" w:hanging="680"/>
        <w:spacing w:after="0" w:line="253"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audited financial statements contained in the Registrant’s Annual Report on Form 10-K (File No. 814-00736), filed on November 21, 2016).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Arial" w:cs="Arial" w:eastAsia="Arial" w:hAnsi="Arial"/>
                <w:sz w:val="14"/>
                <w:szCs w:val="14"/>
                <w:color w:val="auto"/>
              </w:rPr>
              <w:t>14.1</w:t>
            </w:r>
          </w:p>
        </w:tc>
        <w:tc>
          <w:tcPr>
            <w:tcW w:w="10520" w:type="dxa"/>
            <w:vAlign w:val="bottom"/>
          </w:tcPr>
          <w:p>
            <w:pPr>
              <w:ind w:left="220"/>
              <w:spacing w:after="0"/>
              <w:rPr>
                <w:sz w:val="20"/>
                <w:szCs w:val="20"/>
                <w:color w:val="auto"/>
              </w:rPr>
            </w:pPr>
            <w:r>
              <w:rPr>
                <w:rFonts w:ascii="Arial" w:cs="Arial" w:eastAsia="Arial" w:hAnsi="Arial"/>
                <w:sz w:val="14"/>
                <w:szCs w:val="14"/>
                <w:color w:val="auto"/>
                <w:w w:val="94"/>
              </w:rPr>
              <w:t>Joint Code of Ethics of Registrant (Incorporated by reference to Exhibit 14.1 to the Registrant’s Annual Report on Form 10-K (File No. 814-00736), filed on November 21, 2016).</w:t>
            </w:r>
          </w:p>
        </w:tc>
      </w:tr>
      <w:tr>
        <w:trPr>
          <w:trHeight w:val="256"/>
        </w:trPr>
        <w:tc>
          <w:tcPr>
            <w:tcW w:w="540" w:type="dxa"/>
            <w:vAlign w:val="bottom"/>
          </w:tcPr>
          <w:p>
            <w:pPr>
              <w:spacing w:after="0"/>
              <w:rPr>
                <w:sz w:val="20"/>
                <w:szCs w:val="20"/>
                <w:color w:val="auto"/>
              </w:rPr>
            </w:pPr>
            <w:r>
              <w:rPr>
                <w:rFonts w:ascii="Arial" w:cs="Arial" w:eastAsia="Arial" w:hAnsi="Arial"/>
                <w:sz w:val="14"/>
                <w:szCs w:val="14"/>
                <w:color w:val="auto"/>
              </w:rPr>
              <w:t>21.1</w:t>
            </w:r>
          </w:p>
        </w:tc>
        <w:tc>
          <w:tcPr>
            <w:tcW w:w="10520" w:type="dxa"/>
            <w:vAlign w:val="bottom"/>
          </w:tcPr>
          <w:p>
            <w:pPr>
              <w:ind w:left="220"/>
              <w:spacing w:after="0"/>
              <w:rPr>
                <w:sz w:val="20"/>
                <w:szCs w:val="20"/>
                <w:color w:val="auto"/>
              </w:rPr>
            </w:pPr>
            <w:r>
              <w:rPr>
                <w:rFonts w:ascii="Arial" w:cs="Arial" w:eastAsia="Arial" w:hAnsi="Arial"/>
                <w:sz w:val="14"/>
                <w:szCs w:val="14"/>
                <w:color w:val="auto"/>
                <w:w w:val="96"/>
              </w:rPr>
              <w:t>Subsidiaries of the Registrant (Incorporated by reference to Exhibit 21.1 to the Registrant’s Annual Report on Form 10-K (File No. 814-00736), filed on November 21, 2016).</w:t>
            </w:r>
          </w:p>
        </w:tc>
      </w:tr>
      <w:tr>
        <w:trPr>
          <w:trHeight w:val="257"/>
        </w:trPr>
        <w:tc>
          <w:tcPr>
            <w:tcW w:w="540" w:type="dxa"/>
            <w:vAlign w:val="bottom"/>
          </w:tcPr>
          <w:p>
            <w:pPr>
              <w:spacing w:after="0"/>
              <w:rPr>
                <w:sz w:val="20"/>
                <w:szCs w:val="20"/>
                <w:color w:val="auto"/>
              </w:rPr>
            </w:pPr>
            <w:r>
              <w:rPr>
                <w:rFonts w:ascii="Arial" w:cs="Arial" w:eastAsia="Arial" w:hAnsi="Arial"/>
                <w:sz w:val="14"/>
                <w:szCs w:val="14"/>
                <w:color w:val="auto"/>
              </w:rPr>
              <w:t>31.1*</w:t>
            </w:r>
          </w:p>
        </w:tc>
        <w:tc>
          <w:tcPr>
            <w:tcW w:w="10520" w:type="dxa"/>
            <w:vAlign w:val="bottom"/>
          </w:tcPr>
          <w:p>
            <w:pPr>
              <w:ind w:left="220"/>
              <w:spacing w:after="0"/>
              <w:rPr>
                <w:sz w:val="20"/>
                <w:szCs w:val="20"/>
                <w:color w:val="auto"/>
              </w:rPr>
            </w:pPr>
            <w:r>
              <w:rPr>
                <w:rFonts w:ascii="Arial" w:cs="Arial" w:eastAsia="Arial" w:hAnsi="Arial"/>
                <w:sz w:val="14"/>
                <w:szCs w:val="14"/>
                <w:color w:val="auto"/>
              </w:rPr>
              <w:t>Certification of Chief Executive Officer pursuant to Rule 13a-14 of the Securities Exchange Act of 1934, as amended.</w:t>
            </w:r>
          </w:p>
        </w:tc>
      </w:tr>
      <w:tr>
        <w:trPr>
          <w:trHeight w:val="256"/>
        </w:trPr>
        <w:tc>
          <w:tcPr>
            <w:tcW w:w="540" w:type="dxa"/>
            <w:vAlign w:val="bottom"/>
          </w:tcPr>
          <w:p>
            <w:pPr>
              <w:spacing w:after="0"/>
              <w:rPr>
                <w:sz w:val="20"/>
                <w:szCs w:val="20"/>
                <w:color w:val="auto"/>
              </w:rPr>
            </w:pPr>
            <w:r>
              <w:rPr>
                <w:rFonts w:ascii="Arial" w:cs="Arial" w:eastAsia="Arial" w:hAnsi="Arial"/>
                <w:sz w:val="14"/>
                <w:szCs w:val="14"/>
                <w:color w:val="auto"/>
              </w:rPr>
              <w:t>31.2*</w:t>
            </w:r>
          </w:p>
        </w:tc>
        <w:tc>
          <w:tcPr>
            <w:tcW w:w="10520" w:type="dxa"/>
            <w:vAlign w:val="bottom"/>
          </w:tcPr>
          <w:p>
            <w:pPr>
              <w:ind w:left="220"/>
              <w:spacing w:after="0"/>
              <w:rPr>
                <w:sz w:val="20"/>
                <w:szCs w:val="20"/>
                <w:color w:val="auto"/>
              </w:rPr>
            </w:pPr>
            <w:r>
              <w:rPr>
                <w:rFonts w:ascii="Arial" w:cs="Arial" w:eastAsia="Arial" w:hAnsi="Arial"/>
                <w:sz w:val="14"/>
                <w:szCs w:val="14"/>
                <w:color w:val="auto"/>
              </w:rPr>
              <w:t>Certification of Chief Financial Officer pursuant to Rule 13a-14 of the Securities Exchange Act of 1934, as amended.</w:t>
            </w:r>
          </w:p>
        </w:tc>
      </w:tr>
      <w:tr>
        <w:trPr>
          <w:trHeight w:val="257"/>
        </w:trPr>
        <w:tc>
          <w:tcPr>
            <w:tcW w:w="540" w:type="dxa"/>
            <w:vAlign w:val="bottom"/>
          </w:tcPr>
          <w:p>
            <w:pPr>
              <w:spacing w:after="0"/>
              <w:rPr>
                <w:sz w:val="20"/>
                <w:szCs w:val="20"/>
                <w:color w:val="auto"/>
              </w:rPr>
            </w:pPr>
            <w:r>
              <w:rPr>
                <w:rFonts w:ascii="Arial" w:cs="Arial" w:eastAsia="Arial" w:hAnsi="Arial"/>
                <w:sz w:val="14"/>
                <w:szCs w:val="14"/>
                <w:color w:val="auto"/>
              </w:rPr>
              <w:t>32.1*</w:t>
            </w:r>
          </w:p>
        </w:tc>
        <w:tc>
          <w:tcPr>
            <w:tcW w:w="10520" w:type="dxa"/>
            <w:vAlign w:val="bottom"/>
          </w:tcPr>
          <w:p>
            <w:pPr>
              <w:ind w:left="220"/>
              <w:spacing w:after="0"/>
              <w:rPr>
                <w:sz w:val="20"/>
                <w:szCs w:val="20"/>
                <w:color w:val="auto"/>
              </w:rPr>
            </w:pPr>
            <w:r>
              <w:rPr>
                <w:rFonts w:ascii="Arial" w:cs="Arial" w:eastAsia="Arial" w:hAnsi="Arial"/>
                <w:sz w:val="14"/>
                <w:szCs w:val="14"/>
                <w:color w:val="auto"/>
              </w:rPr>
              <w:t>Certification of Chief Executive Officer pursuant to section 906 of the Sarbanes-Oxley Act of 2002.</w:t>
            </w:r>
          </w:p>
        </w:tc>
      </w:tr>
      <w:tr>
        <w:trPr>
          <w:trHeight w:val="257"/>
        </w:trPr>
        <w:tc>
          <w:tcPr>
            <w:tcW w:w="540" w:type="dxa"/>
            <w:vAlign w:val="bottom"/>
          </w:tcPr>
          <w:p>
            <w:pPr>
              <w:spacing w:after="0"/>
              <w:rPr>
                <w:sz w:val="20"/>
                <w:szCs w:val="20"/>
                <w:color w:val="auto"/>
              </w:rPr>
            </w:pPr>
            <w:r>
              <w:rPr>
                <w:rFonts w:ascii="Arial" w:cs="Arial" w:eastAsia="Arial" w:hAnsi="Arial"/>
                <w:sz w:val="14"/>
                <w:szCs w:val="14"/>
                <w:color w:val="auto"/>
              </w:rPr>
              <w:t>32.2*</w:t>
            </w:r>
          </w:p>
        </w:tc>
        <w:tc>
          <w:tcPr>
            <w:tcW w:w="10520" w:type="dxa"/>
            <w:vAlign w:val="bottom"/>
          </w:tcPr>
          <w:p>
            <w:pPr>
              <w:ind w:left="220"/>
              <w:spacing w:after="0"/>
              <w:rPr>
                <w:sz w:val="20"/>
                <w:szCs w:val="20"/>
                <w:color w:val="auto"/>
              </w:rPr>
            </w:pPr>
            <w:r>
              <w:rPr>
                <w:rFonts w:ascii="Arial" w:cs="Arial" w:eastAsia="Arial" w:hAnsi="Arial"/>
                <w:sz w:val="14"/>
                <w:szCs w:val="14"/>
                <w:color w:val="auto"/>
              </w:rPr>
              <w:t>Certification of Chief Financial Officer pursuant to section 906 of the Sarbanes-Oxley Act of 2002.</w:t>
            </w:r>
          </w:p>
        </w:tc>
      </w:tr>
      <w:tr>
        <w:trPr>
          <w:trHeight w:val="256"/>
        </w:trPr>
        <w:tc>
          <w:tcPr>
            <w:tcW w:w="540" w:type="dxa"/>
            <w:vAlign w:val="bottom"/>
          </w:tcPr>
          <w:p>
            <w:pPr>
              <w:spacing w:after="0"/>
              <w:rPr>
                <w:sz w:val="20"/>
                <w:szCs w:val="20"/>
                <w:color w:val="auto"/>
              </w:rPr>
            </w:pPr>
            <w:r>
              <w:rPr>
                <w:rFonts w:ascii="Arial" w:cs="Arial" w:eastAsia="Arial" w:hAnsi="Arial"/>
                <w:sz w:val="14"/>
                <w:szCs w:val="14"/>
                <w:color w:val="auto"/>
              </w:rPr>
              <w:t>99.1</w:t>
            </w:r>
          </w:p>
        </w:tc>
        <w:tc>
          <w:tcPr>
            <w:tcW w:w="10520" w:type="dxa"/>
            <w:vAlign w:val="bottom"/>
          </w:tcPr>
          <w:p>
            <w:pPr>
              <w:ind w:left="220"/>
              <w:spacing w:after="0"/>
              <w:rPr>
                <w:sz w:val="20"/>
                <w:szCs w:val="20"/>
                <w:color w:val="auto"/>
              </w:rPr>
            </w:pPr>
            <w:r>
              <w:rPr>
                <w:rFonts w:ascii="Arial" w:cs="Arial" w:eastAsia="Arial" w:hAnsi="Arial"/>
                <w:sz w:val="14"/>
                <w:szCs w:val="14"/>
                <w:color w:val="auto"/>
                <w:w w:val="95"/>
              </w:rPr>
              <w:t>Privacy Policy of the Registrant (Incorporated by reference to Exhibit 99.1 to the Registrant’s Annual Report on Form 10-K (File No. 814-00736), filed on November 16, 2011).</w:t>
            </w:r>
          </w:p>
        </w:tc>
      </w:tr>
      <w:tr>
        <w:trPr>
          <w:trHeight w:val="257"/>
        </w:trPr>
        <w:tc>
          <w:tcPr>
            <w:tcW w:w="540" w:type="dxa"/>
            <w:vAlign w:val="bottom"/>
          </w:tcPr>
          <w:p>
            <w:pPr>
              <w:spacing w:after="0"/>
              <w:rPr>
                <w:sz w:val="20"/>
                <w:szCs w:val="20"/>
                <w:color w:val="auto"/>
              </w:rPr>
            </w:pPr>
            <w:r>
              <w:rPr>
                <w:rFonts w:ascii="Arial" w:cs="Arial" w:eastAsia="Arial" w:hAnsi="Arial"/>
                <w:sz w:val="14"/>
                <w:szCs w:val="14"/>
                <w:color w:val="auto"/>
              </w:rPr>
              <w:t>99.2*</w:t>
            </w:r>
          </w:p>
        </w:tc>
        <w:tc>
          <w:tcPr>
            <w:tcW w:w="10520" w:type="dxa"/>
            <w:vAlign w:val="bottom"/>
          </w:tcPr>
          <w:p>
            <w:pPr>
              <w:ind w:left="220"/>
              <w:spacing w:after="0"/>
              <w:rPr>
                <w:sz w:val="20"/>
                <w:szCs w:val="20"/>
                <w:color w:val="auto"/>
              </w:rPr>
            </w:pPr>
            <w:r>
              <w:rPr>
                <w:rFonts w:ascii="Arial" w:cs="Arial" w:eastAsia="Arial" w:hAnsi="Arial"/>
                <w:sz w:val="14"/>
                <w:szCs w:val="14"/>
                <w:color w:val="auto"/>
              </w:rPr>
              <w:t>Audited Financial Statements of RAM Energy Holdings LLC as of and for the year ended December 31,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393065</wp:posOffset>
            </wp:positionV>
            <wp:extent cx="85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ectPr>
          <w:pgSz w:w="11900" w:h="16838" w:orient="portrait"/>
          <w:cols w:equalWidth="0" w:num="1">
            <w:col w:w="11120"/>
          </w:cols>
          <w:pgMar w:left="320" w:top="265" w:right="45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08"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ARTHUR H. PENN</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4"/>
                <w:szCs w:val="14"/>
                <w:color w:val="auto"/>
              </w:rPr>
              <w:t>Name:</w:t>
            </w:r>
          </w:p>
        </w:tc>
        <w:tc>
          <w:tcPr>
            <w:tcW w:w="3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86"/>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Chief Executive Officer and Chairman of the Board of Directors</w:t>
            </w:r>
          </w:p>
        </w:tc>
      </w:tr>
    </w:tbl>
    <w:p>
      <w:pPr>
        <w:spacing w:after="0" w:line="182"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1780" w:type="dxa"/>
            <w:vAlign w:val="bottom"/>
          </w:tcPr>
          <w:p>
            <w:pPr>
              <w:spacing w:after="0"/>
              <w:rPr>
                <w:sz w:val="14"/>
                <w:szCs w:val="14"/>
                <w:color w:val="auto"/>
              </w:rPr>
            </w:pPr>
          </w:p>
        </w:tc>
        <w:tc>
          <w:tcPr>
            <w:tcW w:w="54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Title</w:t>
            </w:r>
          </w:p>
        </w:tc>
        <w:tc>
          <w:tcPr>
            <w:tcW w:w="64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2"/>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ARTHUR H. PENN</w:t>
            </w:r>
          </w:p>
        </w:tc>
        <w:tc>
          <w:tcPr>
            <w:tcW w:w="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Arial" w:cs="Arial" w:eastAsia="Arial" w:hAnsi="Arial"/>
                <w:sz w:val="14"/>
                <w:szCs w:val="14"/>
                <w:color w:val="auto"/>
                <w:w w:val="95"/>
              </w:rPr>
              <w:t>Chief Executive Officer and Chairman of the Board of Directors (Principal Executive</w:t>
            </w:r>
          </w:p>
        </w:tc>
        <w:tc>
          <w:tcPr>
            <w:tcW w:w="124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March 17, 2017</w:t>
            </w:r>
          </w:p>
        </w:tc>
      </w:tr>
      <w:tr>
        <w:trPr>
          <w:trHeight w:val="186"/>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780" w:type="dxa"/>
            <w:vAlign w:val="bottom"/>
          </w:tcPr>
          <w:p>
            <w:pPr>
              <w:spacing w:after="0"/>
              <w:rPr>
                <w:sz w:val="16"/>
                <w:szCs w:val="16"/>
                <w:color w:val="auto"/>
              </w:rPr>
            </w:pPr>
          </w:p>
        </w:tc>
        <w:tc>
          <w:tcPr>
            <w:tcW w:w="5400" w:type="dxa"/>
            <w:vAlign w:val="bottom"/>
            <w:gridSpan w:val="3"/>
          </w:tcPr>
          <w:p>
            <w:pPr>
              <w:jc w:val="center"/>
              <w:ind w:right="180"/>
              <w:spacing w:after="0" w:line="150" w:lineRule="exact"/>
              <w:rPr>
                <w:sz w:val="20"/>
                <w:szCs w:val="20"/>
                <w:color w:val="auto"/>
              </w:rPr>
            </w:pPr>
            <w:r>
              <w:rPr>
                <w:rFonts w:ascii="Arial" w:cs="Arial" w:eastAsia="Arial" w:hAnsi="Arial"/>
                <w:sz w:val="14"/>
                <w:szCs w:val="14"/>
                <w:color w:val="auto"/>
              </w:rPr>
              <w:t>Officer)</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AVIV EFRAT</w:t>
            </w:r>
          </w:p>
        </w:tc>
        <w:tc>
          <w:tcPr>
            <w:tcW w:w="178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180"/>
              <w:spacing w:after="0"/>
              <w:rPr>
                <w:sz w:val="20"/>
                <w:szCs w:val="20"/>
                <w:color w:val="auto"/>
              </w:rPr>
            </w:pPr>
            <w:r>
              <w:rPr>
                <w:rFonts w:ascii="Arial" w:cs="Arial" w:eastAsia="Arial" w:hAnsi="Arial"/>
                <w:sz w:val="14"/>
                <w:szCs w:val="14"/>
                <w:color w:val="auto"/>
                <w:w w:val="95"/>
              </w:rPr>
              <w:t>Chief Financial Officer and Treasurer (Principal Financial Officer and Accounting</w:t>
            </w:r>
          </w:p>
        </w:tc>
        <w:tc>
          <w:tcPr>
            <w:tcW w:w="124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March 17, 2017</w:t>
            </w:r>
          </w:p>
        </w:tc>
      </w:tr>
      <w:tr>
        <w:trPr>
          <w:trHeight w:val="186"/>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780" w:type="dxa"/>
            <w:vAlign w:val="bottom"/>
          </w:tcPr>
          <w:p>
            <w:pPr>
              <w:spacing w:after="0"/>
              <w:rPr>
                <w:sz w:val="16"/>
                <w:szCs w:val="16"/>
                <w:color w:val="auto"/>
              </w:rPr>
            </w:pPr>
          </w:p>
        </w:tc>
        <w:tc>
          <w:tcPr>
            <w:tcW w:w="5400" w:type="dxa"/>
            <w:vAlign w:val="bottom"/>
            <w:gridSpan w:val="3"/>
          </w:tcPr>
          <w:p>
            <w:pPr>
              <w:jc w:val="center"/>
              <w:ind w:right="180"/>
              <w:spacing w:after="0" w:line="150" w:lineRule="exact"/>
              <w:rPr>
                <w:sz w:val="20"/>
                <w:szCs w:val="20"/>
                <w:color w:val="auto"/>
              </w:rPr>
            </w:pPr>
            <w:r>
              <w:rPr>
                <w:rFonts w:ascii="Arial" w:cs="Arial" w:eastAsia="Arial" w:hAnsi="Arial"/>
                <w:sz w:val="14"/>
                <w:szCs w:val="14"/>
                <w:color w:val="auto"/>
              </w:rPr>
              <w:t>Officer)</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ADAM K. BERNSTEIN</w:t>
            </w:r>
          </w:p>
        </w:tc>
        <w:tc>
          <w:tcPr>
            <w:tcW w:w="178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Arial" w:cs="Arial" w:eastAsia="Arial" w:hAnsi="Arial"/>
                <w:sz w:val="14"/>
                <w:szCs w:val="14"/>
                <w:color w:val="auto"/>
                <w:w w:val="92"/>
              </w:rPr>
              <w:t>Chairman</w:t>
            </w:r>
          </w:p>
        </w:tc>
        <w:tc>
          <w:tcPr>
            <w:tcW w:w="124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March 17, 2017</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JEFFREY FLUG</w:t>
            </w:r>
          </w:p>
        </w:tc>
        <w:tc>
          <w:tcPr>
            <w:tcW w:w="178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Arial" w:cs="Arial" w:eastAsia="Arial" w:hAnsi="Arial"/>
                <w:sz w:val="14"/>
                <w:szCs w:val="14"/>
                <w:color w:val="auto"/>
                <w:w w:val="97"/>
              </w:rPr>
              <w:t>Director</w:t>
            </w:r>
          </w:p>
        </w:tc>
        <w:tc>
          <w:tcPr>
            <w:tcW w:w="124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March 17, 2017</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MARSHALL BROZOST</w:t>
            </w:r>
          </w:p>
        </w:tc>
        <w:tc>
          <w:tcPr>
            <w:tcW w:w="178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Arial" w:cs="Arial" w:eastAsia="Arial" w:hAnsi="Arial"/>
                <w:sz w:val="14"/>
                <w:szCs w:val="14"/>
                <w:color w:val="auto"/>
                <w:w w:val="97"/>
              </w:rPr>
              <w:t>Director</w:t>
            </w:r>
          </w:p>
        </w:tc>
        <w:tc>
          <w:tcPr>
            <w:tcW w:w="124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March 17, 2017</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SAMUEL L. KATZ</w:t>
            </w:r>
          </w:p>
        </w:tc>
        <w:tc>
          <w:tcPr>
            <w:tcW w:w="178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Arial" w:cs="Arial" w:eastAsia="Arial" w:hAnsi="Arial"/>
                <w:sz w:val="14"/>
                <w:szCs w:val="14"/>
                <w:color w:val="auto"/>
                <w:w w:val="97"/>
              </w:rPr>
              <w:t>Director</w:t>
            </w:r>
          </w:p>
        </w:tc>
        <w:tc>
          <w:tcPr>
            <w:tcW w:w="124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March 17, 2017</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bl>
    <w:p>
      <w:pPr>
        <w:sectPr>
          <w:pgSz w:w="11900" w:h="16838" w:orient="portrait"/>
          <w:cols w:equalWidth="0" w:num="1">
            <w:col w:w="11120"/>
          </w:cols>
          <w:pgMar w:left="320" w:top="265"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31.1</w:t>
      </w:r>
    </w:p>
    <w:p>
      <w:pPr>
        <w:spacing w:after="0" w:line="311"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 have reviewed this Annual Report on Form 10-K/A of PennantPark Investment Corporation;</w:t>
      </w:r>
    </w:p>
    <w:p>
      <w:pPr>
        <w:spacing w:after="0" w:line="176" w:lineRule="exact"/>
        <w:rPr>
          <w:rFonts w:ascii="Arial" w:cs="Arial" w:eastAsia="Arial" w:hAnsi="Arial"/>
          <w:sz w:val="14"/>
          <w:szCs w:val="14"/>
          <w:color w:val="auto"/>
        </w:rPr>
      </w:pPr>
    </w:p>
    <w:p>
      <w:pPr>
        <w:ind w:right="320" w:firstLine="570"/>
        <w:spacing w:after="0" w:line="253" w:lineRule="auto"/>
        <w:tabs>
          <w:tab w:leader="none" w:pos="705"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400" w:firstLine="570"/>
        <w:spacing w:after="0" w:line="253" w:lineRule="auto"/>
        <w:tabs>
          <w:tab w:leader="none" w:pos="705"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0" w:firstLine="794"/>
        <w:spacing w:after="0" w:line="253" w:lineRule="auto"/>
        <w:tabs>
          <w:tab w:leader="none" w:pos="934" w:val="left"/>
        </w:tabs>
        <w:numPr>
          <w:ilvl w:val="1"/>
          <w:numId w:val="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20" w:firstLine="794"/>
        <w:spacing w:after="0" w:line="290" w:lineRule="auto"/>
        <w:tabs>
          <w:tab w:leader="none" w:pos="942" w:val="left"/>
        </w:tabs>
        <w:numPr>
          <w:ilvl w:val="1"/>
          <w:numId w:val="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March 17, 2017</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b w:val="1"/>
          <w:bCs w:val="1"/>
          <w:color w:val="auto"/>
        </w:rPr>
        <w:t>Exhibit 31.2</w:t>
      </w:r>
    </w:p>
    <w:p>
      <w:pPr>
        <w:spacing w:after="0" w:line="311"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 have reviewed this Annual Report on Form 10-K/A of PennantPark Investment Corporation;</w:t>
      </w:r>
    </w:p>
    <w:p>
      <w:pPr>
        <w:spacing w:after="0" w:line="176" w:lineRule="exact"/>
        <w:rPr>
          <w:rFonts w:ascii="Arial" w:cs="Arial" w:eastAsia="Arial" w:hAnsi="Arial"/>
          <w:sz w:val="14"/>
          <w:szCs w:val="14"/>
          <w:color w:val="auto"/>
        </w:rPr>
      </w:pPr>
    </w:p>
    <w:p>
      <w:pPr>
        <w:ind w:right="320" w:firstLine="570"/>
        <w:spacing w:after="0" w:line="253" w:lineRule="auto"/>
        <w:tabs>
          <w:tab w:leader="none" w:pos="705"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400" w:firstLine="570"/>
        <w:spacing w:after="0" w:line="253" w:lineRule="auto"/>
        <w:tabs>
          <w:tab w:leader="none" w:pos="705"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0" w:firstLine="794"/>
        <w:spacing w:after="0" w:line="253" w:lineRule="auto"/>
        <w:tabs>
          <w:tab w:leader="none" w:pos="934" w:val="left"/>
        </w:tabs>
        <w:numPr>
          <w:ilvl w:val="1"/>
          <w:numId w:val="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20" w:firstLine="794"/>
        <w:spacing w:after="0" w:line="290" w:lineRule="auto"/>
        <w:tabs>
          <w:tab w:leader="none" w:pos="942" w:val="left"/>
        </w:tabs>
        <w:numPr>
          <w:ilvl w:val="1"/>
          <w:numId w:val="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March 17, 2017</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b w:val="1"/>
          <w:bCs w:val="1"/>
          <w:color w:val="auto"/>
        </w:rPr>
        <w:t>Exhibit 32.1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this Annual Report on Form 10-K/A of PennantPark Investment Corporation for the annual period ended September 30, 2016 as filed with the Securities and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Exchange Commission on the date hereof (the “Report”), I, Arthur H. Penn, as Chief Executive Officer of the Registrant hereby certify, to the best of my knowledge that:</w:t>
      </w:r>
    </w:p>
    <w:p>
      <w:pPr>
        <w:spacing w:after="0" w:line="84" w:lineRule="exact"/>
        <w:rPr>
          <w:sz w:val="20"/>
          <w:szCs w:val="20"/>
          <w:color w:val="auto"/>
        </w:rPr>
      </w:pPr>
    </w:p>
    <w:p>
      <w:pPr>
        <w:ind w:left="880" w:hanging="204"/>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line="221" w:lineRule="auto"/>
        <w:rPr>
          <w:sz w:val="20"/>
          <w:szCs w:val="20"/>
          <w:color w:val="auto"/>
        </w:rPr>
      </w:pPr>
      <w:r>
        <w:rPr>
          <w:rFonts w:ascii="Arial" w:cs="Arial" w:eastAsia="Arial" w:hAnsi="Arial"/>
          <w:sz w:val="14"/>
          <w:szCs w:val="14"/>
          <w:color w:val="auto"/>
        </w:rPr>
        <w:t>Title: Chief Executive Officer</w:t>
      </w:r>
    </w:p>
    <w:p>
      <w:pPr>
        <w:spacing w:after="0"/>
        <w:rPr>
          <w:sz w:val="20"/>
          <w:szCs w:val="20"/>
          <w:color w:val="auto"/>
        </w:rPr>
      </w:pPr>
      <w:r>
        <w:rPr>
          <w:rFonts w:ascii="Arial" w:cs="Arial" w:eastAsia="Arial" w:hAnsi="Arial"/>
          <w:sz w:val="14"/>
          <w:szCs w:val="14"/>
          <w:color w:val="auto"/>
        </w:rPr>
        <w:t>Date: March 17, 2017</w:t>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32.2</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this Annual Report on Form 10-K/A of PennantPark Investment Corporation for the annual period ended September 30, 2016 as filed with the Securities and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Exchange Commission on the date hereof (the “Report”), I, Aviv Efrat, as Chief Financial Officer of the Registrant hereby certify, to the best of my knowledge that:</w:t>
      </w:r>
    </w:p>
    <w:p>
      <w:pPr>
        <w:spacing w:after="0" w:line="84" w:lineRule="exact"/>
        <w:rPr>
          <w:sz w:val="20"/>
          <w:szCs w:val="20"/>
          <w:color w:val="auto"/>
        </w:rPr>
      </w:pPr>
    </w:p>
    <w:p>
      <w:pPr>
        <w:ind w:left="880" w:hanging="204"/>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line="221" w:lineRule="auto"/>
        <w:rPr>
          <w:sz w:val="20"/>
          <w:szCs w:val="20"/>
          <w:color w:val="auto"/>
        </w:rPr>
      </w:pPr>
      <w:r>
        <w:rPr>
          <w:rFonts w:ascii="Arial" w:cs="Arial" w:eastAsia="Arial" w:hAnsi="Arial"/>
          <w:sz w:val="14"/>
          <w:szCs w:val="14"/>
          <w:color w:val="auto"/>
        </w:rPr>
        <w:t>Title: Chief Financial Officer</w:t>
      </w:r>
    </w:p>
    <w:p>
      <w:pPr>
        <w:spacing w:after="0"/>
        <w:rPr>
          <w:sz w:val="20"/>
          <w:szCs w:val="20"/>
          <w:color w:val="auto"/>
        </w:rPr>
      </w:pPr>
      <w:r>
        <w:rPr>
          <w:rFonts w:ascii="Arial" w:cs="Arial" w:eastAsia="Arial" w:hAnsi="Arial"/>
          <w:sz w:val="14"/>
          <w:szCs w:val="14"/>
          <w:color w:val="auto"/>
        </w:rPr>
        <w:t>Date: March 17, 2017</w:t>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11430</wp:posOffset>
            </wp:positionV>
            <wp:extent cx="282575" cy="1603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300"/>
        <w:spacing w:after="0"/>
        <w:rPr>
          <w:sz w:val="20"/>
          <w:szCs w:val="20"/>
          <w:color w:val="auto"/>
        </w:rPr>
      </w:pPr>
      <w:r>
        <w:rPr>
          <w:rFonts w:ascii="Arial" w:cs="Arial" w:eastAsia="Arial" w:hAnsi="Arial"/>
          <w:sz w:val="29"/>
          <w:szCs w:val="29"/>
          <w:b w:val="1"/>
          <w:bCs w:val="1"/>
          <w:color w:val="auto"/>
        </w:rPr>
        <w:t>RAM ENERGY HOLDINGS LLC</w:t>
      </w:r>
    </w:p>
    <w:p>
      <w:pPr>
        <w:spacing w:after="0" w:line="189" w:lineRule="exact"/>
        <w:rPr>
          <w:sz w:val="20"/>
          <w:szCs w:val="20"/>
          <w:color w:val="auto"/>
        </w:rPr>
      </w:pPr>
    </w:p>
    <w:p>
      <w:pPr>
        <w:ind w:left="5300"/>
        <w:spacing w:after="0"/>
        <w:rPr>
          <w:sz w:val="20"/>
          <w:szCs w:val="20"/>
          <w:color w:val="auto"/>
        </w:rPr>
      </w:pPr>
      <w:r>
        <w:rPr>
          <w:rFonts w:ascii="Arial" w:cs="Arial" w:eastAsia="Arial" w:hAnsi="Arial"/>
          <w:sz w:val="25"/>
          <w:szCs w:val="25"/>
          <w:b w:val="1"/>
          <w:bCs w:val="1"/>
          <w:color w:val="auto"/>
        </w:rPr>
        <w:t>Consolidated Financial Statements</w:t>
      </w:r>
    </w:p>
    <w:p>
      <w:pPr>
        <w:spacing w:after="0" w:line="209"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As of and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1052195</wp:posOffset>
            </wp:positionV>
            <wp:extent cx="282575" cy="3883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38830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4232910</wp:posOffset>
            </wp:positionV>
            <wp:extent cx="94297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29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1"/>
          <w:szCs w:val="11"/>
          <w:color w:val="1F497D"/>
        </w:rPr>
        <w:t>The report accompanying these financial statements was issued by</w:t>
      </w:r>
    </w:p>
    <w:p>
      <w:pPr>
        <w:spacing w:after="0" w:line="230" w:lineRule="auto"/>
        <w:rPr>
          <w:sz w:val="20"/>
          <w:szCs w:val="20"/>
          <w:color w:val="auto"/>
        </w:rPr>
      </w:pPr>
      <w:r>
        <w:rPr>
          <w:rFonts w:ascii="Arial" w:cs="Arial" w:eastAsia="Arial" w:hAnsi="Arial"/>
          <w:sz w:val="11"/>
          <w:szCs w:val="11"/>
          <w:color w:val="1F497D"/>
        </w:rPr>
        <w:t>BDO USA, LLP, a Delaware limited liability partnership and the U.S. member of</w:t>
      </w:r>
    </w:p>
    <w:p>
      <w:pPr>
        <w:spacing w:after="0"/>
        <w:rPr>
          <w:sz w:val="20"/>
          <w:szCs w:val="20"/>
          <w:color w:val="auto"/>
        </w:rPr>
      </w:pPr>
      <w:r>
        <w:rPr>
          <w:rFonts w:ascii="Arial" w:cs="Arial" w:eastAsia="Arial" w:hAnsi="Arial"/>
          <w:sz w:val="11"/>
          <w:szCs w:val="11"/>
          <w:color w:val="1F497D"/>
        </w:rPr>
        <w:t>BDO International Limited, a UK company limited by guarantee.</w:t>
      </w:r>
    </w:p>
    <w:p>
      <w:pPr>
        <w:sectPr>
          <w:pgSz w:w="11900" w:h="16838" w:orient="portrait"/>
          <w:cols w:equalWidth="0" w:num="1">
            <w:col w:w="11240"/>
          </w:cols>
          <w:pgMar w:left="320" w:top="118"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RAM ENERGY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As of and for the Year Ended December 31, 2016</w:t>
      </w:r>
    </w:p>
    <w:p>
      <w:pPr>
        <w:sectPr>
          <w:pgSz w:w="11900" w:h="16838" w:orient="portrait"/>
          <w:cols w:equalWidth="0" w:num="1">
            <w:col w:w="9019"/>
          </w:cols>
          <w:pgMar w:left="1440" w:top="1440" w:right="1440" w:bottom="1440" w:gutter="0" w:footer="0" w:header="0"/>
          <w:type w:val="continuous"/>
        </w:sectPr>
      </w:pPr>
    </w:p>
    <w:bookmarkStart w:id="10" w:name="page11"/>
    <w:bookmarkEnd w:id="1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RAM Energy Holdings LLC</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0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392"/>
        </w:trPr>
        <w:tc>
          <w:tcPr>
            <w:tcW w:w="9080" w:type="dxa"/>
            <w:vAlign w:val="bottom"/>
          </w:tcPr>
          <w:p>
            <w:pPr>
              <w:spacing w:after="0"/>
              <w:rPr>
                <w:sz w:val="20"/>
                <w:szCs w:val="20"/>
                <w:color w:val="auto"/>
              </w:rPr>
            </w:pPr>
            <w:r>
              <w:rPr>
                <w:rFonts w:ascii="Arial" w:cs="Arial" w:eastAsia="Arial" w:hAnsi="Arial"/>
                <w:sz w:val="19"/>
                <w:szCs w:val="19"/>
                <w:b w:val="1"/>
                <w:bCs w:val="1"/>
                <w:color w:val="auto"/>
              </w:rPr>
              <w:t>Independent Auditor’s Report</w:t>
            </w:r>
          </w:p>
        </w:tc>
        <w:tc>
          <w:tcPr>
            <w:tcW w:w="1980" w:type="dxa"/>
            <w:vAlign w:val="bottom"/>
          </w:tcPr>
          <w:p>
            <w:pPr>
              <w:jc w:val="right"/>
              <w:spacing w:after="0"/>
              <w:rPr>
                <w:sz w:val="20"/>
                <w:szCs w:val="20"/>
                <w:color w:val="auto"/>
              </w:rPr>
            </w:pPr>
            <w:r>
              <w:rPr>
                <w:rFonts w:ascii="Arial" w:cs="Arial" w:eastAsia="Arial" w:hAnsi="Arial"/>
                <w:sz w:val="19"/>
                <w:szCs w:val="19"/>
                <w:b w:val="1"/>
                <w:bCs w:val="1"/>
                <w:color w:val="auto"/>
              </w:rPr>
              <w:t>3</w:t>
            </w:r>
          </w:p>
        </w:tc>
      </w:tr>
      <w:tr>
        <w:trPr>
          <w:trHeight w:val="376"/>
        </w:trPr>
        <w:tc>
          <w:tcPr>
            <w:tcW w:w="908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980" w:type="dxa"/>
            <w:vAlign w:val="bottom"/>
          </w:tcPr>
          <w:p>
            <w:pPr>
              <w:spacing w:after="0"/>
              <w:rPr>
                <w:sz w:val="24"/>
                <w:szCs w:val="24"/>
                <w:color w:val="auto"/>
              </w:rPr>
            </w:pPr>
          </w:p>
        </w:tc>
      </w:tr>
      <w:tr>
        <w:trPr>
          <w:trHeight w:val="396"/>
        </w:trPr>
        <w:tc>
          <w:tcPr>
            <w:tcW w:w="9080" w:type="dxa"/>
            <w:vAlign w:val="bottom"/>
          </w:tcPr>
          <w:p>
            <w:pPr>
              <w:ind w:left="200"/>
              <w:spacing w:after="0"/>
              <w:rPr>
                <w:sz w:val="20"/>
                <w:szCs w:val="20"/>
                <w:color w:val="auto"/>
              </w:rPr>
            </w:pPr>
            <w:r>
              <w:rPr>
                <w:rFonts w:ascii="Arial" w:cs="Arial" w:eastAsia="Arial" w:hAnsi="Arial"/>
                <w:sz w:val="20"/>
                <w:szCs w:val="20"/>
                <w:color w:val="auto"/>
              </w:rPr>
              <w:t>Consolidated Balance Sheet as of December 31, 2016</w:t>
            </w:r>
          </w:p>
        </w:tc>
        <w:tc>
          <w:tcPr>
            <w:tcW w:w="19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92"/>
        </w:trPr>
        <w:tc>
          <w:tcPr>
            <w:tcW w:w="9080" w:type="dxa"/>
            <w:vAlign w:val="bottom"/>
          </w:tcPr>
          <w:p>
            <w:pPr>
              <w:ind w:left="200"/>
              <w:spacing w:after="0"/>
              <w:rPr>
                <w:sz w:val="20"/>
                <w:szCs w:val="20"/>
                <w:color w:val="auto"/>
              </w:rPr>
            </w:pPr>
            <w:r>
              <w:rPr>
                <w:rFonts w:ascii="Arial" w:cs="Arial" w:eastAsia="Arial" w:hAnsi="Arial"/>
                <w:sz w:val="20"/>
                <w:szCs w:val="20"/>
                <w:color w:val="auto"/>
              </w:rPr>
              <w:t>Consolidated Statement of Operations for the Year Ended December 31, 2016</w:t>
            </w:r>
          </w:p>
        </w:tc>
        <w:tc>
          <w:tcPr>
            <w:tcW w:w="19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91"/>
        </w:trPr>
        <w:tc>
          <w:tcPr>
            <w:tcW w:w="9080" w:type="dxa"/>
            <w:vAlign w:val="bottom"/>
          </w:tcPr>
          <w:p>
            <w:pPr>
              <w:ind w:left="200"/>
              <w:spacing w:after="0"/>
              <w:rPr>
                <w:sz w:val="20"/>
                <w:szCs w:val="20"/>
                <w:color w:val="auto"/>
              </w:rPr>
            </w:pPr>
            <w:r>
              <w:rPr>
                <w:rFonts w:ascii="Arial" w:cs="Arial" w:eastAsia="Arial" w:hAnsi="Arial"/>
                <w:sz w:val="20"/>
                <w:szCs w:val="20"/>
                <w:color w:val="auto"/>
              </w:rPr>
              <w:t>Consolidated Statement of Member’s Deficit for the Year Ended December 31, 2016</w:t>
            </w:r>
          </w:p>
        </w:tc>
        <w:tc>
          <w:tcPr>
            <w:tcW w:w="19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392"/>
        </w:trPr>
        <w:tc>
          <w:tcPr>
            <w:tcW w:w="9080" w:type="dxa"/>
            <w:vAlign w:val="bottom"/>
          </w:tcPr>
          <w:p>
            <w:pPr>
              <w:ind w:left="200"/>
              <w:spacing w:after="0"/>
              <w:rPr>
                <w:sz w:val="20"/>
                <w:szCs w:val="20"/>
                <w:color w:val="auto"/>
              </w:rPr>
            </w:pPr>
            <w:r>
              <w:rPr>
                <w:rFonts w:ascii="Arial" w:cs="Arial" w:eastAsia="Arial" w:hAnsi="Arial"/>
                <w:sz w:val="20"/>
                <w:szCs w:val="20"/>
                <w:color w:val="auto"/>
              </w:rPr>
              <w:t>Consolidated Statement of Cash Flows for the Year Ended December 31, 2016</w:t>
            </w:r>
          </w:p>
        </w:tc>
        <w:tc>
          <w:tcPr>
            <w:tcW w:w="19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92"/>
        </w:trPr>
        <w:tc>
          <w:tcPr>
            <w:tcW w:w="9080" w:type="dxa"/>
            <w:vAlign w:val="bottom"/>
          </w:tcPr>
          <w:p>
            <w:pPr>
              <w:ind w:left="200"/>
              <w:spacing w:after="0"/>
              <w:rPr>
                <w:sz w:val="20"/>
                <w:szCs w:val="20"/>
                <w:color w:val="auto"/>
              </w:rPr>
            </w:pPr>
            <w:r>
              <w:rPr>
                <w:rFonts w:ascii="Arial" w:cs="Arial" w:eastAsia="Arial" w:hAnsi="Arial"/>
                <w:sz w:val="20"/>
                <w:szCs w:val="20"/>
                <w:color w:val="auto"/>
              </w:rPr>
              <w:t>Notes to Consolidated Financial Statements</w:t>
            </w:r>
          </w:p>
        </w:tc>
        <w:tc>
          <w:tcPr>
            <w:tcW w:w="1980" w:type="dxa"/>
            <w:vAlign w:val="bottom"/>
          </w:tcPr>
          <w:p>
            <w:pPr>
              <w:jc w:val="right"/>
              <w:spacing w:after="0"/>
              <w:rPr>
                <w:sz w:val="20"/>
                <w:szCs w:val="20"/>
                <w:color w:val="auto"/>
              </w:rPr>
            </w:pPr>
            <w:r>
              <w:rPr>
                <w:rFonts w:ascii="Arial" w:cs="Arial" w:eastAsia="Arial" w:hAnsi="Arial"/>
                <w:sz w:val="20"/>
                <w:szCs w:val="20"/>
                <w:color w:val="auto"/>
              </w:rPr>
              <w:t>8 -18</w:t>
            </w:r>
          </w:p>
        </w:tc>
      </w:tr>
      <w:tr>
        <w:trPr>
          <w:trHeight w:val="362"/>
        </w:trPr>
        <w:tc>
          <w:tcPr>
            <w:tcW w:w="9080" w:type="dxa"/>
            <w:vAlign w:val="bottom"/>
          </w:tcPr>
          <w:p>
            <w:pPr>
              <w:ind w:left="5580"/>
              <w:spacing w:after="0"/>
              <w:rPr>
                <w:sz w:val="20"/>
                <w:szCs w:val="20"/>
                <w:color w:val="auto"/>
              </w:rPr>
            </w:pPr>
            <w:r>
              <w:rPr>
                <w:rFonts w:ascii="Arial" w:cs="Arial" w:eastAsia="Arial" w:hAnsi="Arial"/>
                <w:sz w:val="19"/>
                <w:szCs w:val="19"/>
                <w:b w:val="1"/>
                <w:bCs w:val="1"/>
                <w:color w:val="auto"/>
              </w:rPr>
              <w:t>2</w:t>
            </w:r>
          </w:p>
        </w:tc>
        <w:tc>
          <w:tcPr>
            <w:tcW w:w="1980" w:type="dxa"/>
            <w:vAlign w:val="bottom"/>
          </w:tcPr>
          <w:p>
            <w:pPr>
              <w:spacing w:after="0"/>
              <w:rPr>
                <w:sz w:val="24"/>
                <w:szCs w:val="24"/>
                <w:color w:val="auto"/>
              </w:rPr>
            </w:pPr>
          </w:p>
        </w:tc>
      </w:tr>
    </w:tbl>
    <w:p>
      <w:pPr>
        <w:sectPr>
          <w:pgSz w:w="11900" w:h="16838" w:orient="portrait"/>
          <w:cols w:equalWidth="0" w:num="1">
            <w:col w:w="11060"/>
          </w:cols>
          <w:pgMar w:left="320" w:top="258" w:right="519" w:bottom="1440" w:gutter="0" w:footer="0" w:header="0"/>
        </w:sectPr>
      </w:pPr>
    </w:p>
    <w:bookmarkStart w:id="11" w:name="page12"/>
    <w:bookmarkEnd w:id="11"/>
    <w:p>
      <w:pPr>
        <w:ind w:left="3280"/>
        <w:spacing w:after="0"/>
        <w:tabs>
          <w:tab w:leader="none" w:pos="3680" w:val="left"/>
        </w:tabs>
        <w:rPr>
          <w:sz w:val="20"/>
          <w:szCs w:val="20"/>
          <w:color w:val="auto"/>
        </w:rPr>
      </w:pPr>
      <w:r>
        <w:rPr>
          <w:rFonts w:ascii="Arial" w:cs="Arial" w:eastAsia="Arial" w:hAnsi="Arial"/>
          <w:sz w:val="14"/>
          <w:szCs w:val="14"/>
          <w:color w:val="685040"/>
        </w:rPr>
        <w:drawing>
          <wp:anchor simplePos="0" relativeHeight="251657728" behindDoc="1" locked="0" layoutInCell="0" allowOverlap="1">
            <wp:simplePos x="0" y="0"/>
            <wp:positionH relativeFrom="page">
              <wp:posOffset>208280</wp:posOffset>
            </wp:positionH>
            <wp:positionV relativeFrom="page">
              <wp:posOffset>183515</wp:posOffset>
            </wp:positionV>
            <wp:extent cx="916940" cy="351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16940" cy="351790"/>
                    </a:xfrm>
                    <a:prstGeom prst="rect">
                      <a:avLst/>
                    </a:prstGeom>
                    <a:noFill/>
                  </pic:spPr>
                </pic:pic>
              </a:graphicData>
            </a:graphic>
          </wp:anchor>
        </w:drawing>
        <w:t>Tel:</w:t>
        <w:tab/>
        <w:t>713-960-1706</w:t>
      </w:r>
    </w:p>
    <w:p>
      <w:pPr>
        <w:spacing w:after="0" w:line="15" w:lineRule="exact"/>
        <w:rPr>
          <w:sz w:val="20"/>
          <w:szCs w:val="20"/>
          <w:color w:val="auto"/>
        </w:rPr>
      </w:pPr>
    </w:p>
    <w:p>
      <w:pPr>
        <w:ind w:left="3280"/>
        <w:spacing w:after="0"/>
        <w:tabs>
          <w:tab w:leader="none" w:pos="3660" w:val="left"/>
        </w:tabs>
        <w:rPr>
          <w:sz w:val="20"/>
          <w:szCs w:val="20"/>
          <w:color w:val="auto"/>
        </w:rPr>
      </w:pPr>
      <w:r>
        <w:rPr>
          <w:rFonts w:ascii="Arial" w:cs="Arial" w:eastAsia="Arial" w:hAnsi="Arial"/>
          <w:sz w:val="14"/>
          <w:szCs w:val="14"/>
          <w:color w:val="685040"/>
        </w:rPr>
        <w:t>Fax:</w:t>
        <w:tab/>
        <w:t>713-960-9549</w:t>
      </w:r>
    </w:p>
    <w:p>
      <w:pPr>
        <w:spacing w:after="0" w:line="11"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685040"/>
        </w:rPr>
        <w:t>www.bdo.com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85040"/>
        </w:rPr>
        <w:t>2929 Allen Parkway, 20th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-198755</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685040"/>
        </w:rPr>
        <w:t>Houston, TX 77019</w:t>
      </w:r>
    </w:p>
    <w:p>
      <w:pPr>
        <w:spacing w:after="0" w:line="372" w:lineRule="exact"/>
        <w:rPr>
          <w:sz w:val="20"/>
          <w:szCs w:val="20"/>
          <w:color w:val="auto"/>
        </w:rPr>
      </w:pPr>
    </w:p>
    <w:p>
      <w:pPr>
        <w:sectPr>
          <w:pgSz w:w="11900" w:h="16838" w:orient="portrait"/>
          <w:cols w:equalWidth="0" w:num="2">
            <w:col w:w="5580" w:space="720"/>
            <w:col w:w="4940"/>
          </w:cols>
          <w:pgMar w:left="320" w:top="293"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Independent Auditor’s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rPr>
          <w:sz w:val="20"/>
          <w:szCs w:val="20"/>
          <w:color w:val="auto"/>
        </w:rPr>
      </w:pPr>
      <w:r>
        <w:rPr>
          <w:rFonts w:ascii="Arial" w:cs="Arial" w:eastAsia="Arial" w:hAnsi="Arial"/>
          <w:sz w:val="18"/>
          <w:szCs w:val="18"/>
          <w:color w:val="auto"/>
        </w:rPr>
        <w:t>RAM Energy Holdings LLC</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have audited the accompanying consolidated financial statements of RAM Energy Holdings LLC and Subsidiary (the “Company”), which comprise the consolidated balance sheet as of December 31, 2016, and the related consolidated statements of operations, member’s deficit, and cash flows for the year then ended, and the related notes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Responsibility for the Consolidated Financial Statements</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9"/>
          <w:szCs w:val="19"/>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Auditor’s Responsibility</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9"/>
          <w:szCs w:val="19"/>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43" w:lineRule="exact"/>
        <w:rPr>
          <w:sz w:val="20"/>
          <w:szCs w:val="20"/>
          <w:color w:val="auto"/>
        </w:rPr>
      </w:pPr>
    </w:p>
    <w:p>
      <w:pPr>
        <w:ind w:right="1140"/>
        <w:spacing w:after="0" w:line="311" w:lineRule="auto"/>
        <w:rPr>
          <w:sz w:val="20"/>
          <w:szCs w:val="20"/>
          <w:color w:val="auto"/>
        </w:rPr>
      </w:pPr>
      <w:r>
        <w:rPr>
          <w:rFonts w:ascii="Arial" w:cs="Arial" w:eastAsia="Arial" w:hAnsi="Arial"/>
          <w:sz w:val="19"/>
          <w:szCs w:val="19"/>
          <w:color w:val="auto"/>
        </w:rPr>
        <w:t xml:space="preserve">We believe that the audit evidence we have obtained is sufficient and appropriate to provide a basis for our audit opinion. </w:t>
      </w:r>
      <w:r>
        <w:rPr>
          <w:rFonts w:ascii="Arial" w:cs="Arial" w:eastAsia="Arial" w:hAnsi="Arial"/>
          <w:sz w:val="19"/>
          <w:szCs w:val="19"/>
          <w:b w:val="1"/>
          <w:bCs w:val="1"/>
          <w:i w:val="1"/>
          <w:iCs w:val="1"/>
          <w:color w:val="auto"/>
        </w:rPr>
        <w:t>Opinion</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RAM Energy Holdings LLC and Subsidiary as of December 31, 2016,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49987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98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March 9, 2017</w:t>
      </w:r>
    </w:p>
    <w:p>
      <w:pPr>
        <w:spacing w:after="0"/>
        <w:rPr>
          <w:sz w:val="20"/>
          <w:szCs w:val="20"/>
          <w:color w:val="auto"/>
        </w:rPr>
      </w:pPr>
      <w:r>
        <w:rPr>
          <w:rFonts w:ascii="Arial" w:cs="Arial" w:eastAsia="Arial" w:hAnsi="Arial"/>
          <w:sz w:val="19"/>
          <w:szCs w:val="19"/>
          <w:color w:val="auto"/>
        </w:rPr>
        <w:t>Houston, Texas</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3</w:t>
      </w:r>
    </w:p>
    <w:p>
      <w:pPr>
        <w:sectPr>
          <w:pgSz w:w="11900" w:h="16838" w:orient="portrait"/>
          <w:cols w:equalWidth="0" w:num="1">
            <w:col w:w="11240"/>
          </w:cols>
          <w:pgMar w:left="320" w:top="293"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336"/>
        </w:trPr>
        <w:tc>
          <w:tcPr>
            <w:tcW w:w="8500" w:type="dxa"/>
            <w:vAlign w:val="bottom"/>
          </w:tcPr>
          <w:p>
            <w:pPr>
              <w:ind w:left="4020"/>
              <w:spacing w:after="0"/>
              <w:rPr>
                <w:sz w:val="20"/>
                <w:szCs w:val="20"/>
                <w:color w:val="auto"/>
              </w:rPr>
            </w:pPr>
            <w:r>
              <w:rPr>
                <w:rFonts w:ascii="Arial" w:cs="Arial" w:eastAsia="Arial" w:hAnsi="Arial"/>
                <w:sz w:val="25"/>
                <w:szCs w:val="25"/>
                <w:b w:val="1"/>
                <w:bCs w:val="1"/>
                <w:color w:val="auto"/>
              </w:rPr>
              <w:t>RAM Energy Holdings LLC</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8"/>
        </w:trPr>
        <w:tc>
          <w:tcPr>
            <w:tcW w:w="8500" w:type="dxa"/>
            <w:vAlign w:val="bottom"/>
            <w:tcBorders>
              <w:bottom w:val="single" w:sz="8" w:color="auto"/>
            </w:tcBorders>
          </w:tcPr>
          <w:p>
            <w:pPr>
              <w:ind w:left="4180"/>
              <w:spacing w:after="0"/>
              <w:rPr>
                <w:sz w:val="20"/>
                <w:szCs w:val="20"/>
                <w:color w:val="auto"/>
              </w:rPr>
            </w:pPr>
            <w:r>
              <w:rPr>
                <w:rFonts w:ascii="Arial" w:cs="Arial" w:eastAsia="Arial" w:hAnsi="Arial"/>
                <w:sz w:val="22"/>
                <w:szCs w:val="22"/>
                <w:b w:val="1"/>
                <w:bCs w:val="1"/>
                <w:color w:val="auto"/>
              </w:rPr>
              <w:t>Consolidated Balance Sheet</w:t>
            </w: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473"/>
        </w:trPr>
        <w:tc>
          <w:tcPr>
            <w:tcW w:w="850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i w:val="1"/>
                <w:iCs w:val="1"/>
                <w:color w:val="auto"/>
              </w:rPr>
              <w:t>December 31,</w:t>
            </w: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auto"/>
              </w:rPr>
              <w:t>2016</w:t>
            </w:r>
          </w:p>
        </w:tc>
      </w:tr>
      <w:tr>
        <w:trPr>
          <w:trHeight w:val="88"/>
        </w:trPr>
        <w:tc>
          <w:tcPr>
            <w:tcW w:w="8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16"/>
        </w:trPr>
        <w:tc>
          <w:tcPr>
            <w:tcW w:w="85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Assets</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351"/>
        </w:trPr>
        <w:tc>
          <w:tcPr>
            <w:tcW w:w="8500" w:type="dxa"/>
            <w:vAlign w:val="bottom"/>
          </w:tcPr>
          <w:p>
            <w:pPr>
              <w:ind w:left="100"/>
              <w:spacing w:after="0"/>
              <w:rPr>
                <w:sz w:val="20"/>
                <w:szCs w:val="20"/>
                <w:color w:val="auto"/>
              </w:rPr>
            </w:pPr>
            <w:r>
              <w:rPr>
                <w:rFonts w:ascii="Arial" w:cs="Arial" w:eastAsia="Arial" w:hAnsi="Arial"/>
                <w:sz w:val="19"/>
                <w:szCs w:val="19"/>
                <w:b w:val="1"/>
                <w:bCs w:val="1"/>
                <w:color w:val="auto"/>
              </w:rPr>
              <w:t>Current Assets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85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Cash and cash equivalents</w:t>
            </w:r>
          </w:p>
        </w:tc>
        <w:tc>
          <w:tcPr>
            <w:tcW w:w="14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398,834</w:t>
            </w:r>
          </w:p>
        </w:tc>
      </w:tr>
      <w:tr>
        <w:trPr>
          <w:trHeight w:val="216"/>
        </w:trPr>
        <w:tc>
          <w:tcPr>
            <w:tcW w:w="8500" w:type="dxa"/>
            <w:vAlign w:val="bottom"/>
          </w:tcPr>
          <w:p>
            <w:pPr>
              <w:ind w:left="300"/>
              <w:spacing w:after="0" w:line="216" w:lineRule="exact"/>
              <w:rPr>
                <w:sz w:val="20"/>
                <w:szCs w:val="20"/>
                <w:color w:val="auto"/>
              </w:rPr>
            </w:pPr>
            <w:r>
              <w:rPr>
                <w:rFonts w:ascii="Arial" w:cs="Arial" w:eastAsia="Arial" w:hAnsi="Arial"/>
                <w:sz w:val="19"/>
                <w:szCs w:val="19"/>
                <w:color w:val="auto"/>
              </w:rPr>
              <w:t>Accounts receivable, net</w:t>
            </w:r>
          </w:p>
        </w:tc>
        <w:tc>
          <w:tcPr>
            <w:tcW w:w="146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1,426,907</w:t>
            </w:r>
          </w:p>
        </w:tc>
      </w:tr>
      <w:tr>
        <w:trPr>
          <w:trHeight w:val="216"/>
        </w:trPr>
        <w:tc>
          <w:tcPr>
            <w:tcW w:w="85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Prepaid expenses</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215,670</w:t>
            </w:r>
          </w:p>
        </w:tc>
      </w:tr>
      <w:tr>
        <w:trPr>
          <w:trHeight w:val="216"/>
        </w:trPr>
        <w:tc>
          <w:tcPr>
            <w:tcW w:w="8500" w:type="dxa"/>
            <w:vAlign w:val="bottom"/>
            <w:tcBorders>
              <w:bottom w:val="single" w:sz="8" w:color="auto"/>
            </w:tcBorders>
          </w:tcPr>
          <w:p>
            <w:pPr>
              <w:ind w:left="300"/>
              <w:spacing w:after="0" w:line="216" w:lineRule="exact"/>
              <w:rPr>
                <w:sz w:val="20"/>
                <w:szCs w:val="20"/>
                <w:color w:val="auto"/>
              </w:rPr>
            </w:pPr>
            <w:r>
              <w:rPr>
                <w:rFonts w:ascii="Arial" w:cs="Arial" w:eastAsia="Arial" w:hAnsi="Arial"/>
                <w:sz w:val="19"/>
                <w:szCs w:val="19"/>
                <w:color w:val="auto"/>
              </w:rPr>
              <w:t>Other current assets</w:t>
            </w:r>
          </w:p>
        </w:tc>
        <w:tc>
          <w:tcPr>
            <w:tcW w:w="1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6"/>
              <w:spacing w:after="0" w:line="216" w:lineRule="exact"/>
              <w:rPr>
                <w:sz w:val="20"/>
                <w:szCs w:val="20"/>
                <w:color w:val="auto"/>
              </w:rPr>
            </w:pPr>
            <w:r>
              <w:rPr>
                <w:rFonts w:ascii="Arial" w:cs="Arial" w:eastAsia="Arial" w:hAnsi="Arial"/>
                <w:sz w:val="19"/>
                <w:szCs w:val="19"/>
                <w:color w:val="auto"/>
              </w:rPr>
              <w:t>24,458</w:t>
            </w:r>
          </w:p>
        </w:tc>
      </w:tr>
      <w:tr>
        <w:trPr>
          <w:trHeight w:val="88"/>
        </w:trPr>
        <w:tc>
          <w:tcPr>
            <w:tcW w:w="8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16"/>
        </w:trPr>
        <w:tc>
          <w:tcPr>
            <w:tcW w:w="85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Total Current Assets</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2,065,869</w:t>
            </w:r>
          </w:p>
        </w:tc>
      </w:tr>
      <w:tr>
        <w:trPr>
          <w:trHeight w:val="351"/>
        </w:trPr>
        <w:tc>
          <w:tcPr>
            <w:tcW w:w="8500" w:type="dxa"/>
            <w:vAlign w:val="bottom"/>
          </w:tcPr>
          <w:p>
            <w:pPr>
              <w:ind w:left="100"/>
              <w:spacing w:after="0"/>
              <w:rPr>
                <w:sz w:val="20"/>
                <w:szCs w:val="20"/>
                <w:color w:val="auto"/>
              </w:rPr>
            </w:pPr>
            <w:r>
              <w:rPr>
                <w:rFonts w:ascii="Arial" w:cs="Arial" w:eastAsia="Arial" w:hAnsi="Arial"/>
                <w:sz w:val="19"/>
                <w:szCs w:val="19"/>
                <w:b w:val="1"/>
                <w:bCs w:val="1"/>
                <w:color w:val="auto"/>
              </w:rPr>
              <w:t>Property and Equipment, at Cost</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85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Proved oil and natural gas properties and equipment, using full cost accounting</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51,406,595</w:t>
            </w:r>
          </w:p>
        </w:tc>
      </w:tr>
      <w:tr>
        <w:trPr>
          <w:trHeight w:val="216"/>
        </w:trPr>
        <w:tc>
          <w:tcPr>
            <w:tcW w:w="8500" w:type="dxa"/>
            <w:vAlign w:val="bottom"/>
          </w:tcPr>
          <w:p>
            <w:pPr>
              <w:ind w:left="300"/>
              <w:spacing w:after="0" w:line="216" w:lineRule="exact"/>
              <w:rPr>
                <w:sz w:val="20"/>
                <w:szCs w:val="20"/>
                <w:color w:val="auto"/>
              </w:rPr>
            </w:pPr>
            <w:r>
              <w:rPr>
                <w:rFonts w:ascii="Arial" w:cs="Arial" w:eastAsia="Arial" w:hAnsi="Arial"/>
                <w:sz w:val="19"/>
                <w:szCs w:val="19"/>
                <w:color w:val="auto"/>
              </w:rPr>
              <w:t>Unproved oil and natural gas properties</w:t>
            </w:r>
          </w:p>
        </w:tc>
        <w:tc>
          <w:tcPr>
            <w:tcW w:w="146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4,419,979</w:t>
            </w:r>
          </w:p>
        </w:tc>
      </w:tr>
      <w:tr>
        <w:trPr>
          <w:trHeight w:val="216"/>
        </w:trPr>
        <w:tc>
          <w:tcPr>
            <w:tcW w:w="850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Other property and equipment</w:t>
            </w:r>
          </w:p>
        </w:tc>
        <w:tc>
          <w:tcPr>
            <w:tcW w:w="1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402,543</w:t>
            </w:r>
          </w:p>
        </w:tc>
      </w:tr>
      <w:tr>
        <w:trPr>
          <w:trHeight w:val="210"/>
        </w:trPr>
        <w:tc>
          <w:tcPr>
            <w:tcW w:w="8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jc w:val="right"/>
              <w:ind w:right="86"/>
              <w:spacing w:after="0" w:line="210" w:lineRule="exact"/>
              <w:rPr>
                <w:sz w:val="20"/>
                <w:szCs w:val="20"/>
                <w:color w:val="auto"/>
              </w:rPr>
            </w:pPr>
            <w:r>
              <w:rPr>
                <w:rFonts w:ascii="Arial" w:cs="Arial" w:eastAsia="Arial" w:hAnsi="Arial"/>
                <w:sz w:val="19"/>
                <w:szCs w:val="19"/>
                <w:color w:val="auto"/>
              </w:rPr>
              <w:t>56,229,117</w:t>
            </w:r>
          </w:p>
        </w:tc>
      </w:tr>
      <w:tr>
        <w:trPr>
          <w:trHeight w:val="216"/>
        </w:trPr>
        <w:tc>
          <w:tcPr>
            <w:tcW w:w="850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Less: accumulated depreciation, depletion, amortization and impairment</w:t>
            </w:r>
          </w:p>
        </w:tc>
        <w:tc>
          <w:tcPr>
            <w:tcW w:w="1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6"/>
              <w:spacing w:after="0" w:line="216" w:lineRule="exact"/>
              <w:rPr>
                <w:sz w:val="20"/>
                <w:szCs w:val="20"/>
                <w:color w:val="auto"/>
              </w:rPr>
            </w:pPr>
            <w:r>
              <w:rPr>
                <w:rFonts w:ascii="Arial" w:cs="Arial" w:eastAsia="Arial" w:hAnsi="Arial"/>
                <w:sz w:val="19"/>
                <w:szCs w:val="19"/>
                <w:color w:val="auto"/>
              </w:rPr>
              <w:t>(30,056,643)</w:t>
            </w:r>
          </w:p>
        </w:tc>
      </w:tr>
      <w:tr>
        <w:trPr>
          <w:trHeight w:val="319"/>
        </w:trPr>
        <w:tc>
          <w:tcPr>
            <w:tcW w:w="8500" w:type="dxa"/>
            <w:vAlign w:val="bottom"/>
          </w:tcPr>
          <w:p>
            <w:pPr>
              <w:ind w:left="100"/>
              <w:spacing w:after="0"/>
              <w:rPr>
                <w:sz w:val="20"/>
                <w:szCs w:val="20"/>
                <w:color w:val="auto"/>
              </w:rPr>
            </w:pPr>
            <w:r>
              <w:rPr>
                <w:rFonts w:ascii="Arial" w:cs="Arial" w:eastAsia="Arial" w:hAnsi="Arial"/>
                <w:sz w:val="19"/>
                <w:szCs w:val="19"/>
                <w:b w:val="1"/>
                <w:bCs w:val="1"/>
                <w:color w:val="auto"/>
              </w:rPr>
              <w:t>Net Property and Equipment</w:t>
            </w:r>
          </w:p>
        </w:tc>
        <w:tc>
          <w:tcPr>
            <w:tcW w:w="1460" w:type="dxa"/>
            <w:vAlign w:val="bottom"/>
          </w:tcPr>
          <w:p>
            <w:pPr>
              <w:spacing w:after="0"/>
              <w:rPr>
                <w:sz w:val="24"/>
                <w:szCs w:val="24"/>
                <w:color w:val="auto"/>
              </w:rPr>
            </w:pPr>
          </w:p>
        </w:tc>
        <w:tc>
          <w:tcPr>
            <w:tcW w:w="1280" w:type="dxa"/>
            <w:vAlign w:val="bottom"/>
          </w:tcPr>
          <w:p>
            <w:pPr>
              <w:jc w:val="right"/>
              <w:ind w:right="86"/>
              <w:spacing w:after="0"/>
              <w:rPr>
                <w:sz w:val="20"/>
                <w:szCs w:val="20"/>
                <w:color w:val="auto"/>
              </w:rPr>
            </w:pPr>
            <w:r>
              <w:rPr>
                <w:rFonts w:ascii="Arial" w:cs="Arial" w:eastAsia="Arial" w:hAnsi="Arial"/>
                <w:sz w:val="19"/>
                <w:szCs w:val="19"/>
                <w:color w:val="auto"/>
              </w:rPr>
              <w:t>26,172,474</w:t>
            </w:r>
          </w:p>
        </w:tc>
      </w:tr>
      <w:tr>
        <w:trPr>
          <w:trHeight w:val="120"/>
        </w:trPr>
        <w:tc>
          <w:tcPr>
            <w:tcW w:w="85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16"/>
        </w:trPr>
        <w:tc>
          <w:tcPr>
            <w:tcW w:w="85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Other Assets</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500" w:type="dxa"/>
            <w:vAlign w:val="bottom"/>
          </w:tcPr>
          <w:p>
            <w:pPr>
              <w:ind w:left="300"/>
              <w:spacing w:after="0" w:line="216" w:lineRule="exact"/>
              <w:rPr>
                <w:sz w:val="20"/>
                <w:szCs w:val="20"/>
                <w:color w:val="auto"/>
              </w:rPr>
            </w:pPr>
            <w:r>
              <w:rPr>
                <w:rFonts w:ascii="Arial" w:cs="Arial" w:eastAsia="Arial" w:hAnsi="Arial"/>
                <w:sz w:val="19"/>
                <w:szCs w:val="19"/>
                <w:color w:val="auto"/>
              </w:rPr>
              <w:t>Derivative assets</w:t>
            </w:r>
          </w:p>
        </w:tc>
        <w:tc>
          <w:tcPr>
            <w:tcW w:w="146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78,983</w:t>
            </w:r>
          </w:p>
        </w:tc>
      </w:tr>
      <w:tr>
        <w:trPr>
          <w:trHeight w:val="216"/>
        </w:trPr>
        <w:tc>
          <w:tcPr>
            <w:tcW w:w="85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Restricted cash</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457,953</w:t>
            </w:r>
          </w:p>
        </w:tc>
      </w:tr>
      <w:tr>
        <w:trPr>
          <w:trHeight w:val="216"/>
        </w:trPr>
        <w:tc>
          <w:tcPr>
            <w:tcW w:w="8500" w:type="dxa"/>
            <w:vAlign w:val="bottom"/>
            <w:tcBorders>
              <w:bottom w:val="single" w:sz="8" w:color="auto"/>
            </w:tcBorders>
          </w:tcPr>
          <w:p>
            <w:pPr>
              <w:ind w:left="300"/>
              <w:spacing w:after="0" w:line="216" w:lineRule="exact"/>
              <w:rPr>
                <w:sz w:val="20"/>
                <w:szCs w:val="20"/>
                <w:color w:val="auto"/>
              </w:rPr>
            </w:pPr>
            <w:r>
              <w:rPr>
                <w:rFonts w:ascii="Arial" w:cs="Arial" w:eastAsia="Arial" w:hAnsi="Arial"/>
                <w:sz w:val="19"/>
                <w:szCs w:val="19"/>
                <w:color w:val="auto"/>
              </w:rPr>
              <w:t>Other</w:t>
            </w:r>
          </w:p>
        </w:tc>
        <w:tc>
          <w:tcPr>
            <w:tcW w:w="1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6"/>
              <w:spacing w:after="0" w:line="216" w:lineRule="exact"/>
              <w:rPr>
                <w:sz w:val="20"/>
                <w:szCs w:val="20"/>
                <w:color w:val="auto"/>
              </w:rPr>
            </w:pPr>
            <w:r>
              <w:rPr>
                <w:rFonts w:ascii="Arial" w:cs="Arial" w:eastAsia="Arial" w:hAnsi="Arial"/>
                <w:sz w:val="19"/>
                <w:szCs w:val="19"/>
                <w:color w:val="auto"/>
              </w:rPr>
              <w:t>51,834</w:t>
            </w:r>
          </w:p>
        </w:tc>
      </w:tr>
      <w:tr>
        <w:trPr>
          <w:trHeight w:val="88"/>
        </w:trPr>
        <w:tc>
          <w:tcPr>
            <w:tcW w:w="8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16"/>
        </w:trPr>
        <w:tc>
          <w:tcPr>
            <w:tcW w:w="850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Total Other Assets</w:t>
            </w:r>
          </w:p>
        </w:tc>
        <w:tc>
          <w:tcPr>
            <w:tcW w:w="1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588,770</w:t>
            </w:r>
          </w:p>
        </w:tc>
      </w:tr>
      <w:tr>
        <w:trPr>
          <w:trHeight w:val="311"/>
        </w:trPr>
        <w:tc>
          <w:tcPr>
            <w:tcW w:w="850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Total Assets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28,827,113</w:t>
            </w:r>
          </w:p>
        </w:tc>
      </w:tr>
      <w:tr>
        <w:trPr>
          <w:trHeight w:val="95"/>
        </w:trPr>
        <w:tc>
          <w:tcPr>
            <w:tcW w:w="8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85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Liabilities and Member’s Deficit</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324"/>
        </w:trPr>
        <w:tc>
          <w:tcPr>
            <w:tcW w:w="8500" w:type="dxa"/>
            <w:vAlign w:val="bottom"/>
          </w:tcPr>
          <w:p>
            <w:pPr>
              <w:ind w:left="100"/>
              <w:spacing w:after="0"/>
              <w:rPr>
                <w:sz w:val="20"/>
                <w:szCs w:val="20"/>
                <w:color w:val="auto"/>
              </w:rPr>
            </w:pPr>
            <w:r>
              <w:rPr>
                <w:rFonts w:ascii="Arial" w:cs="Arial" w:eastAsia="Arial" w:hAnsi="Arial"/>
                <w:sz w:val="19"/>
                <w:szCs w:val="19"/>
                <w:b w:val="1"/>
                <w:bCs w:val="1"/>
                <w:color w:val="auto"/>
              </w:rPr>
              <w:t>Current Liabilities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85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Trade accounts payable</w:t>
            </w:r>
          </w:p>
        </w:tc>
        <w:tc>
          <w:tcPr>
            <w:tcW w:w="14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2,158,383</w:t>
            </w:r>
          </w:p>
        </w:tc>
      </w:tr>
      <w:tr>
        <w:trPr>
          <w:trHeight w:val="216"/>
        </w:trPr>
        <w:tc>
          <w:tcPr>
            <w:tcW w:w="8500" w:type="dxa"/>
            <w:vAlign w:val="bottom"/>
          </w:tcPr>
          <w:p>
            <w:pPr>
              <w:ind w:left="300"/>
              <w:spacing w:after="0" w:line="216" w:lineRule="exact"/>
              <w:rPr>
                <w:sz w:val="20"/>
                <w:szCs w:val="20"/>
                <w:color w:val="auto"/>
              </w:rPr>
            </w:pPr>
            <w:r>
              <w:rPr>
                <w:rFonts w:ascii="Arial" w:cs="Arial" w:eastAsia="Arial" w:hAnsi="Arial"/>
                <w:sz w:val="19"/>
                <w:szCs w:val="19"/>
                <w:color w:val="auto"/>
              </w:rPr>
              <w:t>Revenue payable</w:t>
            </w:r>
          </w:p>
        </w:tc>
        <w:tc>
          <w:tcPr>
            <w:tcW w:w="146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985,526</w:t>
            </w:r>
          </w:p>
        </w:tc>
      </w:tr>
      <w:tr>
        <w:trPr>
          <w:trHeight w:val="216"/>
        </w:trPr>
        <w:tc>
          <w:tcPr>
            <w:tcW w:w="85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Accrued liabilities</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1,388,336</w:t>
            </w:r>
          </w:p>
        </w:tc>
      </w:tr>
      <w:tr>
        <w:trPr>
          <w:trHeight w:val="216"/>
        </w:trPr>
        <w:tc>
          <w:tcPr>
            <w:tcW w:w="8500" w:type="dxa"/>
            <w:vAlign w:val="bottom"/>
          </w:tcPr>
          <w:p>
            <w:pPr>
              <w:ind w:left="300"/>
              <w:spacing w:after="0" w:line="216" w:lineRule="exact"/>
              <w:rPr>
                <w:sz w:val="20"/>
                <w:szCs w:val="20"/>
                <w:color w:val="auto"/>
              </w:rPr>
            </w:pPr>
            <w:r>
              <w:rPr>
                <w:rFonts w:ascii="Arial" w:cs="Arial" w:eastAsia="Arial" w:hAnsi="Arial"/>
                <w:sz w:val="19"/>
                <w:szCs w:val="19"/>
                <w:color w:val="auto"/>
              </w:rPr>
              <w:t>Current portion of derivative liabilities</w:t>
            </w:r>
          </w:p>
        </w:tc>
        <w:tc>
          <w:tcPr>
            <w:tcW w:w="146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188,789</w:t>
            </w:r>
          </w:p>
        </w:tc>
      </w:tr>
      <w:tr>
        <w:trPr>
          <w:trHeight w:val="216"/>
        </w:trPr>
        <w:tc>
          <w:tcPr>
            <w:tcW w:w="850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Current portion of asset retirement obligations</w:t>
            </w:r>
          </w:p>
        </w:tc>
        <w:tc>
          <w:tcPr>
            <w:tcW w:w="1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1,989,431</w:t>
            </w:r>
          </w:p>
        </w:tc>
      </w:tr>
      <w:tr>
        <w:trPr>
          <w:trHeight w:val="319"/>
        </w:trPr>
        <w:tc>
          <w:tcPr>
            <w:tcW w:w="8500" w:type="dxa"/>
            <w:vAlign w:val="bottom"/>
          </w:tcPr>
          <w:p>
            <w:pPr>
              <w:ind w:left="100"/>
              <w:spacing w:after="0"/>
              <w:rPr>
                <w:sz w:val="20"/>
                <w:szCs w:val="20"/>
                <w:color w:val="auto"/>
              </w:rPr>
            </w:pPr>
            <w:r>
              <w:rPr>
                <w:rFonts w:ascii="Arial" w:cs="Arial" w:eastAsia="Arial" w:hAnsi="Arial"/>
                <w:sz w:val="19"/>
                <w:szCs w:val="19"/>
                <w:b w:val="1"/>
                <w:bCs w:val="1"/>
                <w:color w:val="auto"/>
              </w:rPr>
              <w:t>Total Current Liabilities</w:t>
            </w:r>
          </w:p>
        </w:tc>
        <w:tc>
          <w:tcPr>
            <w:tcW w:w="1460" w:type="dxa"/>
            <w:vAlign w:val="bottom"/>
          </w:tcPr>
          <w:p>
            <w:pPr>
              <w:spacing w:after="0"/>
              <w:rPr>
                <w:sz w:val="24"/>
                <w:szCs w:val="24"/>
                <w:color w:val="auto"/>
              </w:rPr>
            </w:pPr>
          </w:p>
        </w:tc>
        <w:tc>
          <w:tcPr>
            <w:tcW w:w="1280" w:type="dxa"/>
            <w:vAlign w:val="bottom"/>
          </w:tcPr>
          <w:p>
            <w:pPr>
              <w:jc w:val="right"/>
              <w:ind w:right="86"/>
              <w:spacing w:after="0"/>
              <w:rPr>
                <w:sz w:val="20"/>
                <w:szCs w:val="20"/>
                <w:color w:val="auto"/>
              </w:rPr>
            </w:pPr>
            <w:r>
              <w:rPr>
                <w:rFonts w:ascii="Arial" w:cs="Arial" w:eastAsia="Arial" w:hAnsi="Arial"/>
                <w:sz w:val="19"/>
                <w:szCs w:val="19"/>
                <w:color w:val="auto"/>
              </w:rPr>
              <w:t>6,710,465</w:t>
            </w:r>
          </w:p>
        </w:tc>
      </w:tr>
      <w:tr>
        <w:trPr>
          <w:trHeight w:val="93"/>
        </w:trPr>
        <w:tc>
          <w:tcPr>
            <w:tcW w:w="8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85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color w:val="auto"/>
              </w:rPr>
              <w:t>Asset Retirement Obligations</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4,143,293</w:t>
            </w:r>
          </w:p>
        </w:tc>
      </w:tr>
      <w:tr>
        <w:trPr>
          <w:trHeight w:val="324"/>
        </w:trPr>
        <w:tc>
          <w:tcPr>
            <w:tcW w:w="850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Long-Term Debt - Affiliate</w:t>
            </w: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83,364,718</w:t>
            </w:r>
          </w:p>
        </w:tc>
      </w:tr>
      <w:tr>
        <w:trPr>
          <w:trHeight w:val="88"/>
        </w:trPr>
        <w:tc>
          <w:tcPr>
            <w:tcW w:w="8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16"/>
        </w:trPr>
        <w:tc>
          <w:tcPr>
            <w:tcW w:w="850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Total Liabilities</w:t>
            </w:r>
          </w:p>
        </w:tc>
        <w:tc>
          <w:tcPr>
            <w:tcW w:w="1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94,218,476</w:t>
            </w:r>
          </w:p>
        </w:tc>
      </w:tr>
      <w:tr>
        <w:trPr>
          <w:trHeight w:val="319"/>
        </w:trPr>
        <w:tc>
          <w:tcPr>
            <w:tcW w:w="8500" w:type="dxa"/>
            <w:vAlign w:val="bottom"/>
          </w:tcPr>
          <w:p>
            <w:pPr>
              <w:ind w:left="100"/>
              <w:spacing w:after="0"/>
              <w:rPr>
                <w:sz w:val="20"/>
                <w:szCs w:val="20"/>
                <w:color w:val="auto"/>
              </w:rPr>
            </w:pPr>
            <w:r>
              <w:rPr>
                <w:rFonts w:ascii="Arial" w:cs="Arial" w:eastAsia="Arial" w:hAnsi="Arial"/>
                <w:sz w:val="19"/>
                <w:szCs w:val="19"/>
                <w:b w:val="1"/>
                <w:bCs w:val="1"/>
                <w:color w:val="auto"/>
              </w:rPr>
              <w:t>Commitments and Contingencies (Note 10)</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3"/>
        </w:trPr>
        <w:tc>
          <w:tcPr>
            <w:tcW w:w="8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850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Member’s Deficit</w:t>
            </w:r>
          </w:p>
        </w:tc>
        <w:tc>
          <w:tcPr>
            <w:tcW w:w="1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6"/>
              <w:spacing w:after="0" w:line="216" w:lineRule="exact"/>
              <w:rPr>
                <w:sz w:val="20"/>
                <w:szCs w:val="20"/>
                <w:color w:val="auto"/>
              </w:rPr>
            </w:pPr>
            <w:r>
              <w:rPr>
                <w:rFonts w:ascii="Arial" w:cs="Arial" w:eastAsia="Arial" w:hAnsi="Arial"/>
                <w:sz w:val="19"/>
                <w:szCs w:val="19"/>
                <w:color w:val="auto"/>
              </w:rPr>
              <w:t>(65,391,363)</w:t>
            </w:r>
          </w:p>
        </w:tc>
      </w:tr>
      <w:tr>
        <w:trPr>
          <w:trHeight w:val="311"/>
        </w:trPr>
        <w:tc>
          <w:tcPr>
            <w:tcW w:w="850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Total Liabilities and Member’s Deficit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28,827,113</w:t>
            </w:r>
          </w:p>
        </w:tc>
      </w:tr>
    </w:tbl>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9"/>
          <w:szCs w:val="19"/>
          <w:b w:val="1"/>
          <w:bCs w:val="1"/>
          <w:color w:val="auto"/>
        </w:rPr>
        <w:t>4</w:t>
      </w:r>
    </w:p>
    <w:p>
      <w:pPr>
        <w:sectPr>
          <w:pgSz w:w="11900" w:h="16838" w:orient="portrait"/>
          <w:cols w:equalWidth="0" w:num="1">
            <w:col w:w="11240"/>
          </w:cols>
          <w:pgMar w:left="320" w:top="25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36"/>
        </w:trPr>
        <w:tc>
          <w:tcPr>
            <w:tcW w:w="8820" w:type="dxa"/>
            <w:vAlign w:val="bottom"/>
          </w:tcPr>
          <w:p>
            <w:pPr>
              <w:ind w:left="4020"/>
              <w:spacing w:after="0"/>
              <w:rPr>
                <w:sz w:val="20"/>
                <w:szCs w:val="20"/>
                <w:color w:val="auto"/>
              </w:rPr>
            </w:pPr>
            <w:r>
              <w:rPr>
                <w:rFonts w:ascii="Arial" w:cs="Arial" w:eastAsia="Arial" w:hAnsi="Arial"/>
                <w:sz w:val="25"/>
                <w:szCs w:val="25"/>
                <w:b w:val="1"/>
                <w:bCs w:val="1"/>
                <w:color w:val="auto"/>
              </w:rPr>
              <w:t>RAM Energy Holdings LLC</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8"/>
        </w:trPr>
        <w:tc>
          <w:tcPr>
            <w:tcW w:w="8820" w:type="dxa"/>
            <w:vAlign w:val="bottom"/>
            <w:tcBorders>
              <w:bottom w:val="single" w:sz="8" w:color="auto"/>
            </w:tcBorders>
          </w:tcPr>
          <w:p>
            <w:pPr>
              <w:ind w:left="3660"/>
              <w:spacing w:after="0"/>
              <w:rPr>
                <w:sz w:val="20"/>
                <w:szCs w:val="20"/>
                <w:color w:val="auto"/>
              </w:rPr>
            </w:pPr>
            <w:r>
              <w:rPr>
                <w:rFonts w:ascii="Arial" w:cs="Arial" w:eastAsia="Arial" w:hAnsi="Arial"/>
                <w:sz w:val="22"/>
                <w:szCs w:val="22"/>
                <w:b w:val="1"/>
                <w:bCs w:val="1"/>
                <w:color w:val="auto"/>
              </w:rPr>
              <w:t>Consolidated Statement of Operations</w:t>
            </w:r>
          </w:p>
        </w:tc>
        <w:tc>
          <w:tcPr>
            <w:tcW w:w="1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473"/>
        </w:trPr>
        <w:tc>
          <w:tcPr>
            <w:tcW w:w="882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i w:val="1"/>
                <w:i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auto"/>
              </w:rPr>
              <w:t>2016</w:t>
            </w:r>
          </w:p>
        </w:tc>
      </w:tr>
      <w:tr>
        <w:trPr>
          <w:trHeight w:val="156"/>
        </w:trPr>
        <w:tc>
          <w:tcPr>
            <w:tcW w:w="8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16"/>
        </w:trPr>
        <w:tc>
          <w:tcPr>
            <w:tcW w:w="882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Revenues:</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820" w:type="dxa"/>
            <w:vAlign w:val="bottom"/>
          </w:tcPr>
          <w:p>
            <w:pPr>
              <w:ind w:left="480"/>
              <w:spacing w:after="0" w:line="216" w:lineRule="exact"/>
              <w:rPr>
                <w:sz w:val="20"/>
                <w:szCs w:val="20"/>
                <w:color w:val="auto"/>
              </w:rPr>
            </w:pPr>
            <w:r>
              <w:rPr>
                <w:rFonts w:ascii="Arial" w:cs="Arial" w:eastAsia="Arial" w:hAnsi="Arial"/>
                <w:sz w:val="19"/>
                <w:szCs w:val="19"/>
                <w:color w:val="auto"/>
              </w:rPr>
              <w:t>Oil</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4,113,729</w:t>
            </w:r>
          </w:p>
        </w:tc>
      </w:tr>
      <w:tr>
        <w:trPr>
          <w:trHeight w:val="216"/>
        </w:trPr>
        <w:tc>
          <w:tcPr>
            <w:tcW w:w="882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Natural gas</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2,777,422</w:t>
            </w:r>
          </w:p>
        </w:tc>
      </w:tr>
      <w:tr>
        <w:trPr>
          <w:trHeight w:val="216"/>
        </w:trPr>
        <w:tc>
          <w:tcPr>
            <w:tcW w:w="8820" w:type="dxa"/>
            <w:vAlign w:val="bottom"/>
            <w:tcBorders>
              <w:bottom w:val="single" w:sz="8" w:color="auto"/>
            </w:tcBorders>
          </w:tcPr>
          <w:p>
            <w:pPr>
              <w:ind w:left="480"/>
              <w:spacing w:after="0" w:line="216" w:lineRule="exact"/>
              <w:rPr>
                <w:sz w:val="20"/>
                <w:szCs w:val="20"/>
                <w:color w:val="auto"/>
              </w:rPr>
            </w:pPr>
            <w:r>
              <w:rPr>
                <w:rFonts w:ascii="Arial" w:cs="Arial" w:eastAsia="Arial" w:hAnsi="Arial"/>
                <w:sz w:val="19"/>
                <w:szCs w:val="19"/>
                <w:color w:val="auto"/>
              </w:rPr>
              <w:t>NGLs</w:t>
            </w:r>
          </w:p>
        </w:tc>
        <w:tc>
          <w:tcPr>
            <w:tcW w:w="1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6"/>
              <w:spacing w:after="0" w:line="216" w:lineRule="exact"/>
              <w:rPr>
                <w:sz w:val="20"/>
                <w:szCs w:val="20"/>
                <w:color w:val="auto"/>
              </w:rPr>
            </w:pPr>
            <w:r>
              <w:rPr>
                <w:rFonts w:ascii="Arial" w:cs="Arial" w:eastAsia="Arial" w:hAnsi="Arial"/>
                <w:sz w:val="19"/>
                <w:szCs w:val="19"/>
                <w:color w:val="auto"/>
              </w:rPr>
              <w:t>588,191</w:t>
            </w:r>
          </w:p>
        </w:tc>
      </w:tr>
      <w:tr>
        <w:trPr>
          <w:trHeight w:val="210"/>
        </w:trPr>
        <w:tc>
          <w:tcPr>
            <w:tcW w:w="8820" w:type="dxa"/>
            <w:vAlign w:val="bottom"/>
            <w:shd w:val="clear" w:color="auto" w:fill="CCEEFF"/>
          </w:tcPr>
          <w:p>
            <w:pPr>
              <w:ind w:left="660"/>
              <w:spacing w:after="0" w:line="210" w:lineRule="exact"/>
              <w:rPr>
                <w:sz w:val="20"/>
                <w:szCs w:val="20"/>
                <w:color w:val="auto"/>
              </w:rPr>
            </w:pPr>
            <w:r>
              <w:rPr>
                <w:rFonts w:ascii="Arial" w:cs="Arial" w:eastAsia="Arial" w:hAnsi="Arial"/>
                <w:sz w:val="19"/>
                <w:szCs w:val="19"/>
                <w:color w:val="auto"/>
              </w:rPr>
              <w:t>Total oil and natural gas sales</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0" w:lineRule="exact"/>
              <w:rPr>
                <w:sz w:val="20"/>
                <w:szCs w:val="20"/>
                <w:color w:val="auto"/>
              </w:rPr>
            </w:pPr>
            <w:r>
              <w:rPr>
                <w:rFonts w:ascii="Arial" w:cs="Arial" w:eastAsia="Arial" w:hAnsi="Arial"/>
                <w:sz w:val="19"/>
                <w:szCs w:val="19"/>
                <w:color w:val="auto"/>
              </w:rPr>
              <w:t>7,479,342</w:t>
            </w:r>
          </w:p>
        </w:tc>
      </w:tr>
      <w:tr>
        <w:trPr>
          <w:trHeight w:val="216"/>
        </w:trPr>
        <w:tc>
          <w:tcPr>
            <w:tcW w:w="8820" w:type="dxa"/>
            <w:vAlign w:val="bottom"/>
            <w:tcBorders>
              <w:bottom w:val="single" w:sz="8" w:color="auto"/>
            </w:tcBorders>
          </w:tcPr>
          <w:p>
            <w:pPr>
              <w:ind w:left="300"/>
              <w:spacing w:after="0" w:line="216" w:lineRule="exact"/>
              <w:rPr>
                <w:sz w:val="20"/>
                <w:szCs w:val="20"/>
                <w:color w:val="auto"/>
              </w:rPr>
            </w:pPr>
            <w:r>
              <w:rPr>
                <w:rFonts w:ascii="Arial" w:cs="Arial" w:eastAsia="Arial" w:hAnsi="Arial"/>
                <w:sz w:val="19"/>
                <w:szCs w:val="19"/>
                <w:color w:val="auto"/>
              </w:rPr>
              <w:t>Losses on derivatives</w:t>
            </w:r>
          </w:p>
        </w:tc>
        <w:tc>
          <w:tcPr>
            <w:tcW w:w="1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6"/>
              <w:spacing w:after="0" w:line="216" w:lineRule="exact"/>
              <w:rPr>
                <w:sz w:val="20"/>
                <w:szCs w:val="20"/>
                <w:color w:val="auto"/>
              </w:rPr>
            </w:pPr>
            <w:r>
              <w:rPr>
                <w:rFonts w:ascii="Arial" w:cs="Arial" w:eastAsia="Arial" w:hAnsi="Arial"/>
                <w:sz w:val="19"/>
                <w:szCs w:val="19"/>
                <w:color w:val="auto"/>
              </w:rPr>
              <w:t>(756,065)</w:t>
            </w:r>
          </w:p>
        </w:tc>
      </w:tr>
      <w:tr>
        <w:trPr>
          <w:trHeight w:val="156"/>
        </w:trPr>
        <w:tc>
          <w:tcPr>
            <w:tcW w:w="8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16"/>
        </w:trPr>
        <w:tc>
          <w:tcPr>
            <w:tcW w:w="882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Total Revenues</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6,723,277</w:t>
            </w:r>
          </w:p>
        </w:tc>
      </w:tr>
      <w:tr>
        <w:trPr>
          <w:trHeight w:val="392"/>
        </w:trPr>
        <w:tc>
          <w:tcPr>
            <w:tcW w:w="8820" w:type="dxa"/>
            <w:vAlign w:val="bottom"/>
          </w:tcPr>
          <w:p>
            <w:pPr>
              <w:ind w:left="100"/>
              <w:spacing w:after="0"/>
              <w:rPr>
                <w:sz w:val="20"/>
                <w:szCs w:val="20"/>
                <w:color w:val="auto"/>
              </w:rPr>
            </w:pPr>
            <w:r>
              <w:rPr>
                <w:rFonts w:ascii="Arial" w:cs="Arial" w:eastAsia="Arial" w:hAnsi="Arial"/>
                <w:sz w:val="19"/>
                <w:szCs w:val="19"/>
                <w:b w:val="1"/>
                <w:bCs w:val="1"/>
                <w:color w:val="auto"/>
              </w:rPr>
              <w:t>Operating Expenses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88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Oil and natural gas production expenses</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6,539,221</w:t>
            </w:r>
          </w:p>
        </w:tc>
      </w:tr>
      <w:tr>
        <w:trPr>
          <w:trHeight w:val="216"/>
        </w:trPr>
        <w:tc>
          <w:tcPr>
            <w:tcW w:w="8820" w:type="dxa"/>
            <w:vAlign w:val="bottom"/>
          </w:tcPr>
          <w:p>
            <w:pPr>
              <w:ind w:left="300"/>
              <w:spacing w:after="0" w:line="216" w:lineRule="exact"/>
              <w:rPr>
                <w:sz w:val="20"/>
                <w:szCs w:val="20"/>
                <w:color w:val="auto"/>
              </w:rPr>
            </w:pPr>
            <w:r>
              <w:rPr>
                <w:rFonts w:ascii="Arial" w:cs="Arial" w:eastAsia="Arial" w:hAnsi="Arial"/>
                <w:sz w:val="19"/>
                <w:szCs w:val="19"/>
                <w:color w:val="auto"/>
              </w:rPr>
              <w:t>Oil and natural gas production taxes</w:t>
            </w:r>
          </w:p>
        </w:tc>
        <w:tc>
          <w:tcPr>
            <w:tcW w:w="114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281,162</w:t>
            </w:r>
          </w:p>
        </w:tc>
      </w:tr>
      <w:tr>
        <w:trPr>
          <w:trHeight w:val="216"/>
        </w:trPr>
        <w:tc>
          <w:tcPr>
            <w:tcW w:w="88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Depreciation, depletion and amortization</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2,380,937</w:t>
            </w:r>
          </w:p>
        </w:tc>
      </w:tr>
      <w:tr>
        <w:trPr>
          <w:trHeight w:val="216"/>
        </w:trPr>
        <w:tc>
          <w:tcPr>
            <w:tcW w:w="8820" w:type="dxa"/>
            <w:vAlign w:val="bottom"/>
          </w:tcPr>
          <w:p>
            <w:pPr>
              <w:ind w:left="300"/>
              <w:spacing w:after="0" w:line="216" w:lineRule="exact"/>
              <w:rPr>
                <w:sz w:val="20"/>
                <w:szCs w:val="20"/>
                <w:color w:val="auto"/>
              </w:rPr>
            </w:pPr>
            <w:r>
              <w:rPr>
                <w:rFonts w:ascii="Arial" w:cs="Arial" w:eastAsia="Arial" w:hAnsi="Arial"/>
                <w:sz w:val="19"/>
                <w:szCs w:val="19"/>
                <w:color w:val="auto"/>
              </w:rPr>
              <w:t>Impairment of oil and gas properties</w:t>
            </w:r>
          </w:p>
        </w:tc>
        <w:tc>
          <w:tcPr>
            <w:tcW w:w="114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4,574,977</w:t>
            </w:r>
          </w:p>
        </w:tc>
      </w:tr>
      <w:tr>
        <w:trPr>
          <w:trHeight w:val="216"/>
        </w:trPr>
        <w:tc>
          <w:tcPr>
            <w:tcW w:w="88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Accretion of asset retirement obligations</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688,527</w:t>
            </w:r>
          </w:p>
        </w:tc>
      </w:tr>
      <w:tr>
        <w:trPr>
          <w:trHeight w:val="216"/>
        </w:trPr>
        <w:tc>
          <w:tcPr>
            <w:tcW w:w="8820" w:type="dxa"/>
            <w:vAlign w:val="bottom"/>
          </w:tcPr>
          <w:p>
            <w:pPr>
              <w:ind w:left="300"/>
              <w:spacing w:after="0" w:line="216" w:lineRule="exact"/>
              <w:rPr>
                <w:sz w:val="20"/>
                <w:szCs w:val="20"/>
                <w:color w:val="auto"/>
              </w:rPr>
            </w:pPr>
            <w:r>
              <w:rPr>
                <w:rFonts w:ascii="Arial" w:cs="Arial" w:eastAsia="Arial" w:hAnsi="Arial"/>
                <w:sz w:val="19"/>
                <w:szCs w:val="19"/>
                <w:color w:val="auto"/>
              </w:rPr>
              <w:t>Bad debt expense</w:t>
            </w:r>
          </w:p>
        </w:tc>
        <w:tc>
          <w:tcPr>
            <w:tcW w:w="114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100,132</w:t>
            </w:r>
          </w:p>
        </w:tc>
      </w:tr>
      <w:tr>
        <w:trPr>
          <w:trHeight w:val="216"/>
        </w:trPr>
        <w:tc>
          <w:tcPr>
            <w:tcW w:w="882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General and administrative, overhead and other expenses, net of operator’s overhead fees</w:t>
            </w:r>
          </w:p>
        </w:tc>
        <w:tc>
          <w:tcPr>
            <w:tcW w:w="1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3,711,685</w:t>
            </w:r>
          </w:p>
        </w:tc>
      </w:tr>
      <w:tr>
        <w:trPr>
          <w:trHeight w:val="372"/>
        </w:trPr>
        <w:tc>
          <w:tcPr>
            <w:tcW w:w="882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Total Operating Expenses</w:t>
            </w:r>
          </w:p>
        </w:tc>
        <w:tc>
          <w:tcPr>
            <w:tcW w:w="1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18,276,641</w:t>
            </w:r>
          </w:p>
        </w:tc>
      </w:tr>
      <w:tr>
        <w:trPr>
          <w:trHeight w:val="155"/>
        </w:trPr>
        <w:tc>
          <w:tcPr>
            <w:tcW w:w="8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16"/>
        </w:trPr>
        <w:tc>
          <w:tcPr>
            <w:tcW w:w="882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Loss from Operations</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6"/>
              <w:spacing w:after="0" w:line="216" w:lineRule="exact"/>
              <w:rPr>
                <w:sz w:val="20"/>
                <w:szCs w:val="20"/>
                <w:color w:val="auto"/>
              </w:rPr>
            </w:pPr>
            <w:r>
              <w:rPr>
                <w:rFonts w:ascii="Arial" w:cs="Arial" w:eastAsia="Arial" w:hAnsi="Arial"/>
                <w:sz w:val="19"/>
                <w:szCs w:val="19"/>
                <w:color w:val="auto"/>
              </w:rPr>
              <w:t>(11,553,364)</w:t>
            </w:r>
          </w:p>
        </w:tc>
      </w:tr>
      <w:tr>
        <w:trPr>
          <w:trHeight w:val="392"/>
        </w:trPr>
        <w:tc>
          <w:tcPr>
            <w:tcW w:w="8820" w:type="dxa"/>
            <w:vAlign w:val="bottom"/>
          </w:tcPr>
          <w:p>
            <w:pPr>
              <w:ind w:left="100"/>
              <w:spacing w:after="0"/>
              <w:rPr>
                <w:sz w:val="20"/>
                <w:szCs w:val="20"/>
                <w:color w:val="auto"/>
              </w:rPr>
            </w:pPr>
            <w:r>
              <w:rPr>
                <w:rFonts w:ascii="Arial" w:cs="Arial" w:eastAsia="Arial" w:hAnsi="Arial"/>
                <w:sz w:val="19"/>
                <w:szCs w:val="19"/>
                <w:b w:val="1"/>
                <w:bCs w:val="1"/>
                <w:color w:val="auto"/>
              </w:rPr>
              <w:t>Other Income (Expense)</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88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Interest expense</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6"/>
              <w:spacing w:after="0" w:line="216" w:lineRule="exact"/>
              <w:rPr>
                <w:sz w:val="20"/>
                <w:szCs w:val="20"/>
                <w:color w:val="auto"/>
              </w:rPr>
            </w:pPr>
            <w:r>
              <w:rPr>
                <w:rFonts w:ascii="Arial" w:cs="Arial" w:eastAsia="Arial" w:hAnsi="Arial"/>
                <w:sz w:val="19"/>
                <w:szCs w:val="19"/>
                <w:color w:val="auto"/>
              </w:rPr>
              <w:t>(8,358,544)</w:t>
            </w:r>
          </w:p>
        </w:tc>
      </w:tr>
      <w:tr>
        <w:trPr>
          <w:trHeight w:val="216"/>
        </w:trPr>
        <w:tc>
          <w:tcPr>
            <w:tcW w:w="8820" w:type="dxa"/>
            <w:vAlign w:val="bottom"/>
          </w:tcPr>
          <w:p>
            <w:pPr>
              <w:ind w:left="300"/>
              <w:spacing w:after="0" w:line="216" w:lineRule="exact"/>
              <w:rPr>
                <w:sz w:val="20"/>
                <w:szCs w:val="20"/>
                <w:color w:val="auto"/>
              </w:rPr>
            </w:pPr>
            <w:r>
              <w:rPr>
                <w:rFonts w:ascii="Arial" w:cs="Arial" w:eastAsia="Arial" w:hAnsi="Arial"/>
                <w:sz w:val="19"/>
                <w:szCs w:val="19"/>
                <w:color w:val="auto"/>
              </w:rPr>
              <w:t>Interest income</w:t>
            </w:r>
          </w:p>
        </w:tc>
        <w:tc>
          <w:tcPr>
            <w:tcW w:w="1140" w:type="dxa"/>
            <w:vAlign w:val="bottom"/>
          </w:tcPr>
          <w:p>
            <w:pPr>
              <w:spacing w:after="0"/>
              <w:rPr>
                <w:sz w:val="18"/>
                <w:szCs w:val="18"/>
                <w:color w:val="auto"/>
              </w:rPr>
            </w:pPr>
          </w:p>
        </w:tc>
        <w:tc>
          <w:tcPr>
            <w:tcW w:w="1280" w:type="dxa"/>
            <w:vAlign w:val="bottom"/>
          </w:tcPr>
          <w:p>
            <w:pPr>
              <w:jc w:val="right"/>
              <w:ind w:right="86"/>
              <w:spacing w:after="0" w:line="216" w:lineRule="exact"/>
              <w:rPr>
                <w:sz w:val="20"/>
                <w:szCs w:val="20"/>
                <w:color w:val="auto"/>
              </w:rPr>
            </w:pPr>
            <w:r>
              <w:rPr>
                <w:rFonts w:ascii="Arial" w:cs="Arial" w:eastAsia="Arial" w:hAnsi="Arial"/>
                <w:sz w:val="19"/>
                <w:szCs w:val="19"/>
                <w:color w:val="auto"/>
              </w:rPr>
              <w:t>3,524</w:t>
            </w:r>
          </w:p>
        </w:tc>
      </w:tr>
      <w:tr>
        <w:trPr>
          <w:trHeight w:val="216"/>
        </w:trPr>
        <w:tc>
          <w:tcPr>
            <w:tcW w:w="882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Other income, net</w:t>
            </w:r>
          </w:p>
        </w:tc>
        <w:tc>
          <w:tcPr>
            <w:tcW w:w="1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125,710</w:t>
            </w:r>
          </w:p>
        </w:tc>
      </w:tr>
      <w:tr>
        <w:trPr>
          <w:trHeight w:val="372"/>
        </w:trPr>
        <w:tc>
          <w:tcPr>
            <w:tcW w:w="882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Total Other Income (Expense)</w:t>
            </w:r>
          </w:p>
        </w:tc>
        <w:tc>
          <w:tcPr>
            <w:tcW w:w="1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(8,229,310)</w:t>
            </w:r>
          </w:p>
        </w:tc>
      </w:tr>
      <w:tr>
        <w:trPr>
          <w:trHeight w:val="155"/>
        </w:trPr>
        <w:tc>
          <w:tcPr>
            <w:tcW w:w="8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3"/>
        </w:trPr>
        <w:tc>
          <w:tcPr>
            <w:tcW w:w="882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Net Loss</w:t>
            </w:r>
          </w:p>
        </w:tc>
        <w:tc>
          <w:tcPr>
            <w:tcW w:w="1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1280" w:type="dxa"/>
            <w:vAlign w:val="bottom"/>
            <w:tcBorders>
              <w:bottom w:val="single" w:sz="8" w:color="auto"/>
            </w:tcBorders>
            <w:shd w:val="clear" w:color="auto" w:fill="CCEEFF"/>
          </w:tcPr>
          <w:p>
            <w:pPr>
              <w:jc w:val="right"/>
              <w:ind w:right="26"/>
              <w:spacing w:after="0" w:line="216" w:lineRule="exact"/>
              <w:rPr>
                <w:sz w:val="20"/>
                <w:szCs w:val="20"/>
                <w:color w:val="auto"/>
              </w:rPr>
            </w:pPr>
            <w:r>
              <w:rPr>
                <w:rFonts w:ascii="Arial" w:cs="Arial" w:eastAsia="Arial" w:hAnsi="Arial"/>
                <w:sz w:val="19"/>
                <w:szCs w:val="19"/>
                <w:color w:val="auto"/>
              </w:rPr>
              <w:t>(19,782,674)</w:t>
            </w: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9"/>
          <w:szCs w:val="19"/>
          <w:b w:val="1"/>
          <w:bCs w:val="1"/>
          <w:color w:val="auto"/>
        </w:rPr>
        <w:t>5</w:t>
      </w:r>
    </w:p>
    <w:p>
      <w:pPr>
        <w:sectPr>
          <w:pgSz w:w="11900" w:h="16838" w:orient="portrait"/>
          <w:cols w:equalWidth="0" w:num="1">
            <w:col w:w="11240"/>
          </w:cols>
          <w:pgMar w:left="320" w:top="25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36"/>
        </w:trPr>
        <w:tc>
          <w:tcPr>
            <w:tcW w:w="3000" w:type="dxa"/>
            <w:vAlign w:val="bottom"/>
          </w:tcPr>
          <w:p>
            <w:pPr>
              <w:spacing w:after="0"/>
              <w:rPr>
                <w:sz w:val="24"/>
                <w:szCs w:val="24"/>
                <w:color w:val="auto"/>
              </w:rPr>
            </w:pPr>
          </w:p>
        </w:tc>
        <w:tc>
          <w:tcPr>
            <w:tcW w:w="7040" w:type="dxa"/>
            <w:vAlign w:val="bottom"/>
          </w:tcPr>
          <w:p>
            <w:pPr>
              <w:jc w:val="center"/>
              <w:ind w:right="1697"/>
              <w:spacing w:after="0"/>
              <w:rPr>
                <w:sz w:val="20"/>
                <w:szCs w:val="20"/>
                <w:color w:val="auto"/>
              </w:rPr>
            </w:pPr>
            <w:r>
              <w:rPr>
                <w:rFonts w:ascii="Arial" w:cs="Arial" w:eastAsia="Arial" w:hAnsi="Arial"/>
                <w:sz w:val="25"/>
                <w:szCs w:val="25"/>
                <w:b w:val="1"/>
                <w:bCs w:val="1"/>
                <w:color w:val="auto"/>
              </w:rPr>
              <w:t>RAM Energy Holdings LLC</w:t>
            </w:r>
          </w:p>
        </w:tc>
        <w:tc>
          <w:tcPr>
            <w:tcW w:w="1200" w:type="dxa"/>
            <w:vAlign w:val="bottom"/>
          </w:tcPr>
          <w:p>
            <w:pPr>
              <w:spacing w:after="0"/>
              <w:rPr>
                <w:sz w:val="24"/>
                <w:szCs w:val="24"/>
                <w:color w:val="auto"/>
              </w:rPr>
            </w:pPr>
          </w:p>
        </w:tc>
      </w:tr>
      <w:tr>
        <w:trPr>
          <w:trHeight w:val="458"/>
        </w:trPr>
        <w:tc>
          <w:tcPr>
            <w:tcW w:w="30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jc w:val="center"/>
              <w:ind w:right="1697"/>
              <w:spacing w:after="0"/>
              <w:rPr>
                <w:sz w:val="20"/>
                <w:szCs w:val="20"/>
                <w:color w:val="auto"/>
              </w:rPr>
            </w:pPr>
            <w:r>
              <w:rPr>
                <w:rFonts w:ascii="Arial" w:cs="Arial" w:eastAsia="Arial" w:hAnsi="Arial"/>
                <w:sz w:val="22"/>
                <w:szCs w:val="22"/>
                <w:b w:val="1"/>
                <w:bCs w:val="1"/>
                <w:color w:val="auto"/>
                <w:w w:val="98"/>
              </w:rPr>
              <w:t>Consolidated Statement of Member’s Deficit</w:t>
            </w:r>
          </w:p>
        </w:tc>
        <w:tc>
          <w:tcPr>
            <w:tcW w:w="1200" w:type="dxa"/>
            <w:vAlign w:val="bottom"/>
            <w:tcBorders>
              <w:bottom w:val="single" w:sz="8" w:color="auto"/>
            </w:tcBorders>
          </w:tcPr>
          <w:p>
            <w:pPr>
              <w:spacing w:after="0"/>
              <w:rPr>
                <w:sz w:val="24"/>
                <w:szCs w:val="24"/>
                <w:color w:val="auto"/>
              </w:rPr>
            </w:pPr>
          </w:p>
        </w:tc>
      </w:tr>
      <w:tr>
        <w:trPr>
          <w:trHeight w:val="480"/>
        </w:trPr>
        <w:tc>
          <w:tcPr>
            <w:tcW w:w="3000" w:type="dxa"/>
            <w:vAlign w:val="bottom"/>
          </w:tcPr>
          <w:p>
            <w:pPr>
              <w:spacing w:after="0"/>
              <w:rPr>
                <w:sz w:val="24"/>
                <w:szCs w:val="24"/>
                <w:color w:val="auto"/>
              </w:rPr>
            </w:pPr>
          </w:p>
        </w:tc>
        <w:tc>
          <w:tcPr>
            <w:tcW w:w="8240" w:type="dxa"/>
            <w:vAlign w:val="bottom"/>
            <w:gridSpan w:val="2"/>
          </w:tcPr>
          <w:p>
            <w:pPr>
              <w:ind w:left="6980"/>
              <w:spacing w:after="0"/>
              <w:rPr>
                <w:sz w:val="20"/>
                <w:szCs w:val="20"/>
                <w:color w:val="auto"/>
              </w:rPr>
            </w:pPr>
            <w:r>
              <w:rPr>
                <w:rFonts w:ascii="Arial" w:cs="Arial" w:eastAsia="Arial" w:hAnsi="Arial"/>
                <w:sz w:val="19"/>
                <w:szCs w:val="19"/>
                <w:b w:val="1"/>
                <w:bCs w:val="1"/>
                <w:color w:val="auto"/>
              </w:rPr>
              <w:t>Member’s</w:t>
            </w:r>
          </w:p>
        </w:tc>
      </w:tr>
      <w:tr>
        <w:trPr>
          <w:trHeight w:val="236"/>
        </w:trPr>
        <w:tc>
          <w:tcPr>
            <w:tcW w:w="300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Deficit</w:t>
            </w:r>
          </w:p>
        </w:tc>
      </w:tr>
      <w:tr>
        <w:trPr>
          <w:trHeight w:val="155"/>
        </w:trPr>
        <w:tc>
          <w:tcPr>
            <w:tcW w:w="3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6"/>
        </w:trPr>
        <w:tc>
          <w:tcPr>
            <w:tcW w:w="30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Balance, December 31, 2015</w:t>
            </w:r>
          </w:p>
        </w:tc>
        <w:tc>
          <w:tcPr>
            <w:tcW w:w="70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ind w:left="60"/>
              <w:spacing w:after="0" w:line="216" w:lineRule="exact"/>
              <w:rPr>
                <w:sz w:val="20"/>
                <w:szCs w:val="20"/>
                <w:color w:val="auto"/>
              </w:rPr>
            </w:pPr>
            <w:r>
              <w:rPr>
                <w:rFonts w:ascii="Arial" w:cs="Arial" w:eastAsia="Arial" w:hAnsi="Arial"/>
                <w:sz w:val="19"/>
                <w:szCs w:val="19"/>
                <w:color w:val="auto"/>
              </w:rPr>
              <w:t>(45,608,689)</w:t>
            </w:r>
          </w:p>
        </w:tc>
      </w:tr>
      <w:tr>
        <w:trPr>
          <w:trHeight w:val="391"/>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Net loss</w:t>
            </w:r>
          </w:p>
        </w:tc>
        <w:tc>
          <w:tcPr>
            <w:tcW w:w="70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(19,782,674)</w:t>
            </w:r>
          </w:p>
        </w:tc>
      </w:tr>
      <w:tr>
        <w:trPr>
          <w:trHeight w:val="156"/>
        </w:trPr>
        <w:tc>
          <w:tcPr>
            <w:tcW w:w="3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3"/>
        </w:trPr>
        <w:tc>
          <w:tcPr>
            <w:tcW w:w="300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Balance, December 31, 2016</w:t>
            </w:r>
          </w:p>
        </w:tc>
        <w:tc>
          <w:tcPr>
            <w:tcW w:w="7040" w:type="dxa"/>
            <w:vAlign w:val="bottom"/>
            <w:tcBorders>
              <w:bottom w:val="single" w:sz="8" w:color="auto"/>
            </w:tcBorders>
            <w:shd w:val="clear" w:color="auto" w:fill="CCEEFF"/>
          </w:tcPr>
          <w:p>
            <w:pPr>
              <w:jc w:val="right"/>
              <w:ind w:right="37"/>
              <w:spacing w:after="0" w:line="216" w:lineRule="exact"/>
              <w:rPr>
                <w:sz w:val="20"/>
                <w:szCs w:val="20"/>
                <w:color w:val="auto"/>
              </w:rPr>
            </w:pPr>
            <w:r>
              <w:rPr>
                <w:rFonts w:ascii="Arial" w:cs="Arial" w:eastAsia="Arial" w:hAnsi="Arial"/>
                <w:sz w:val="19"/>
                <w:szCs w:val="19"/>
                <w:color w:val="auto"/>
              </w:rPr>
              <w:t>$</w:t>
            </w:r>
          </w:p>
        </w:tc>
        <w:tc>
          <w:tcPr>
            <w:tcW w:w="1200" w:type="dxa"/>
            <w:vAlign w:val="bottom"/>
            <w:tcBorders>
              <w:bottom w:val="single" w:sz="8" w:color="auto"/>
            </w:tcBorders>
            <w:shd w:val="clear" w:color="auto" w:fill="CCEEFF"/>
          </w:tcPr>
          <w:p>
            <w:pPr>
              <w:ind w:left="60"/>
              <w:spacing w:after="0" w:line="216" w:lineRule="exact"/>
              <w:rPr>
                <w:sz w:val="20"/>
                <w:szCs w:val="20"/>
                <w:color w:val="auto"/>
              </w:rPr>
            </w:pPr>
            <w:r>
              <w:rPr>
                <w:rFonts w:ascii="Arial" w:cs="Arial" w:eastAsia="Arial" w:hAnsi="Arial"/>
                <w:sz w:val="19"/>
                <w:szCs w:val="19"/>
                <w:color w:val="auto"/>
              </w:rPr>
              <w:t>(65,391,363)</w:t>
            </w: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9"/>
          <w:szCs w:val="19"/>
          <w:b w:val="1"/>
          <w:bCs w:val="1"/>
          <w:color w:val="auto"/>
        </w:rPr>
        <w:t>6</w:t>
      </w:r>
    </w:p>
    <w:p>
      <w:pPr>
        <w:sectPr>
          <w:pgSz w:w="11900" w:h="16838" w:orient="portrait"/>
          <w:cols w:equalWidth="0" w:num="1">
            <w:col w:w="11240"/>
          </w:cols>
          <w:pgMar w:left="320" w:top="25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i w:val="1"/>
                <w:iCs w:val="1"/>
                <w:color w:val="auto"/>
              </w:rPr>
              <w:t>Year Ended December 31,</w:t>
            </w:r>
          </w:p>
        </w:tc>
        <w:tc>
          <w:tcPr>
            <w:tcW w:w="19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46"/>
              <w:spacing w:after="0"/>
              <w:rPr>
                <w:sz w:val="20"/>
                <w:szCs w:val="20"/>
                <w:color w:val="auto"/>
              </w:rPr>
            </w:pPr>
            <w:r>
              <w:rPr>
                <w:rFonts w:ascii="Arial" w:cs="Arial" w:eastAsia="Arial" w:hAnsi="Arial"/>
                <w:sz w:val="19"/>
                <w:szCs w:val="19"/>
                <w:b w:val="1"/>
                <w:bCs w:val="1"/>
                <w:color w:val="auto"/>
              </w:rPr>
              <w:t>2016</w:t>
            </w:r>
          </w:p>
        </w:tc>
      </w:tr>
      <w:tr>
        <w:trPr>
          <w:trHeight w:val="155"/>
        </w:trPr>
        <w:tc>
          <w:tcPr>
            <w:tcW w:w="8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6"/>
        </w:trPr>
        <w:tc>
          <w:tcPr>
            <w:tcW w:w="808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Cash Flows from Operating Activities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80" w:type="dxa"/>
            <w:vAlign w:val="bottom"/>
          </w:tcPr>
          <w:p>
            <w:pPr>
              <w:ind w:left="300"/>
              <w:spacing w:after="0" w:line="216" w:lineRule="exact"/>
              <w:rPr>
                <w:sz w:val="20"/>
                <w:szCs w:val="20"/>
                <w:color w:val="auto"/>
              </w:rPr>
            </w:pPr>
            <w:r>
              <w:rPr>
                <w:rFonts w:ascii="Arial" w:cs="Arial" w:eastAsia="Arial" w:hAnsi="Arial"/>
                <w:sz w:val="19"/>
                <w:szCs w:val="19"/>
                <w:color w:val="auto"/>
              </w:rPr>
              <w:t>Net loss</w:t>
            </w:r>
          </w:p>
        </w:tc>
        <w:tc>
          <w:tcPr>
            <w:tcW w:w="1920" w:type="dxa"/>
            <w:vAlign w:val="bottom"/>
          </w:tcPr>
          <w:p>
            <w:pPr>
              <w:jc w:val="right"/>
              <w:ind w:right="6"/>
              <w:spacing w:after="0" w:line="216" w:lineRule="exact"/>
              <w:rPr>
                <w:sz w:val="20"/>
                <w:szCs w:val="20"/>
                <w:color w:val="auto"/>
              </w:rPr>
            </w:pPr>
            <w:r>
              <w:rPr>
                <w:rFonts w:ascii="Arial" w:cs="Arial" w:eastAsia="Arial" w:hAnsi="Arial"/>
                <w:sz w:val="19"/>
                <w:szCs w:val="19"/>
                <w:color w:val="auto"/>
              </w:rPr>
              <w:t>$</w:t>
            </w:r>
          </w:p>
        </w:tc>
        <w:tc>
          <w:tcPr>
            <w:tcW w:w="1240" w:type="dxa"/>
            <w:vAlign w:val="bottom"/>
          </w:tcPr>
          <w:p>
            <w:pPr>
              <w:jc w:val="right"/>
              <w:spacing w:after="0" w:line="216" w:lineRule="exact"/>
              <w:rPr>
                <w:sz w:val="20"/>
                <w:szCs w:val="20"/>
                <w:color w:val="auto"/>
              </w:rPr>
            </w:pPr>
            <w:r>
              <w:rPr>
                <w:rFonts w:ascii="Arial" w:cs="Arial" w:eastAsia="Arial" w:hAnsi="Arial"/>
                <w:sz w:val="19"/>
                <w:szCs w:val="19"/>
                <w:color w:val="auto"/>
              </w:rPr>
              <w:t>(19,782,674)</w:t>
            </w:r>
          </w:p>
        </w:tc>
      </w:tr>
      <w:tr>
        <w:trPr>
          <w:trHeight w:val="216"/>
        </w:trPr>
        <w:tc>
          <w:tcPr>
            <w:tcW w:w="808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Adjustments to reconcile net loss to net cash used in operating activities: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80" w:type="dxa"/>
            <w:vAlign w:val="bottom"/>
          </w:tcPr>
          <w:p>
            <w:pPr>
              <w:ind w:left="480"/>
              <w:spacing w:after="0" w:line="216" w:lineRule="exact"/>
              <w:rPr>
                <w:sz w:val="20"/>
                <w:szCs w:val="20"/>
                <w:color w:val="auto"/>
              </w:rPr>
            </w:pPr>
            <w:r>
              <w:rPr>
                <w:rFonts w:ascii="Arial" w:cs="Arial" w:eastAsia="Arial" w:hAnsi="Arial"/>
                <w:sz w:val="19"/>
                <w:szCs w:val="19"/>
                <w:color w:val="auto"/>
              </w:rPr>
              <w:t>Depreciation, depletion and amortization</w:t>
            </w:r>
          </w:p>
        </w:tc>
        <w:tc>
          <w:tcPr>
            <w:tcW w:w="1920" w:type="dxa"/>
            <w:vAlign w:val="bottom"/>
          </w:tcPr>
          <w:p>
            <w:pPr>
              <w:spacing w:after="0"/>
              <w:rPr>
                <w:sz w:val="18"/>
                <w:szCs w:val="18"/>
                <w:color w:val="auto"/>
              </w:rPr>
            </w:pPr>
          </w:p>
        </w:tc>
        <w:tc>
          <w:tcPr>
            <w:tcW w:w="1240" w:type="dxa"/>
            <w:vAlign w:val="bottom"/>
          </w:tcPr>
          <w:p>
            <w:pPr>
              <w:jc w:val="right"/>
              <w:ind w:right="6"/>
              <w:spacing w:after="0" w:line="216" w:lineRule="exact"/>
              <w:rPr>
                <w:sz w:val="20"/>
                <w:szCs w:val="20"/>
                <w:color w:val="auto"/>
              </w:rPr>
            </w:pPr>
            <w:r>
              <w:rPr>
                <w:rFonts w:ascii="Arial" w:cs="Arial" w:eastAsia="Arial" w:hAnsi="Arial"/>
                <w:sz w:val="19"/>
                <w:szCs w:val="19"/>
                <w:color w:val="auto"/>
              </w:rPr>
              <w:t>2,380,937</w:t>
            </w:r>
          </w:p>
        </w:tc>
      </w:tr>
      <w:tr>
        <w:trPr>
          <w:trHeight w:val="216"/>
        </w:trPr>
        <w:tc>
          <w:tcPr>
            <w:tcW w:w="808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Impairment of oil and gas properties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4,574,977</w:t>
            </w:r>
          </w:p>
        </w:tc>
      </w:tr>
      <w:tr>
        <w:trPr>
          <w:trHeight w:val="216"/>
        </w:trPr>
        <w:tc>
          <w:tcPr>
            <w:tcW w:w="8080" w:type="dxa"/>
            <w:vAlign w:val="bottom"/>
          </w:tcPr>
          <w:p>
            <w:pPr>
              <w:ind w:left="480"/>
              <w:spacing w:after="0" w:line="216" w:lineRule="exact"/>
              <w:rPr>
                <w:sz w:val="20"/>
                <w:szCs w:val="20"/>
                <w:color w:val="auto"/>
              </w:rPr>
            </w:pPr>
            <w:r>
              <w:rPr>
                <w:rFonts w:ascii="Arial" w:cs="Arial" w:eastAsia="Arial" w:hAnsi="Arial"/>
                <w:sz w:val="19"/>
                <w:szCs w:val="19"/>
                <w:color w:val="auto"/>
              </w:rPr>
              <w:t>Non cash interest expense in kind</w:t>
            </w:r>
          </w:p>
        </w:tc>
        <w:tc>
          <w:tcPr>
            <w:tcW w:w="1920" w:type="dxa"/>
            <w:vAlign w:val="bottom"/>
          </w:tcPr>
          <w:p>
            <w:pPr>
              <w:spacing w:after="0"/>
              <w:rPr>
                <w:sz w:val="18"/>
                <w:szCs w:val="18"/>
                <w:color w:val="auto"/>
              </w:rPr>
            </w:pPr>
          </w:p>
        </w:tc>
        <w:tc>
          <w:tcPr>
            <w:tcW w:w="1240" w:type="dxa"/>
            <w:vAlign w:val="bottom"/>
          </w:tcPr>
          <w:p>
            <w:pPr>
              <w:jc w:val="right"/>
              <w:ind w:right="6"/>
              <w:spacing w:after="0" w:line="216" w:lineRule="exact"/>
              <w:rPr>
                <w:sz w:val="20"/>
                <w:szCs w:val="20"/>
                <w:color w:val="auto"/>
              </w:rPr>
            </w:pPr>
            <w:r>
              <w:rPr>
                <w:rFonts w:ascii="Arial" w:cs="Arial" w:eastAsia="Arial" w:hAnsi="Arial"/>
                <w:sz w:val="19"/>
                <w:szCs w:val="19"/>
                <w:color w:val="auto"/>
              </w:rPr>
              <w:t>8,358,544</w:t>
            </w:r>
          </w:p>
        </w:tc>
      </w:tr>
      <w:tr>
        <w:trPr>
          <w:trHeight w:val="216"/>
        </w:trPr>
        <w:tc>
          <w:tcPr>
            <w:tcW w:w="808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Accretion of asset retirement obligations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688,527</w:t>
            </w:r>
          </w:p>
        </w:tc>
      </w:tr>
      <w:tr>
        <w:trPr>
          <w:trHeight w:val="216"/>
        </w:trPr>
        <w:tc>
          <w:tcPr>
            <w:tcW w:w="8080" w:type="dxa"/>
            <w:vAlign w:val="bottom"/>
          </w:tcPr>
          <w:p>
            <w:pPr>
              <w:ind w:left="480"/>
              <w:spacing w:after="0" w:line="216" w:lineRule="exact"/>
              <w:rPr>
                <w:sz w:val="20"/>
                <w:szCs w:val="20"/>
                <w:color w:val="auto"/>
              </w:rPr>
            </w:pPr>
            <w:r>
              <w:rPr>
                <w:rFonts w:ascii="Arial" w:cs="Arial" w:eastAsia="Arial" w:hAnsi="Arial"/>
                <w:sz w:val="19"/>
                <w:szCs w:val="19"/>
                <w:color w:val="auto"/>
              </w:rPr>
              <w:t>Bad debt expense</w:t>
            </w:r>
          </w:p>
        </w:tc>
        <w:tc>
          <w:tcPr>
            <w:tcW w:w="1920" w:type="dxa"/>
            <w:vAlign w:val="bottom"/>
          </w:tcPr>
          <w:p>
            <w:pPr>
              <w:spacing w:after="0"/>
              <w:rPr>
                <w:sz w:val="18"/>
                <w:szCs w:val="18"/>
                <w:color w:val="auto"/>
              </w:rPr>
            </w:pPr>
          </w:p>
        </w:tc>
        <w:tc>
          <w:tcPr>
            <w:tcW w:w="1240" w:type="dxa"/>
            <w:vAlign w:val="bottom"/>
          </w:tcPr>
          <w:p>
            <w:pPr>
              <w:jc w:val="right"/>
              <w:ind w:right="6"/>
              <w:spacing w:after="0" w:line="216" w:lineRule="exact"/>
              <w:rPr>
                <w:sz w:val="20"/>
                <w:szCs w:val="20"/>
                <w:color w:val="auto"/>
              </w:rPr>
            </w:pPr>
            <w:r>
              <w:rPr>
                <w:rFonts w:ascii="Arial" w:cs="Arial" w:eastAsia="Arial" w:hAnsi="Arial"/>
                <w:sz w:val="19"/>
                <w:szCs w:val="19"/>
                <w:color w:val="auto"/>
              </w:rPr>
              <w:t>100,132</w:t>
            </w:r>
          </w:p>
        </w:tc>
      </w:tr>
      <w:tr>
        <w:trPr>
          <w:trHeight w:val="216"/>
        </w:trPr>
        <w:tc>
          <w:tcPr>
            <w:tcW w:w="808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Losses on derivatives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756,065</w:t>
            </w:r>
          </w:p>
        </w:tc>
      </w:tr>
      <w:tr>
        <w:trPr>
          <w:trHeight w:val="216"/>
        </w:trPr>
        <w:tc>
          <w:tcPr>
            <w:tcW w:w="8080" w:type="dxa"/>
            <w:vAlign w:val="bottom"/>
          </w:tcPr>
          <w:p>
            <w:pPr>
              <w:ind w:left="480"/>
              <w:spacing w:after="0" w:line="216" w:lineRule="exact"/>
              <w:rPr>
                <w:sz w:val="20"/>
                <w:szCs w:val="20"/>
                <w:color w:val="auto"/>
              </w:rPr>
            </w:pPr>
            <w:r>
              <w:rPr>
                <w:rFonts w:ascii="Arial" w:cs="Arial" w:eastAsia="Arial" w:hAnsi="Arial"/>
                <w:sz w:val="19"/>
                <w:szCs w:val="19"/>
                <w:color w:val="auto"/>
              </w:rPr>
              <w:t>Derivative settlements</w:t>
            </w:r>
          </w:p>
        </w:tc>
        <w:tc>
          <w:tcPr>
            <w:tcW w:w="1920" w:type="dxa"/>
            <w:vAlign w:val="bottom"/>
          </w:tcPr>
          <w:p>
            <w:pPr>
              <w:spacing w:after="0"/>
              <w:rPr>
                <w:sz w:val="18"/>
                <w:szCs w:val="18"/>
                <w:color w:val="auto"/>
              </w:rPr>
            </w:pPr>
          </w:p>
        </w:tc>
        <w:tc>
          <w:tcPr>
            <w:tcW w:w="1240" w:type="dxa"/>
            <w:vAlign w:val="bottom"/>
          </w:tcPr>
          <w:p>
            <w:pPr>
              <w:jc w:val="right"/>
              <w:ind w:right="6"/>
              <w:spacing w:after="0" w:line="216" w:lineRule="exact"/>
              <w:rPr>
                <w:sz w:val="20"/>
                <w:szCs w:val="20"/>
                <w:color w:val="auto"/>
              </w:rPr>
            </w:pPr>
            <w:r>
              <w:rPr>
                <w:rFonts w:ascii="Arial" w:cs="Arial" w:eastAsia="Arial" w:hAnsi="Arial"/>
                <w:sz w:val="19"/>
                <w:szCs w:val="19"/>
                <w:color w:val="auto"/>
              </w:rPr>
              <w:t>636,108</w:t>
            </w:r>
          </w:p>
        </w:tc>
      </w:tr>
      <w:tr>
        <w:trPr>
          <w:trHeight w:val="216"/>
        </w:trPr>
        <w:tc>
          <w:tcPr>
            <w:tcW w:w="808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Changes in operating assets and liabilities: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80" w:type="dxa"/>
            <w:vAlign w:val="bottom"/>
          </w:tcPr>
          <w:p>
            <w:pPr>
              <w:ind w:left="480"/>
              <w:spacing w:after="0" w:line="216" w:lineRule="exact"/>
              <w:rPr>
                <w:sz w:val="20"/>
                <w:szCs w:val="20"/>
                <w:color w:val="auto"/>
              </w:rPr>
            </w:pPr>
            <w:r>
              <w:rPr>
                <w:rFonts w:ascii="Arial" w:cs="Arial" w:eastAsia="Arial" w:hAnsi="Arial"/>
                <w:sz w:val="19"/>
                <w:szCs w:val="19"/>
                <w:color w:val="auto"/>
              </w:rPr>
              <w:t>Accounts receivable</w:t>
            </w:r>
          </w:p>
        </w:tc>
        <w:tc>
          <w:tcPr>
            <w:tcW w:w="1920" w:type="dxa"/>
            <w:vAlign w:val="bottom"/>
          </w:tcPr>
          <w:p>
            <w:pPr>
              <w:spacing w:after="0"/>
              <w:rPr>
                <w:sz w:val="18"/>
                <w:szCs w:val="18"/>
                <w:color w:val="auto"/>
              </w:rPr>
            </w:pPr>
          </w:p>
        </w:tc>
        <w:tc>
          <w:tcPr>
            <w:tcW w:w="1240" w:type="dxa"/>
            <w:vAlign w:val="bottom"/>
          </w:tcPr>
          <w:p>
            <w:pPr>
              <w:jc w:val="right"/>
              <w:ind w:right="6"/>
              <w:spacing w:after="0" w:line="216" w:lineRule="exact"/>
              <w:rPr>
                <w:sz w:val="20"/>
                <w:szCs w:val="20"/>
                <w:color w:val="auto"/>
              </w:rPr>
            </w:pPr>
            <w:r>
              <w:rPr>
                <w:rFonts w:ascii="Arial" w:cs="Arial" w:eastAsia="Arial" w:hAnsi="Arial"/>
                <w:sz w:val="19"/>
                <w:szCs w:val="19"/>
                <w:color w:val="auto"/>
              </w:rPr>
              <w:t>211,538</w:t>
            </w:r>
          </w:p>
        </w:tc>
      </w:tr>
      <w:tr>
        <w:trPr>
          <w:trHeight w:val="216"/>
        </w:trPr>
        <w:tc>
          <w:tcPr>
            <w:tcW w:w="808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Prepaid expenses and other assets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(8,479)</w:t>
            </w:r>
          </w:p>
        </w:tc>
      </w:tr>
      <w:tr>
        <w:trPr>
          <w:trHeight w:val="216"/>
        </w:trPr>
        <w:tc>
          <w:tcPr>
            <w:tcW w:w="8080" w:type="dxa"/>
            <w:vAlign w:val="bottom"/>
          </w:tcPr>
          <w:p>
            <w:pPr>
              <w:ind w:left="480"/>
              <w:spacing w:after="0" w:line="216" w:lineRule="exact"/>
              <w:rPr>
                <w:sz w:val="20"/>
                <w:szCs w:val="20"/>
                <w:color w:val="auto"/>
              </w:rPr>
            </w:pPr>
            <w:r>
              <w:rPr>
                <w:rFonts w:ascii="Arial" w:cs="Arial" w:eastAsia="Arial" w:hAnsi="Arial"/>
                <w:sz w:val="19"/>
                <w:szCs w:val="19"/>
                <w:color w:val="auto"/>
              </w:rPr>
              <w:t>Accounts payable and revenue payable</w:t>
            </w:r>
          </w:p>
        </w:tc>
        <w:tc>
          <w:tcPr>
            <w:tcW w:w="19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19"/>
                <w:szCs w:val="19"/>
                <w:color w:val="auto"/>
              </w:rPr>
              <w:t>(856,427)</w:t>
            </w:r>
          </w:p>
        </w:tc>
      </w:tr>
      <w:tr>
        <w:trPr>
          <w:trHeight w:val="216"/>
        </w:trPr>
        <w:tc>
          <w:tcPr>
            <w:tcW w:w="8080" w:type="dxa"/>
            <w:vAlign w:val="bottom"/>
            <w:tcBorders>
              <w:bottom w:val="single" w:sz="8" w:color="auto"/>
            </w:tcBorders>
            <w:shd w:val="clear" w:color="auto" w:fill="CCEEFF"/>
          </w:tcPr>
          <w:p>
            <w:pPr>
              <w:ind w:left="480"/>
              <w:spacing w:after="0" w:line="216" w:lineRule="exact"/>
              <w:rPr>
                <w:sz w:val="20"/>
                <w:szCs w:val="20"/>
                <w:color w:val="auto"/>
              </w:rPr>
            </w:pPr>
            <w:r>
              <w:rPr>
                <w:rFonts w:ascii="Arial" w:cs="Arial" w:eastAsia="Arial" w:hAnsi="Arial"/>
                <w:sz w:val="19"/>
                <w:szCs w:val="19"/>
                <w:color w:val="auto"/>
              </w:rPr>
              <w:t>Accrued liabilities</w:t>
            </w:r>
          </w:p>
        </w:tc>
        <w:tc>
          <w:tcPr>
            <w:tcW w:w="19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87,697</w:t>
            </w:r>
          </w:p>
        </w:tc>
      </w:tr>
      <w:tr>
        <w:trPr>
          <w:trHeight w:val="372"/>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Net Cash Used in Operating Activities</w:t>
            </w:r>
          </w:p>
        </w:tc>
        <w:tc>
          <w:tcPr>
            <w:tcW w:w="1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(2,853,055)</w:t>
            </w:r>
          </w:p>
        </w:tc>
      </w:tr>
      <w:tr>
        <w:trPr>
          <w:trHeight w:val="155"/>
        </w:trPr>
        <w:tc>
          <w:tcPr>
            <w:tcW w:w="8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6"/>
        </w:trPr>
        <w:tc>
          <w:tcPr>
            <w:tcW w:w="808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Cash Flows from Investing Activities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80" w:type="dxa"/>
            <w:vAlign w:val="bottom"/>
          </w:tcPr>
          <w:p>
            <w:pPr>
              <w:ind w:left="300"/>
              <w:spacing w:after="0" w:line="216" w:lineRule="exact"/>
              <w:rPr>
                <w:sz w:val="20"/>
                <w:szCs w:val="20"/>
                <w:color w:val="auto"/>
              </w:rPr>
            </w:pPr>
            <w:r>
              <w:rPr>
                <w:rFonts w:ascii="Arial" w:cs="Arial" w:eastAsia="Arial" w:hAnsi="Arial"/>
                <w:sz w:val="19"/>
                <w:szCs w:val="19"/>
                <w:color w:val="auto"/>
              </w:rPr>
              <w:t>Payments for oil and natural gas properties and equipment</w:t>
            </w:r>
          </w:p>
        </w:tc>
        <w:tc>
          <w:tcPr>
            <w:tcW w:w="19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19"/>
                <w:szCs w:val="19"/>
                <w:color w:val="auto"/>
              </w:rPr>
              <w:t>(110,211)</w:t>
            </w:r>
          </w:p>
        </w:tc>
      </w:tr>
      <w:tr>
        <w:trPr>
          <w:trHeight w:val="216"/>
        </w:trPr>
        <w:tc>
          <w:tcPr>
            <w:tcW w:w="808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Payments for other property and equipment</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(2,013)</w:t>
            </w:r>
          </w:p>
        </w:tc>
      </w:tr>
      <w:tr>
        <w:trPr>
          <w:trHeight w:val="216"/>
        </w:trPr>
        <w:tc>
          <w:tcPr>
            <w:tcW w:w="8080" w:type="dxa"/>
            <w:vAlign w:val="bottom"/>
          </w:tcPr>
          <w:p>
            <w:pPr>
              <w:ind w:left="300"/>
              <w:spacing w:after="0" w:line="216" w:lineRule="exact"/>
              <w:rPr>
                <w:sz w:val="20"/>
                <w:szCs w:val="20"/>
                <w:color w:val="auto"/>
              </w:rPr>
            </w:pPr>
            <w:r>
              <w:rPr>
                <w:rFonts w:ascii="Arial" w:cs="Arial" w:eastAsia="Arial" w:hAnsi="Arial"/>
                <w:sz w:val="19"/>
                <w:szCs w:val="19"/>
                <w:color w:val="auto"/>
              </w:rPr>
              <w:t>Proceeds from sales of oil and natural gas properties</w:t>
            </w:r>
          </w:p>
        </w:tc>
        <w:tc>
          <w:tcPr>
            <w:tcW w:w="1920" w:type="dxa"/>
            <w:vAlign w:val="bottom"/>
          </w:tcPr>
          <w:p>
            <w:pPr>
              <w:spacing w:after="0"/>
              <w:rPr>
                <w:sz w:val="18"/>
                <w:szCs w:val="18"/>
                <w:color w:val="auto"/>
              </w:rPr>
            </w:pPr>
          </w:p>
        </w:tc>
        <w:tc>
          <w:tcPr>
            <w:tcW w:w="1240" w:type="dxa"/>
            <w:vAlign w:val="bottom"/>
          </w:tcPr>
          <w:p>
            <w:pPr>
              <w:jc w:val="right"/>
              <w:ind w:right="6"/>
              <w:spacing w:after="0" w:line="216" w:lineRule="exact"/>
              <w:rPr>
                <w:sz w:val="20"/>
                <w:szCs w:val="20"/>
                <w:color w:val="auto"/>
              </w:rPr>
            </w:pPr>
            <w:r>
              <w:rPr>
                <w:rFonts w:ascii="Arial" w:cs="Arial" w:eastAsia="Arial" w:hAnsi="Arial"/>
                <w:sz w:val="19"/>
                <w:szCs w:val="19"/>
                <w:color w:val="auto"/>
              </w:rPr>
              <w:t>2,256,227</w:t>
            </w:r>
          </w:p>
        </w:tc>
      </w:tr>
      <w:tr>
        <w:trPr>
          <w:trHeight w:val="216"/>
        </w:trPr>
        <w:tc>
          <w:tcPr>
            <w:tcW w:w="808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Restricted cash</w:t>
            </w:r>
          </w:p>
        </w:tc>
        <w:tc>
          <w:tcPr>
            <w:tcW w:w="19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39,273</w:t>
            </w:r>
          </w:p>
        </w:tc>
      </w:tr>
      <w:tr>
        <w:trPr>
          <w:trHeight w:val="371"/>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Net Cash Provided by Investing Activities</w:t>
            </w:r>
          </w:p>
        </w:tc>
        <w:tc>
          <w:tcPr>
            <w:tcW w:w="1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2,183,276</w:t>
            </w:r>
          </w:p>
        </w:tc>
      </w:tr>
      <w:tr>
        <w:trPr>
          <w:trHeight w:val="155"/>
        </w:trPr>
        <w:tc>
          <w:tcPr>
            <w:tcW w:w="8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6"/>
        </w:trPr>
        <w:tc>
          <w:tcPr>
            <w:tcW w:w="808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Net Decrease in Cash and Cash Equivalents</w:t>
            </w:r>
          </w:p>
        </w:tc>
        <w:tc>
          <w:tcPr>
            <w:tcW w:w="19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(669,779)</w:t>
            </w:r>
          </w:p>
        </w:tc>
      </w:tr>
      <w:tr>
        <w:trPr>
          <w:trHeight w:val="371"/>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Cash and Cash Equivalents - Beginning of Year</w:t>
            </w:r>
          </w:p>
        </w:tc>
        <w:tc>
          <w:tcPr>
            <w:tcW w:w="1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1,068,613</w:t>
            </w:r>
          </w:p>
        </w:tc>
      </w:tr>
      <w:tr>
        <w:trPr>
          <w:trHeight w:val="155"/>
        </w:trPr>
        <w:tc>
          <w:tcPr>
            <w:tcW w:w="8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3"/>
        </w:trPr>
        <w:tc>
          <w:tcPr>
            <w:tcW w:w="808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Cash and Cash Equivalents - End of Year</w:t>
            </w:r>
          </w:p>
        </w:tc>
        <w:tc>
          <w:tcPr>
            <w:tcW w:w="1920" w:type="dxa"/>
            <w:vAlign w:val="bottom"/>
            <w:tcBorders>
              <w:bottom w:val="single" w:sz="8" w:color="auto"/>
            </w:tcBorders>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398,834</w:t>
            </w:r>
          </w:p>
        </w:tc>
      </w:tr>
      <w:tr>
        <w:trPr>
          <w:trHeight w:val="393"/>
        </w:trPr>
        <w:tc>
          <w:tcPr>
            <w:tcW w:w="8080" w:type="dxa"/>
            <w:vAlign w:val="bottom"/>
          </w:tcPr>
          <w:p>
            <w:pPr>
              <w:ind w:left="100"/>
              <w:spacing w:after="0"/>
              <w:rPr>
                <w:sz w:val="20"/>
                <w:szCs w:val="20"/>
                <w:color w:val="auto"/>
              </w:rPr>
            </w:pPr>
            <w:r>
              <w:rPr>
                <w:rFonts w:ascii="Arial" w:cs="Arial" w:eastAsia="Arial" w:hAnsi="Arial"/>
                <w:sz w:val="19"/>
                <w:szCs w:val="19"/>
                <w:b w:val="1"/>
                <w:bCs w:val="1"/>
                <w:color w:val="auto"/>
              </w:rPr>
              <w:t>Non-Cash Investing and Financing Activities</w:t>
            </w: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0"/>
        </w:trPr>
        <w:tc>
          <w:tcPr>
            <w:tcW w:w="8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3"/>
        </w:trPr>
        <w:tc>
          <w:tcPr>
            <w:tcW w:w="808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Asset retirement obligations</w:t>
            </w:r>
          </w:p>
        </w:tc>
        <w:tc>
          <w:tcPr>
            <w:tcW w:w="1920" w:type="dxa"/>
            <w:vAlign w:val="bottom"/>
            <w:tcBorders>
              <w:bottom w:val="single" w:sz="8" w:color="auto"/>
            </w:tcBorders>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(182,263)</w:t>
            </w:r>
          </w:p>
        </w:tc>
      </w:tr>
    </w:tbl>
    <w:p>
      <w:pPr>
        <w:spacing w:after="0" w:line="160" w:lineRule="exact"/>
        <w:rPr>
          <w:sz w:val="20"/>
          <w:szCs w:val="20"/>
          <w:color w:val="auto"/>
        </w:rPr>
      </w:pPr>
    </w:p>
    <w:p>
      <w:pPr>
        <w:ind w:left="376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9"/>
          <w:szCs w:val="19"/>
          <w:b w:val="1"/>
          <w:bCs w:val="1"/>
          <w:color w:val="auto"/>
        </w:rPr>
        <w:t>7</w:t>
      </w:r>
    </w:p>
    <w:p>
      <w:pPr>
        <w:sectPr>
          <w:pgSz w:w="11900" w:h="16838" w:orient="portrait"/>
          <w:cols w:equalWidth="0" w:num="1">
            <w:col w:w="11240"/>
          </w:cols>
          <w:pgMar w:left="320" w:top="25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Operations and Organization</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RAM Energy Holdings LLC (formerly named PNNT RAM Energy LLC) is a Delaware limited liability company, wholly-owned by PennantPark Investment Corporation, and was formed in July 2014 as a holding company for interest ownership in RAM Energy LLC (“RAM”). RAM Energy Holdings LLC and RAM are herein referred to as the “Company.”</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July 2014, RAM acquired certain oil and natural gas properties from Chaparral Energy for a purchase price of approximately $98 million, after post-closing adjustments. The acquisition was funded by debt and the lenders, which included RAM Energy Holdings LLC, initially received approximately 10% minority interests in RAM in exchange for deal fees. RAM issued 531.25 common units to its lenders in connection with the First Event under the credit agreement in January 2015 and 531.25 common units to its lenders in connection with the Second Event under the credit agreement in April 2015. In August 2015, in resolution of RAM’s then default under its credit agreement, all remaining interests in RAM were transferred to RAM Energy Holdings LLC; the credit agreement was restructured and $20 million of debt was canceled. Prior to the debt restructuring, RAM Energy Holdings LLC held a minority interest in RAM, and after the debt restructuring, RAM became a wholly-owned and consolidated subsidiary of RAM Energy Holdings LLC. See Notes 8 and 9. Upon this change in control, the assets and liabilities of RAM were revalued to fair value.</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states of Texas, Louisiana, New Mexico and Oklahoma.</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Liquidity</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had a member’s deficit of $65.4 million, and a working capital deficit of $4.6 million at December 31, 2016. On January 5, 2017, the Company closed on the sale of certain oil and natural gas properties located in Texas for $5.7 million net proceeds. The proceeds will be used for general operating purposes. The Company also obtained a debt covenant waiver for all of its financial covenants and intends to exercise the paid-in-kind interest election through March 2018. As of March 9, 2017, after the January 2017 property sale and given the remedial actions taken on the credit agreement, management believes it has the funds necessary to maintain operations beyond one year after the date of these consolidated financial statements.</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Prior Period Adjustment</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connection with the preparation of the Company’s 2016 consolidated financial statements, management identified certain errors amounting to approximately $390,000 that related to the Company’s 2015 consolidated financial statements. The beginning balance of member’s deficit in the accompanying consolidated statement of member’s deficit has been revised to give effect to the correction of these errors.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8</w:t>
      </w:r>
    </w:p>
    <w:p>
      <w:pPr>
        <w:sectPr>
          <w:pgSz w:w="11900" w:h="16838" w:orient="portrait"/>
          <w:cols w:equalWidth="0" w:num="1">
            <w:col w:w="11240"/>
          </w:cols>
          <w:pgMar w:left="320" w:top="25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Summary of Significant Accounting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accompanying consolidated financial statements include the accounts of RAM Energy Holdings LLC and its wholly-owned subsidiary, RAM. All significant intercompany accounts and transactions have been eliminated in consolidation.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December 31, 2016, the net book value of the Company’s oil and natural gas properties exceeded the Ceiling Limitation by $4.6 million.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December 31, 2016.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9</w:t>
      </w:r>
    </w:p>
    <w:p>
      <w:pPr>
        <w:sectPr>
          <w:pgSz w:w="11900" w:h="16838" w:orient="portrait"/>
          <w:cols w:equalWidth="0" w:num="1">
            <w:col w:w="11240"/>
          </w:cols>
          <w:pgMar w:left="320" w:top="25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December 31, 2016 was approximately $233 thousand.</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accordance with authoritative guidance on accounting for the impairment or disposal of long-lived assets, as set forth in Topic 360 of the Accounting Standards Codification (the “Codification”) implemented by the Financial Accounting Standards Board (the “FASB”), the Company assesses the recoverability of the carrying value of its non-oil and natural gas long-lived assets whenever events occur that indicate an impairment in value may exist. An impairment loss is indicated if the sum of the expected undiscounted future net cash flows is less than the carrying amount of the assets. If this occurs, an impairment loss is recognized for the amount by which the carrying amount of the asset exceeds the estimated fair value of the asset.</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All capitalized costs of oil and natural gas properties and equipment, including the estimated future costs to develop proved reserves, are amortized using the unit-of-production method based on total proved reserves. Depreciation of other equipment is computed on the straight-line method over the estimated useful lives of the assets, which currently are three years. Amortization of leasehold improvements is computed based on the straight-line method over the term of the associated lease or estimated useful life, whichever is shorter.</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Gas Sales and Gas Imbalances</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follows the entitlement method of accounting for natural gas sales, recognizing as revenues only its net interest share of all production sold. Any amount attributable to the sale of production in excess of or less than the Company’s net interest is recorded as a gas balancing asset or liability. At December 31, 2016, the Company’s gas imbalances were not significant.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highly liquid unrestricted investments with a maturity of three months or less when purchased are considered to be cash equivalents.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At December 31, 2016, the Company had $0.5 million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December 31, 2016, 21% of total revenues were from two customers and 11% of receivables were from one customer.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December 31, 2016, the allowance for doubtful accounts was $129 thousand.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w:t>
      </w:r>
    </w:p>
    <w:p>
      <w:pPr>
        <w:sectPr>
          <w:pgSz w:w="11900" w:h="16838" w:orient="portrait"/>
          <w:cols w:equalWidth="0" w:num="1">
            <w:col w:w="11240"/>
          </w:cols>
          <w:pgMar w:left="320" w:top="25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2016,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95"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The Company receives fees for the operation of jointly owned oil and natural gas properties and records such reimbursements as reductions of general and administrative expenses. Such fees totaled approximately $0.5 million for the year ended December 31, 2016.</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December 31, 2016,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 recognizes all derivative instruments as either assets or liabilities in the consolidated balance sheets at fair value in accordance with authoritative guidance as set forth in Topic 815 of the Codification.</w:t>
      </w:r>
    </w:p>
    <w:p>
      <w:pPr>
        <w:spacing w:after="0" w:line="17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entered into numerous derivative contracts to reduce the impact of oil and natural gas price fluctuations and as required by the terms of its credit facility. See Notes 5 and 6. The Company did not designate these transactions as hedges. Accordingly, all gains and losses on the derivative instruments during 2016 have been recorded in the consolidated statement of operations.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11</w:t>
      </w:r>
    </w:p>
    <w:p>
      <w:pPr>
        <w:sectPr>
          <w:pgSz w:w="11900" w:h="16838" w:orient="portrait"/>
          <w:cols w:equalWidth="0" w:num="1">
            <w:col w:w="11240"/>
          </w:cols>
          <w:pgMar w:left="320" w:top="25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Authoritative guidance, set forth in Topic 410 of the Codification, addresses financial accounting and reporting for obligations associated with the retirement of tangible long-lived assets and the associated asset retirement costs. The authoritative guidance requires that the fair value of a liability for an asset retirement obligation be recognized in the period in which it is incurred if a reasonable estimate of fair value can be made, and that the associated asset retirement costs be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 the estimated liability on the Company’s oil and natural gas properties is recorded in the consolidated statement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60" w:type="dxa"/>
            <w:vAlign w:val="bottom"/>
          </w:tcPr>
          <w:p>
            <w:pPr>
              <w:spacing w:after="0"/>
              <w:rPr>
                <w:sz w:val="20"/>
                <w:szCs w:val="20"/>
                <w:color w:val="auto"/>
              </w:rPr>
            </w:pPr>
            <w:r>
              <w:rPr>
                <w:rFonts w:ascii="Arial" w:cs="Arial" w:eastAsia="Arial" w:hAnsi="Arial"/>
                <w:sz w:val="19"/>
                <w:szCs w:val="19"/>
                <w:color w:val="auto"/>
              </w:rPr>
              <w:t>The Company recorded the following activity related to the asset retirement obligations (in thousands):</w:t>
            </w: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7"/>
        </w:trPr>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i w:val="1"/>
                <w:i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b w:val="1"/>
                <w:bCs w:val="1"/>
                <w:color w:val="auto"/>
              </w:rPr>
              <w:t>2016</w:t>
            </w:r>
          </w:p>
        </w:tc>
        <w:tc>
          <w:tcPr>
            <w:tcW w:w="60" w:type="dxa"/>
            <w:vAlign w:val="bottom"/>
          </w:tcPr>
          <w:p>
            <w:pPr>
              <w:spacing w:after="0"/>
              <w:rPr>
                <w:sz w:val="24"/>
                <w:szCs w:val="24"/>
                <w:color w:val="auto"/>
              </w:rPr>
            </w:pPr>
          </w:p>
        </w:tc>
      </w:tr>
      <w:tr>
        <w:trPr>
          <w:trHeight w:val="183"/>
        </w:trPr>
        <w:tc>
          <w:tcPr>
            <w:tcW w:w="9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916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Liability for Asset Retirement Obligations, Beginning of Year</w:t>
            </w:r>
          </w:p>
        </w:tc>
        <w:tc>
          <w:tcPr>
            <w:tcW w:w="1000" w:type="dxa"/>
            <w:vAlign w:val="bottom"/>
            <w:shd w:val="clear" w:color="auto" w:fill="CCEEFF"/>
          </w:tcPr>
          <w:p>
            <w:pPr>
              <w:jc w:val="right"/>
              <w:ind w:right="206"/>
              <w:spacing w:after="0" w:line="216" w:lineRule="exact"/>
              <w:rPr>
                <w:sz w:val="20"/>
                <w:szCs w:val="20"/>
                <w:color w:val="auto"/>
              </w:rPr>
            </w:pPr>
            <w:r>
              <w:rPr>
                <w:rFonts w:ascii="Arial" w:cs="Arial" w:eastAsia="Arial" w:hAnsi="Arial"/>
                <w:sz w:val="19"/>
                <w:szCs w:val="19"/>
                <w:color w:val="auto"/>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5,624</w:t>
            </w:r>
          </w:p>
        </w:tc>
        <w:tc>
          <w:tcPr>
            <w:tcW w:w="60" w:type="dxa"/>
            <w:vAlign w:val="bottom"/>
            <w:shd w:val="clear" w:color="auto" w:fill="CCEEFF"/>
          </w:tcPr>
          <w:p>
            <w:pPr>
              <w:spacing w:after="0"/>
              <w:rPr>
                <w:sz w:val="18"/>
                <w:szCs w:val="18"/>
                <w:color w:val="auto"/>
              </w:rPr>
            </w:pPr>
          </w:p>
        </w:tc>
      </w:tr>
      <w:tr>
        <w:trPr>
          <w:trHeight w:val="243"/>
        </w:trPr>
        <w:tc>
          <w:tcPr>
            <w:tcW w:w="9160" w:type="dxa"/>
            <w:vAlign w:val="bottom"/>
          </w:tcPr>
          <w:p>
            <w:pPr>
              <w:ind w:left="480"/>
              <w:spacing w:after="0"/>
              <w:rPr>
                <w:sz w:val="20"/>
                <w:szCs w:val="20"/>
                <w:color w:val="auto"/>
              </w:rPr>
            </w:pPr>
            <w:r>
              <w:rPr>
                <w:rFonts w:ascii="Arial" w:cs="Arial" w:eastAsia="Arial" w:hAnsi="Arial"/>
                <w:sz w:val="19"/>
                <w:szCs w:val="19"/>
                <w:color w:val="auto"/>
              </w:rPr>
              <w:t>Accretion</w:t>
            </w:r>
          </w:p>
        </w:tc>
        <w:tc>
          <w:tcPr>
            <w:tcW w:w="10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689</w:t>
            </w:r>
          </w:p>
        </w:tc>
        <w:tc>
          <w:tcPr>
            <w:tcW w:w="60" w:type="dxa"/>
            <w:vAlign w:val="bottom"/>
          </w:tcPr>
          <w:p>
            <w:pPr>
              <w:spacing w:after="0"/>
              <w:rPr>
                <w:sz w:val="21"/>
                <w:szCs w:val="21"/>
                <w:color w:val="auto"/>
              </w:rPr>
            </w:pPr>
          </w:p>
        </w:tc>
      </w:tr>
      <w:tr>
        <w:trPr>
          <w:trHeight w:val="216"/>
        </w:trPr>
        <w:tc>
          <w:tcPr>
            <w:tcW w:w="916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Change in estimate</w:t>
            </w:r>
          </w:p>
        </w:tc>
        <w:tc>
          <w:tcPr>
            <w:tcW w:w="10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9"/>
                <w:szCs w:val="19"/>
                <w:color w:val="auto"/>
              </w:rPr>
              <w:t>(152)</w:t>
            </w:r>
          </w:p>
        </w:tc>
      </w:tr>
      <w:tr>
        <w:trPr>
          <w:trHeight w:val="270"/>
        </w:trPr>
        <w:tc>
          <w:tcPr>
            <w:tcW w:w="9160" w:type="dxa"/>
            <w:vAlign w:val="bottom"/>
            <w:tcBorders>
              <w:bottom w:val="single" w:sz="8" w:color="auto"/>
            </w:tcBorders>
          </w:tcPr>
          <w:p>
            <w:pPr>
              <w:ind w:left="480"/>
              <w:spacing w:after="0"/>
              <w:rPr>
                <w:sz w:val="20"/>
                <w:szCs w:val="20"/>
                <w:color w:val="auto"/>
              </w:rPr>
            </w:pPr>
            <w:r>
              <w:rPr>
                <w:rFonts w:ascii="Arial" w:cs="Arial" w:eastAsia="Arial" w:hAnsi="Arial"/>
                <w:sz w:val="19"/>
                <w:szCs w:val="19"/>
                <w:color w:val="auto"/>
              </w:rPr>
              <w:t>Obligations for wells sold</w:t>
            </w:r>
          </w:p>
        </w:tc>
        <w:tc>
          <w:tcPr>
            <w:tcW w:w="10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(29)</w:t>
            </w:r>
          </w:p>
        </w:tc>
      </w:tr>
      <w:tr>
        <w:trPr>
          <w:trHeight w:val="156"/>
        </w:trPr>
        <w:tc>
          <w:tcPr>
            <w:tcW w:w="9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916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Liability for Asset Retirement Obligations, End of Year</w:t>
            </w: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6,132</w:t>
            </w:r>
          </w:p>
        </w:tc>
        <w:tc>
          <w:tcPr>
            <w:tcW w:w="60" w:type="dxa"/>
            <w:vAlign w:val="bottom"/>
            <w:shd w:val="clear" w:color="auto" w:fill="CCEEFF"/>
          </w:tcPr>
          <w:p>
            <w:pPr>
              <w:spacing w:after="0"/>
              <w:rPr>
                <w:sz w:val="18"/>
                <w:szCs w:val="18"/>
                <w:color w:val="auto"/>
              </w:rPr>
            </w:pPr>
          </w:p>
        </w:tc>
      </w:tr>
      <w:tr>
        <w:trPr>
          <w:trHeight w:val="445"/>
        </w:trPr>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Less: current asset retirement obligations</w:t>
            </w: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1,989</w:t>
            </w:r>
          </w:p>
        </w:tc>
        <w:tc>
          <w:tcPr>
            <w:tcW w:w="60" w:type="dxa"/>
            <w:vAlign w:val="bottom"/>
            <w:tcBorders>
              <w:bottom w:val="single" w:sz="8" w:color="auto"/>
            </w:tcBorders>
          </w:tcPr>
          <w:p>
            <w:pPr>
              <w:spacing w:after="0"/>
              <w:rPr>
                <w:sz w:val="24"/>
                <w:szCs w:val="24"/>
                <w:color w:val="auto"/>
              </w:rPr>
            </w:pPr>
          </w:p>
        </w:tc>
      </w:tr>
      <w:tr>
        <w:trPr>
          <w:trHeight w:val="88"/>
        </w:trPr>
        <w:tc>
          <w:tcPr>
            <w:tcW w:w="9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77"/>
        </w:trPr>
        <w:tc>
          <w:tcPr>
            <w:tcW w:w="9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9"/>
                <w:szCs w:val="19"/>
                <w:b w:val="1"/>
                <w:bCs w:val="1"/>
                <w:color w:val="auto"/>
              </w:rPr>
              <w:t>Long-Term Asset Retirement Obligations</w:t>
            </w:r>
          </w:p>
        </w:tc>
        <w:tc>
          <w:tcPr>
            <w:tcW w:w="10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4,143</w:t>
            </w:r>
          </w:p>
        </w:tc>
        <w:tc>
          <w:tcPr>
            <w:tcW w:w="60" w:type="dxa"/>
            <w:vAlign w:val="bottom"/>
            <w:tcBorders>
              <w:bottom w:val="single" w:sz="8" w:color="auto"/>
            </w:tcBorders>
            <w:shd w:val="clear" w:color="auto" w:fill="CCEEFF"/>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9"/>
          <w:szCs w:val="19"/>
          <w:color w:val="auto"/>
        </w:rPr>
        <w:t>Prior to the debt restructuring effective August 31, 2015, the Company held a minority interest in RAM, and after the debt restructuring, RAM became a wholly-owned, disregarded subsidiary of the Company. As the Company has elected to be classified as a corporation, a tax benefit has been calculated for the year ended December 31, 2016. See Notes 8 and 9 for discussion of debt restructuring and member’s deficit.</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benefit for income taxes differs from the amount computed by applying the statutory federal income tax rate to income before provision for income taxes. For the year ended December 31, 2016, the Company had a benefit for income taxes of $7.0 million, which was completely offset by a valuation allowance. The significant differences between pre-tax book income and taxable book income relate to non-deductible expenses, state income taxes, change in valuation allowance, and other adjustments to deferred tax balances.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w:t>
      </w:r>
    </w:p>
    <w:p>
      <w:pPr>
        <w:sectPr>
          <w:pgSz w:w="11900" w:h="16838" w:orient="portrait"/>
          <w:cols w:equalWidth="0" w:num="1">
            <w:col w:w="11240"/>
          </w:cols>
          <w:pgMar w:left="320" w:top="25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sources and tax effects of the differences are as follows (in thousands):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9"/>
          <w:szCs w:val="19"/>
          <w:b w:val="1"/>
          <w:bCs w:val="1"/>
          <w:i w:val="1"/>
          <w:i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Income tax benefit at the federal statutory rate (34%)</w:t>
      </w:r>
    </w:p>
    <w:p>
      <w:pPr>
        <w:ind w:left="60"/>
        <w:spacing w:after="0" w:line="237" w:lineRule="auto"/>
        <w:rPr>
          <w:sz w:val="20"/>
          <w:szCs w:val="20"/>
          <w:color w:val="auto"/>
        </w:rPr>
      </w:pPr>
      <w:r>
        <w:rPr>
          <w:rFonts w:ascii="Arial" w:cs="Arial" w:eastAsia="Arial" w:hAnsi="Arial"/>
          <w:sz w:val="19"/>
          <w:szCs w:val="19"/>
          <w:color w:val="auto"/>
        </w:rPr>
        <w:t>State income tax expense,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0"/>
        <w:spacing w:after="0" w:line="237" w:lineRule="auto"/>
        <w:rPr>
          <w:sz w:val="20"/>
          <w:szCs w:val="20"/>
          <w:color w:val="auto"/>
        </w:rPr>
      </w:pPr>
      <w:r>
        <w:rPr>
          <w:rFonts w:ascii="Arial" w:cs="Arial" w:eastAsia="Arial" w:hAnsi="Arial"/>
          <w:sz w:val="19"/>
          <w:szCs w:val="19"/>
          <w:color w:val="auto"/>
        </w:rPr>
        <w:t>Other</w:t>
      </w:r>
    </w:p>
    <w:p>
      <w:pPr>
        <w:ind w:left="60"/>
        <w:spacing w:after="0"/>
        <w:rPr>
          <w:sz w:val="20"/>
          <w:szCs w:val="20"/>
          <w:color w:val="auto"/>
        </w:rPr>
      </w:pPr>
      <w:r>
        <w:rPr>
          <w:rFonts w:ascii="Arial" w:cs="Arial" w:eastAsia="Arial" w:hAnsi="Arial"/>
          <w:sz w:val="19"/>
          <w:szCs w:val="19"/>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2016</w:t>
      </w:r>
    </w:p>
    <w:p>
      <w:pPr>
        <w:spacing w:after="0" w:line="195" w:lineRule="exact"/>
        <w:rPr>
          <w:sz w:val="20"/>
          <w:szCs w:val="20"/>
          <w:color w:val="auto"/>
        </w:rPr>
      </w:pPr>
    </w:p>
    <w:p>
      <w:pPr>
        <w:ind w:left="760" w:hanging="757"/>
        <w:spacing w:after="0"/>
        <w:tabs>
          <w:tab w:leader="none" w:pos="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6,593</w:t>
      </w:r>
    </w:p>
    <w:p>
      <w:pPr>
        <w:ind w:left="920"/>
        <w:spacing w:after="0" w:line="237" w:lineRule="auto"/>
        <w:rPr>
          <w:rFonts w:ascii="Arial" w:cs="Arial" w:eastAsia="Arial" w:hAnsi="Arial"/>
          <w:sz w:val="19"/>
          <w:szCs w:val="19"/>
          <w:color w:val="auto"/>
        </w:rPr>
      </w:pPr>
      <w:r>
        <w:rPr>
          <w:rFonts w:ascii="Arial" w:cs="Arial" w:eastAsia="Arial" w:hAnsi="Arial"/>
          <w:sz w:val="19"/>
          <w:szCs w:val="19"/>
          <w:color w:val="auto"/>
        </w:rPr>
        <w:t>403</w:t>
      </w:r>
    </w:p>
    <w:p>
      <w:pPr>
        <w:ind w:left="1060"/>
        <w:spacing w:after="0"/>
        <w:rPr>
          <w:rFonts w:ascii="Arial" w:cs="Arial" w:eastAsia="Arial" w:hAnsi="Arial"/>
          <w:sz w:val="19"/>
          <w:szCs w:val="19"/>
          <w:color w:val="auto"/>
        </w:rPr>
      </w:pPr>
      <w:r>
        <w:rPr>
          <w:rFonts w:ascii="Arial" w:cs="Arial" w:eastAsia="Arial" w:hAnsi="Arial"/>
          <w:sz w:val="18"/>
          <w:szCs w:val="18"/>
          <w:color w:val="auto"/>
        </w:rPr>
        <w:t>(3)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(6,993)</w:t>
      </w:r>
    </w:p>
    <w:p>
      <w:pPr>
        <w:spacing w:after="0" w:line="160" w:lineRule="exact"/>
        <w:rPr>
          <w:sz w:val="20"/>
          <w:szCs w:val="20"/>
          <w:color w:val="auto"/>
        </w:rPr>
      </w:pPr>
    </w:p>
    <w:p>
      <w:pPr>
        <w:ind w:left="1180" w:hanging="1177"/>
        <w:spacing w:after="0"/>
        <w:tabs>
          <w:tab w:leader="none" w:pos="11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9180" w:space="720"/>
            <w:col w:w="1340"/>
          </w:cols>
          <w:pgMar w:left="320" w:top="258" w:right="339" w:bottom="1440" w:gutter="0" w:footer="0" w:header="0"/>
          <w:type w:val="continuous"/>
        </w:sectPr>
      </w:pPr>
    </w:p>
    <w:p>
      <w:pPr>
        <w:jc w:val="both"/>
        <w:spacing w:after="0" w:line="241" w:lineRule="auto"/>
        <w:rPr>
          <w:sz w:val="20"/>
          <w:szCs w:val="20"/>
          <w:color w:val="auto"/>
        </w:rPr>
      </w:pPr>
      <w:r>
        <w:rPr>
          <w:rFonts w:ascii="Arial" w:cs="Arial" w:eastAsia="Arial" w:hAnsi="Arial"/>
          <w:sz w:val="19"/>
          <w:szCs w:val="19"/>
          <w:color w:val="auto"/>
        </w:rPr>
        <w:t>The Company’s income tax benefit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40" w:type="dxa"/>
            <w:vAlign w:val="bottom"/>
          </w:tcPr>
          <w:p>
            <w:pPr>
              <w:spacing w:after="0"/>
              <w:rPr>
                <w:sz w:val="20"/>
                <w:szCs w:val="20"/>
                <w:color w:val="auto"/>
              </w:rPr>
            </w:pPr>
            <w:r>
              <w:rPr>
                <w:rFonts w:ascii="Arial" w:cs="Arial" w:eastAsia="Arial" w:hAnsi="Arial"/>
                <w:sz w:val="19"/>
                <w:szCs w:val="19"/>
                <w:color w:val="auto"/>
              </w:rPr>
              <w:t>Significant components of the Company’s deferred tax assets and liabilities are as follows (in thousands):</w:t>
            </w: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44"/>
        </w:trPr>
        <w:tc>
          <w:tcPr>
            <w:tcW w:w="9340" w:type="dxa"/>
            <w:vAlign w:val="bottom"/>
            <w:tcBorders>
              <w:bottom w:val="single" w:sz="8" w:color="auto"/>
            </w:tcBorders>
          </w:tcPr>
          <w:p>
            <w:pPr>
              <w:ind w:left="120"/>
              <w:spacing w:after="0"/>
              <w:rPr>
                <w:sz w:val="20"/>
                <w:szCs w:val="20"/>
                <w:color w:val="auto"/>
              </w:rPr>
            </w:pPr>
            <w:r>
              <w:rPr>
                <w:rFonts w:ascii="Arial" w:cs="Arial" w:eastAsia="Arial" w:hAnsi="Arial"/>
                <w:sz w:val="19"/>
                <w:szCs w:val="19"/>
                <w:b w:val="1"/>
                <w:bCs w:val="1"/>
                <w:i w:val="1"/>
                <w:iCs w:val="1"/>
                <w:color w:val="auto"/>
              </w:rPr>
              <w:t>December 31,</w:t>
            </w:r>
          </w:p>
        </w:tc>
        <w:tc>
          <w:tcPr>
            <w:tcW w:w="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auto"/>
              </w:rPr>
              <w:t>2016</w:t>
            </w:r>
          </w:p>
        </w:tc>
      </w:tr>
      <w:tr>
        <w:trPr>
          <w:trHeight w:val="155"/>
        </w:trPr>
        <w:tc>
          <w:tcPr>
            <w:tcW w:w="9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6"/>
        </w:trPr>
        <w:tc>
          <w:tcPr>
            <w:tcW w:w="934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color w:val="auto"/>
              </w:rPr>
              <w:t>Depreciable/ depletable property, plant and equipment</w:t>
            </w:r>
          </w:p>
        </w:tc>
        <w:tc>
          <w:tcPr>
            <w:tcW w:w="84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w:t>
            </w:r>
          </w:p>
        </w:tc>
        <w:tc>
          <w:tcPr>
            <w:tcW w:w="1060" w:type="dxa"/>
            <w:vAlign w:val="bottom"/>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21,705</w:t>
            </w:r>
          </w:p>
        </w:tc>
      </w:tr>
      <w:tr>
        <w:trPr>
          <w:trHeight w:val="216"/>
        </w:trPr>
        <w:tc>
          <w:tcPr>
            <w:tcW w:w="9340" w:type="dxa"/>
            <w:vAlign w:val="bottom"/>
          </w:tcPr>
          <w:p>
            <w:pPr>
              <w:ind w:left="100"/>
              <w:spacing w:after="0" w:line="216" w:lineRule="exact"/>
              <w:rPr>
                <w:sz w:val="20"/>
                <w:szCs w:val="20"/>
                <w:color w:val="auto"/>
              </w:rPr>
            </w:pPr>
            <w:r>
              <w:rPr>
                <w:rFonts w:ascii="Arial" w:cs="Arial" w:eastAsia="Arial" w:hAnsi="Arial"/>
                <w:sz w:val="19"/>
                <w:szCs w:val="19"/>
                <w:color w:val="auto"/>
              </w:rPr>
              <w:t>Asset retirement obligation</w:t>
            </w:r>
          </w:p>
        </w:tc>
        <w:tc>
          <w:tcPr>
            <w:tcW w:w="840" w:type="dxa"/>
            <w:vAlign w:val="bottom"/>
          </w:tcPr>
          <w:p>
            <w:pPr>
              <w:spacing w:after="0"/>
              <w:rPr>
                <w:sz w:val="18"/>
                <w:szCs w:val="18"/>
                <w:color w:val="auto"/>
              </w:rPr>
            </w:pPr>
          </w:p>
        </w:tc>
        <w:tc>
          <w:tcPr>
            <w:tcW w:w="1060" w:type="dxa"/>
            <w:vAlign w:val="bottom"/>
          </w:tcPr>
          <w:p>
            <w:pPr>
              <w:jc w:val="right"/>
              <w:ind w:right="6"/>
              <w:spacing w:after="0" w:line="216" w:lineRule="exact"/>
              <w:rPr>
                <w:sz w:val="20"/>
                <w:szCs w:val="20"/>
                <w:color w:val="auto"/>
              </w:rPr>
            </w:pPr>
            <w:r>
              <w:rPr>
                <w:rFonts w:ascii="Arial" w:cs="Arial" w:eastAsia="Arial" w:hAnsi="Arial"/>
                <w:sz w:val="19"/>
                <w:szCs w:val="19"/>
                <w:color w:val="auto"/>
              </w:rPr>
              <w:t>2,277</w:t>
            </w:r>
          </w:p>
        </w:tc>
      </w:tr>
      <w:tr>
        <w:trPr>
          <w:trHeight w:val="216"/>
        </w:trPr>
        <w:tc>
          <w:tcPr>
            <w:tcW w:w="934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color w:val="auto"/>
              </w:rPr>
              <w:t>Derivative assets</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806</w:t>
            </w:r>
          </w:p>
        </w:tc>
      </w:tr>
      <w:tr>
        <w:trPr>
          <w:trHeight w:val="216"/>
        </w:trPr>
        <w:tc>
          <w:tcPr>
            <w:tcW w:w="9340" w:type="dxa"/>
            <w:vAlign w:val="bottom"/>
          </w:tcPr>
          <w:p>
            <w:pPr>
              <w:ind w:left="100"/>
              <w:spacing w:after="0" w:line="216" w:lineRule="exact"/>
              <w:rPr>
                <w:sz w:val="20"/>
                <w:szCs w:val="20"/>
                <w:color w:val="auto"/>
              </w:rPr>
            </w:pPr>
            <w:r>
              <w:rPr>
                <w:rFonts w:ascii="Arial" w:cs="Arial" w:eastAsia="Arial" w:hAnsi="Arial"/>
                <w:sz w:val="19"/>
                <w:szCs w:val="19"/>
                <w:color w:val="auto"/>
              </w:rPr>
              <w:t>Reserves and other</w:t>
            </w:r>
          </w:p>
        </w:tc>
        <w:tc>
          <w:tcPr>
            <w:tcW w:w="840" w:type="dxa"/>
            <w:vAlign w:val="bottom"/>
          </w:tcPr>
          <w:p>
            <w:pPr>
              <w:spacing w:after="0"/>
              <w:rPr>
                <w:sz w:val="18"/>
                <w:szCs w:val="18"/>
                <w:color w:val="auto"/>
              </w:rPr>
            </w:pPr>
          </w:p>
        </w:tc>
        <w:tc>
          <w:tcPr>
            <w:tcW w:w="1060" w:type="dxa"/>
            <w:vAlign w:val="bottom"/>
          </w:tcPr>
          <w:p>
            <w:pPr>
              <w:jc w:val="right"/>
              <w:ind w:right="6"/>
              <w:spacing w:after="0" w:line="216" w:lineRule="exact"/>
              <w:rPr>
                <w:sz w:val="20"/>
                <w:szCs w:val="20"/>
                <w:color w:val="auto"/>
              </w:rPr>
            </w:pPr>
            <w:r>
              <w:rPr>
                <w:rFonts w:ascii="Arial" w:cs="Arial" w:eastAsia="Arial" w:hAnsi="Arial"/>
                <w:sz w:val="19"/>
                <w:szCs w:val="19"/>
                <w:color w:val="auto"/>
              </w:rPr>
              <w:t>44</w:t>
            </w:r>
          </w:p>
        </w:tc>
      </w:tr>
      <w:tr>
        <w:trPr>
          <w:trHeight w:val="270"/>
        </w:trPr>
        <w:tc>
          <w:tcPr>
            <w:tcW w:w="9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9"/>
                <w:szCs w:val="19"/>
                <w:color w:val="auto"/>
              </w:rPr>
              <w:t>Net operating loss carryforward</w:t>
            </w:r>
          </w:p>
        </w:tc>
        <w:tc>
          <w:tcPr>
            <w:tcW w:w="8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9"/>
                <w:szCs w:val="19"/>
                <w:color w:val="auto"/>
              </w:rPr>
              <w:t>5,468</w:t>
            </w:r>
          </w:p>
        </w:tc>
      </w:tr>
      <w:tr>
        <w:trPr>
          <w:trHeight w:val="209"/>
        </w:trPr>
        <w:tc>
          <w:tcPr>
            <w:tcW w:w="9340" w:type="dxa"/>
            <w:vAlign w:val="bottom"/>
          </w:tcPr>
          <w:p>
            <w:pPr>
              <w:ind w:left="100"/>
              <w:spacing w:after="0" w:line="210" w:lineRule="exact"/>
              <w:rPr>
                <w:sz w:val="20"/>
                <w:szCs w:val="20"/>
                <w:color w:val="auto"/>
              </w:rPr>
            </w:pPr>
            <w:r>
              <w:rPr>
                <w:rFonts w:ascii="Arial" w:cs="Arial" w:eastAsia="Arial" w:hAnsi="Arial"/>
                <w:sz w:val="19"/>
                <w:szCs w:val="19"/>
                <w:color w:val="auto"/>
              </w:rPr>
              <w:t>Total noncurrent deferred tax assets</w:t>
            </w:r>
          </w:p>
        </w:tc>
        <w:tc>
          <w:tcPr>
            <w:tcW w:w="840" w:type="dxa"/>
            <w:vAlign w:val="bottom"/>
          </w:tcPr>
          <w:p>
            <w:pPr>
              <w:spacing w:after="0"/>
              <w:rPr>
                <w:sz w:val="18"/>
                <w:szCs w:val="18"/>
                <w:color w:val="auto"/>
              </w:rPr>
            </w:pPr>
          </w:p>
        </w:tc>
        <w:tc>
          <w:tcPr>
            <w:tcW w:w="1060" w:type="dxa"/>
            <w:vAlign w:val="bottom"/>
          </w:tcPr>
          <w:p>
            <w:pPr>
              <w:jc w:val="right"/>
              <w:ind w:right="6"/>
              <w:spacing w:after="0" w:line="210" w:lineRule="exact"/>
              <w:rPr>
                <w:sz w:val="20"/>
                <w:szCs w:val="20"/>
                <w:color w:val="auto"/>
              </w:rPr>
            </w:pPr>
            <w:r>
              <w:rPr>
                <w:rFonts w:ascii="Arial" w:cs="Arial" w:eastAsia="Arial" w:hAnsi="Arial"/>
                <w:sz w:val="19"/>
                <w:szCs w:val="19"/>
                <w:color w:val="auto"/>
              </w:rPr>
              <w:t>30,300</w:t>
            </w:r>
          </w:p>
        </w:tc>
      </w:tr>
      <w:tr>
        <w:trPr>
          <w:trHeight w:val="270"/>
        </w:trPr>
        <w:tc>
          <w:tcPr>
            <w:tcW w:w="9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9"/>
                <w:szCs w:val="19"/>
                <w:color w:val="auto"/>
              </w:rPr>
              <w:t>Valuation allowance</w:t>
            </w:r>
          </w:p>
        </w:tc>
        <w:tc>
          <w:tcPr>
            <w:tcW w:w="8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(30,300)</w:t>
            </w:r>
          </w:p>
        </w:tc>
      </w:tr>
      <w:tr>
        <w:trPr>
          <w:trHeight w:val="365"/>
        </w:trPr>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Net noncurrent deferred tax assets</w:t>
            </w: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r>
    </w:tbl>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As of December 31, 2016, the Company has a net operating loss carryforward of approximately $15.2 million for federal income tax reporting purposes which will expire beginning in 2036. Based on the history of losses of the predecessor entity and the continued depression of oil and gas prices, the Company expects the net operating loss to expire without being utilized; accordingly, no deferred tax asset has been established for the amount of net operating losses that are not expected to be utilized under the applicable provisions of the tax law prior to their expiration. In addition, the Company has generated a net operating loss carryforward for state income tax purposes, which the Company believes will not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w:t>
      </w:r>
    </w:p>
    <w:p>
      <w:pPr>
        <w:sectPr>
          <w:pgSz w:w="11900" w:h="16838" w:orient="portrait"/>
          <w:cols w:equalWidth="0" w:num="1">
            <w:col w:w="11240"/>
          </w:cols>
          <w:pgMar w:left="320" w:top="258"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3" w:lineRule="exact"/>
        <w:rPr>
          <w:sz w:val="20"/>
          <w:szCs w:val="20"/>
          <w:color w:val="auto"/>
        </w:rPr>
      </w:pPr>
    </w:p>
    <w:p>
      <w:pPr>
        <w:jc w:val="both"/>
        <w:spacing w:after="0"/>
        <w:rPr>
          <w:sz w:val="20"/>
          <w:szCs w:val="20"/>
          <w:color w:val="auto"/>
        </w:rPr>
      </w:pPr>
      <w:r>
        <w:rPr>
          <w:rFonts w:ascii="Arial" w:cs="Arial" w:eastAsia="Arial" w:hAnsi="Arial"/>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During the year ended December 31, 2016, the Company recorded a valuation allowance of $30.3 million.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percent likely to be realized upon its ultimate settlement. The Company had no uncertain tax positions as of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The Company’s federal and state tax returns from its inception remain subject to examination by the applicable tax authorities.</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Fair Value Measurements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 xml:space="preserve">The Company follows FASB ASC 820, </w:t>
      </w:r>
      <w:r>
        <w:rPr>
          <w:rFonts w:ascii="Arial" w:cs="Arial" w:eastAsia="Arial" w:hAnsi="Arial"/>
          <w:sz w:val="19"/>
          <w:szCs w:val="19"/>
          <w:i w:val="1"/>
          <w:iCs w:val="1"/>
          <w:color w:val="auto"/>
        </w:rPr>
        <w:t>Fair Value Measurements and Disclosures</w:t>
      </w:r>
      <w:r>
        <w:rPr>
          <w:rFonts w:ascii="Arial" w:cs="Arial" w:eastAsia="Arial" w:hAnsi="Arial"/>
          <w:sz w:val="19"/>
          <w:szCs w:val="19"/>
          <w:color w:val="auto"/>
        </w:rPr>
        <w:t>, which defines fair value, establishes a framework for measuring fair value, establishes a fair value hierarchy based on the quality of inputs used to measure fair value and enhances disclosure requirements for fair value measurements. The implementation of FASB ASC 820 did not cause a change in the method of calculating fair value of assets or liabilities, with the exception of incorporating a measure regarding credit risk. This change is usually not material hence the primary impact from the adoption was additional disclosures.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FASB ASC 820 establishes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141" w:lineRule="exact"/>
        <w:rPr>
          <w:sz w:val="20"/>
          <w:szCs w:val="20"/>
          <w:color w:val="auto"/>
        </w:rPr>
      </w:pPr>
    </w:p>
    <w:p>
      <w:pPr>
        <w:jc w:val="both"/>
        <w:ind w:left="560" w:right="340"/>
        <w:spacing w:after="0" w:line="273" w:lineRule="auto"/>
        <w:rPr>
          <w:sz w:val="20"/>
          <w:szCs w:val="20"/>
          <w:color w:val="auto"/>
        </w:rPr>
      </w:pPr>
      <w:r>
        <w:rPr>
          <w:rFonts w:ascii="Arial" w:cs="Arial" w:eastAsia="Arial" w:hAnsi="Arial"/>
          <w:sz w:val="19"/>
          <w:szCs w:val="19"/>
          <w:b w:val="1"/>
          <w:bCs w:val="1"/>
          <w:color w:val="auto"/>
        </w:rPr>
        <w:t xml:space="preserve">Level 1 </w:t>
      </w:r>
      <w:r>
        <w:rPr>
          <w:rFonts w:ascii="Arial" w:cs="Arial" w:eastAsia="Arial" w:hAnsi="Arial"/>
          <w:sz w:val="19"/>
          <w:szCs w:val="19"/>
          <w:color w:val="auto"/>
        </w:rPr>
        <w:t>- inputs to the valuation methodology are quoted prices (unadjusted) for identical assets or liabilities in active</w:t>
      </w:r>
      <w:r>
        <w:rPr>
          <w:rFonts w:ascii="Arial" w:cs="Arial" w:eastAsia="Arial" w:hAnsi="Arial"/>
          <w:sz w:val="19"/>
          <w:szCs w:val="19"/>
          <w:b w:val="1"/>
          <w:bCs w:val="1"/>
          <w:color w:val="auto"/>
        </w:rPr>
        <w:t xml:space="preserve"> </w:t>
      </w:r>
      <w:r>
        <w:rPr>
          <w:rFonts w:ascii="Arial" w:cs="Arial" w:eastAsia="Arial" w:hAnsi="Arial"/>
          <w:sz w:val="19"/>
          <w:szCs w:val="19"/>
          <w:color w:val="auto"/>
        </w:rPr>
        <w:t>markets.</w:t>
      </w:r>
    </w:p>
    <w:p>
      <w:pPr>
        <w:spacing w:after="0" w:line="124" w:lineRule="exact"/>
        <w:rPr>
          <w:sz w:val="20"/>
          <w:szCs w:val="20"/>
          <w:color w:val="auto"/>
        </w:rPr>
      </w:pPr>
    </w:p>
    <w:p>
      <w:pPr>
        <w:jc w:val="both"/>
        <w:ind w:left="560" w:right="340"/>
        <w:spacing w:after="0" w:line="255" w:lineRule="auto"/>
        <w:rPr>
          <w:sz w:val="20"/>
          <w:szCs w:val="20"/>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inputs to the valuation methodology include quoted prices for similar assets and liabilities in active markets, and</w:t>
      </w:r>
      <w:r>
        <w:rPr>
          <w:rFonts w:ascii="Arial" w:cs="Arial" w:eastAsia="Arial" w:hAnsi="Arial"/>
          <w:sz w:val="19"/>
          <w:szCs w:val="19"/>
          <w:b w:val="1"/>
          <w:bCs w:val="1"/>
          <w:color w:val="auto"/>
        </w:rPr>
        <w:t xml:space="preserve"> </w:t>
      </w:r>
      <w:r>
        <w:rPr>
          <w:rFonts w:ascii="Arial" w:cs="Arial" w:eastAsia="Arial" w:hAnsi="Arial"/>
          <w:sz w:val="19"/>
          <w:szCs w:val="19"/>
          <w:color w:val="auto"/>
        </w:rPr>
        <w:t>inputs that are observable for the asset or liability, either directly or indirectly, for substantially the full term of the financial instrument.</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 fair value measurement.</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w:t>
      </w:r>
    </w:p>
    <w:p>
      <w:pPr>
        <w:sectPr>
          <w:pgSz w:w="11900" w:h="16838" w:orient="portrait"/>
          <w:cols w:equalWidth="0" w:num="1">
            <w:col w:w="11240"/>
          </w:cols>
          <w:pgMar w:left="320" w:top="25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assets and liabilities measured at fair value on a recurring basis, by level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9"/>
                <w:szCs w:val="19"/>
                <w:b w:val="1"/>
                <w:bCs w:val="1"/>
                <w:color w:val="auto"/>
              </w:rPr>
              <w:t>As of December 31, 2016</w:t>
            </w: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3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6"/>
              <w:spacing w:after="0" w:line="210" w:lineRule="exact"/>
              <w:rPr>
                <w:sz w:val="20"/>
                <w:szCs w:val="20"/>
                <w:color w:val="auto"/>
              </w:rPr>
            </w:pPr>
            <w:r>
              <w:rPr>
                <w:rFonts w:ascii="Arial" w:cs="Arial" w:eastAsia="Arial" w:hAnsi="Arial"/>
                <w:sz w:val="19"/>
                <w:szCs w:val="19"/>
                <w:b w:val="1"/>
                <w:bCs w:val="1"/>
                <w:color w:val="auto"/>
              </w:rPr>
              <w:t>Level 1</w:t>
            </w: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60"/>
              <w:spacing w:after="0" w:line="210" w:lineRule="exact"/>
              <w:rPr>
                <w:sz w:val="20"/>
                <w:szCs w:val="20"/>
                <w:color w:val="auto"/>
              </w:rPr>
            </w:pPr>
            <w:r>
              <w:rPr>
                <w:rFonts w:ascii="Arial" w:cs="Arial" w:eastAsia="Arial" w:hAnsi="Arial"/>
                <w:sz w:val="19"/>
                <w:szCs w:val="19"/>
                <w:b w:val="1"/>
                <w:bCs w:val="1"/>
                <w:color w:val="auto"/>
              </w:rPr>
              <w:t>Level 2</w:t>
            </w:r>
          </w:p>
        </w:tc>
        <w:tc>
          <w:tcPr>
            <w:tcW w:w="1560" w:type="dxa"/>
            <w:vAlign w:val="bottom"/>
            <w:tcBorders>
              <w:bottom w:val="single" w:sz="8" w:color="auto"/>
            </w:tcBorders>
          </w:tcPr>
          <w:p>
            <w:pPr>
              <w:jc w:val="right"/>
              <w:ind w:right="86"/>
              <w:spacing w:after="0" w:line="210" w:lineRule="exact"/>
              <w:rPr>
                <w:sz w:val="20"/>
                <w:szCs w:val="20"/>
                <w:color w:val="auto"/>
              </w:rPr>
            </w:pPr>
            <w:r>
              <w:rPr>
                <w:rFonts w:ascii="Arial" w:cs="Arial" w:eastAsia="Arial" w:hAnsi="Arial"/>
                <w:sz w:val="19"/>
                <w:szCs w:val="19"/>
                <w:b w:val="1"/>
                <w:bCs w:val="1"/>
                <w:color w:val="auto"/>
              </w:rPr>
              <w:t>Level 3</w:t>
            </w: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60"/>
              <w:spacing w:after="0" w:line="210" w:lineRule="exact"/>
              <w:rPr>
                <w:sz w:val="20"/>
                <w:szCs w:val="20"/>
                <w:color w:val="auto"/>
              </w:rPr>
            </w:pPr>
            <w:r>
              <w:rPr>
                <w:rFonts w:ascii="Arial" w:cs="Arial" w:eastAsia="Arial" w:hAnsi="Arial"/>
                <w:sz w:val="19"/>
                <w:szCs w:val="19"/>
                <w:b w:val="1"/>
                <w:bCs w:val="1"/>
                <w:color w:val="auto"/>
              </w:rPr>
              <w:t>Total</w:t>
            </w:r>
          </w:p>
        </w:tc>
        <w:tc>
          <w:tcPr>
            <w:tcW w:w="60" w:type="dxa"/>
            <w:vAlign w:val="bottom"/>
          </w:tcPr>
          <w:p>
            <w:pPr>
              <w:spacing w:after="0"/>
              <w:rPr>
                <w:sz w:val="18"/>
                <w:szCs w:val="18"/>
                <w:color w:val="auto"/>
              </w:rPr>
            </w:pPr>
          </w:p>
        </w:tc>
      </w:tr>
      <w:tr>
        <w:trPr>
          <w:trHeight w:val="115"/>
        </w:trPr>
        <w:tc>
          <w:tcPr>
            <w:tcW w:w="36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20"/>
        </w:trPr>
        <w:tc>
          <w:tcPr>
            <w:tcW w:w="36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Derivative Asset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9"/>
        </w:trPr>
        <w:tc>
          <w:tcPr>
            <w:tcW w:w="3640" w:type="dxa"/>
            <w:vAlign w:val="bottom"/>
            <w:tcBorders>
              <w:bottom w:val="single" w:sz="8" w:color="auto"/>
            </w:tcBorders>
            <w:shd w:val="clear" w:color="auto" w:fill="CCEEFF"/>
          </w:tcPr>
          <w:p>
            <w:pPr>
              <w:ind w:left="300"/>
              <w:spacing w:after="0" w:line="212" w:lineRule="exact"/>
              <w:rPr>
                <w:sz w:val="20"/>
                <w:szCs w:val="20"/>
                <w:color w:val="auto"/>
              </w:rPr>
            </w:pPr>
            <w:r>
              <w:rPr>
                <w:rFonts w:ascii="Arial" w:cs="Arial" w:eastAsia="Arial" w:hAnsi="Arial"/>
                <w:sz w:val="19"/>
                <w:szCs w:val="19"/>
                <w:color w:val="auto"/>
              </w:rPr>
              <w:t>(Commodity Contracts)</w:t>
            </w:r>
          </w:p>
        </w:tc>
        <w:tc>
          <w:tcPr>
            <w:tcW w:w="1240" w:type="dxa"/>
            <w:vAlign w:val="bottom"/>
            <w:tcBorders>
              <w:bottom w:val="single" w:sz="8" w:color="auto"/>
            </w:tcBorders>
            <w:shd w:val="clear" w:color="auto" w:fill="CCEEFF"/>
          </w:tcPr>
          <w:p>
            <w:pPr>
              <w:jc w:val="right"/>
              <w:ind w:right="986"/>
              <w:spacing w:after="0" w:line="212" w:lineRule="exact"/>
              <w:rPr>
                <w:sz w:val="20"/>
                <w:szCs w:val="20"/>
                <w:color w:val="auto"/>
              </w:rPr>
            </w:pPr>
            <w:r>
              <w:rPr>
                <w:rFonts w:ascii="Arial" w:cs="Arial" w:eastAsia="Arial" w:hAnsi="Arial"/>
                <w:sz w:val="19"/>
                <w:szCs w:val="19"/>
                <w:color w:val="auto"/>
              </w:rPr>
              <w:t>$</w:t>
            </w:r>
          </w:p>
        </w:tc>
        <w:tc>
          <w:tcPr>
            <w:tcW w:w="540" w:type="dxa"/>
            <w:vAlign w:val="bottom"/>
            <w:tcBorders>
              <w:bottom w:val="single" w:sz="8" w:color="auto"/>
            </w:tcBorders>
            <w:shd w:val="clear" w:color="auto" w:fill="CCEEFF"/>
          </w:tcPr>
          <w:p>
            <w:pPr>
              <w:jc w:val="right"/>
              <w:ind w:right="206"/>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CCEEFF"/>
          </w:tcPr>
          <w:p>
            <w:pPr>
              <w:jc w:val="right"/>
              <w:ind w:right="66"/>
              <w:spacing w:after="0" w:line="212" w:lineRule="exact"/>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shd w:val="clear" w:color="auto" w:fill="CCEEFF"/>
          </w:tcPr>
          <w:p>
            <w:pPr>
              <w:jc w:val="right"/>
              <w:ind w:right="246"/>
              <w:spacing w:after="0" w:line="212" w:lineRule="exact"/>
              <w:rPr>
                <w:sz w:val="20"/>
                <w:szCs w:val="20"/>
                <w:color w:val="auto"/>
              </w:rPr>
            </w:pPr>
            <w:r>
              <w:rPr>
                <w:rFonts w:ascii="Arial" w:cs="Arial" w:eastAsia="Arial" w:hAnsi="Arial"/>
                <w:sz w:val="19"/>
                <w:szCs w:val="19"/>
                <w:color w:val="auto"/>
              </w:rPr>
              <w:t>100</w:t>
            </w:r>
          </w:p>
        </w:tc>
        <w:tc>
          <w:tcPr>
            <w:tcW w:w="1560" w:type="dxa"/>
            <w:vAlign w:val="bottom"/>
            <w:tcBorders>
              <w:bottom w:val="single" w:sz="8" w:color="auto"/>
            </w:tcBorders>
            <w:shd w:val="clear" w:color="auto" w:fill="CCEEFF"/>
          </w:tcPr>
          <w:p>
            <w:pPr>
              <w:jc w:val="right"/>
              <w:ind w:right="1046"/>
              <w:spacing w:after="0" w:line="212" w:lineRule="exact"/>
              <w:rPr>
                <w:sz w:val="20"/>
                <w:szCs w:val="20"/>
                <w:color w:val="auto"/>
              </w:rPr>
            </w:pPr>
            <w:r>
              <w:rPr>
                <w:rFonts w:ascii="Arial" w:cs="Arial" w:eastAsia="Arial" w:hAnsi="Arial"/>
                <w:sz w:val="19"/>
                <w:szCs w:val="19"/>
                <w:color w:val="auto"/>
              </w:rPr>
              <w:t>$</w:t>
            </w:r>
          </w:p>
        </w:tc>
        <w:tc>
          <w:tcPr>
            <w:tcW w:w="540" w:type="dxa"/>
            <w:vAlign w:val="bottom"/>
            <w:tcBorders>
              <w:bottom w:val="single" w:sz="8" w:color="auto"/>
            </w:tcBorders>
            <w:shd w:val="clear" w:color="auto" w:fill="CCEEFF"/>
          </w:tcPr>
          <w:p>
            <w:pPr>
              <w:jc w:val="right"/>
              <w:ind w:right="206"/>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CCEEFF"/>
          </w:tcPr>
          <w:p>
            <w:pPr>
              <w:jc w:val="right"/>
              <w:ind w:right="66"/>
              <w:spacing w:after="0" w:line="212"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CCEEFF"/>
          </w:tcPr>
          <w:p>
            <w:pPr>
              <w:jc w:val="right"/>
              <w:spacing w:after="0" w:line="212" w:lineRule="exact"/>
              <w:rPr>
                <w:sz w:val="20"/>
                <w:szCs w:val="20"/>
                <w:color w:val="auto"/>
              </w:rPr>
            </w:pPr>
            <w:r>
              <w:rPr>
                <w:rFonts w:ascii="Arial" w:cs="Arial" w:eastAsia="Arial" w:hAnsi="Arial"/>
                <w:sz w:val="19"/>
                <w:szCs w:val="19"/>
                <w:color w:val="auto"/>
              </w:rPr>
              <w:t>100</w:t>
            </w:r>
          </w:p>
        </w:tc>
        <w:tc>
          <w:tcPr>
            <w:tcW w:w="60" w:type="dxa"/>
            <w:vAlign w:val="bottom"/>
            <w:tcBorders>
              <w:bottom w:val="single" w:sz="8" w:color="auto"/>
            </w:tcBorders>
            <w:shd w:val="clear" w:color="auto" w:fill="CCEEFF"/>
          </w:tcPr>
          <w:p>
            <w:pPr>
              <w:spacing w:after="0"/>
              <w:rPr>
                <w:sz w:val="19"/>
                <w:szCs w:val="19"/>
                <w:color w:val="auto"/>
              </w:rPr>
            </w:pPr>
          </w:p>
        </w:tc>
      </w:tr>
      <w:tr>
        <w:trPr>
          <w:trHeight w:val="315"/>
        </w:trPr>
        <w:tc>
          <w:tcPr>
            <w:tcW w:w="3640" w:type="dxa"/>
            <w:vAlign w:val="bottom"/>
          </w:tcPr>
          <w:p>
            <w:pPr>
              <w:ind w:left="100"/>
              <w:spacing w:after="0"/>
              <w:rPr>
                <w:sz w:val="20"/>
                <w:szCs w:val="20"/>
                <w:color w:val="auto"/>
              </w:rPr>
            </w:pPr>
            <w:r>
              <w:rPr>
                <w:rFonts w:ascii="Arial" w:cs="Arial" w:eastAsia="Arial" w:hAnsi="Arial"/>
                <w:sz w:val="19"/>
                <w:szCs w:val="19"/>
                <w:color w:val="auto"/>
              </w:rPr>
              <w:t>Derivative Liability</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3640" w:type="dxa"/>
            <w:vAlign w:val="bottom"/>
            <w:tcBorders>
              <w:bottom w:val="single" w:sz="8" w:color="auto"/>
            </w:tcBorders>
          </w:tcPr>
          <w:p>
            <w:pPr>
              <w:ind w:left="300"/>
              <w:spacing w:after="0" w:line="212" w:lineRule="exact"/>
              <w:rPr>
                <w:sz w:val="20"/>
                <w:szCs w:val="20"/>
                <w:color w:val="auto"/>
              </w:rPr>
            </w:pPr>
            <w:r>
              <w:rPr>
                <w:rFonts w:ascii="Arial" w:cs="Arial" w:eastAsia="Arial" w:hAnsi="Arial"/>
                <w:sz w:val="19"/>
                <w:szCs w:val="19"/>
                <w:color w:val="auto"/>
              </w:rPr>
              <w:t>(Commodity Contracts)</w:t>
            </w:r>
          </w:p>
        </w:tc>
        <w:tc>
          <w:tcPr>
            <w:tcW w:w="1240" w:type="dxa"/>
            <w:vAlign w:val="bottom"/>
            <w:tcBorders>
              <w:bottom w:val="single" w:sz="8" w:color="auto"/>
            </w:tcBorders>
          </w:tcPr>
          <w:p>
            <w:pPr>
              <w:jc w:val="right"/>
              <w:ind w:right="986"/>
              <w:spacing w:after="0" w:line="212" w:lineRule="exact"/>
              <w:rPr>
                <w:sz w:val="20"/>
                <w:szCs w:val="20"/>
                <w:color w:val="auto"/>
              </w:rPr>
            </w:pPr>
            <w:r>
              <w:rPr>
                <w:rFonts w:ascii="Arial" w:cs="Arial" w:eastAsia="Arial" w:hAnsi="Arial"/>
                <w:sz w:val="19"/>
                <w:szCs w:val="19"/>
                <w:color w:val="auto"/>
              </w:rPr>
              <w:t>$</w:t>
            </w:r>
          </w:p>
        </w:tc>
        <w:tc>
          <w:tcPr>
            <w:tcW w:w="540" w:type="dxa"/>
            <w:vAlign w:val="bottom"/>
            <w:tcBorders>
              <w:bottom w:val="single" w:sz="8" w:color="auto"/>
            </w:tcBorders>
          </w:tcPr>
          <w:p>
            <w:pPr>
              <w:jc w:val="right"/>
              <w:ind w:right="206"/>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tcPr>
          <w:p>
            <w:pPr>
              <w:jc w:val="right"/>
              <w:ind w:right="66"/>
              <w:spacing w:after="0" w:line="212" w:lineRule="exact"/>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206"/>
              <w:spacing w:after="0" w:line="212" w:lineRule="exact"/>
              <w:rPr>
                <w:sz w:val="20"/>
                <w:szCs w:val="20"/>
                <w:color w:val="auto"/>
              </w:rPr>
            </w:pPr>
            <w:r>
              <w:rPr>
                <w:rFonts w:ascii="Arial" w:cs="Arial" w:eastAsia="Arial" w:hAnsi="Arial"/>
                <w:sz w:val="19"/>
                <w:szCs w:val="19"/>
                <w:color w:val="auto"/>
              </w:rPr>
              <w:t>(210)</w:t>
            </w:r>
          </w:p>
        </w:tc>
        <w:tc>
          <w:tcPr>
            <w:tcW w:w="1560" w:type="dxa"/>
            <w:vAlign w:val="bottom"/>
            <w:tcBorders>
              <w:bottom w:val="single" w:sz="8" w:color="auto"/>
            </w:tcBorders>
          </w:tcPr>
          <w:p>
            <w:pPr>
              <w:jc w:val="right"/>
              <w:ind w:right="1046"/>
              <w:spacing w:after="0" w:line="212" w:lineRule="exact"/>
              <w:rPr>
                <w:sz w:val="20"/>
                <w:szCs w:val="20"/>
                <w:color w:val="auto"/>
              </w:rPr>
            </w:pPr>
            <w:r>
              <w:rPr>
                <w:rFonts w:ascii="Arial" w:cs="Arial" w:eastAsia="Arial" w:hAnsi="Arial"/>
                <w:sz w:val="19"/>
                <w:szCs w:val="19"/>
                <w:color w:val="auto"/>
              </w:rPr>
              <w:t>$</w:t>
            </w:r>
          </w:p>
        </w:tc>
        <w:tc>
          <w:tcPr>
            <w:tcW w:w="540" w:type="dxa"/>
            <w:vAlign w:val="bottom"/>
            <w:tcBorders>
              <w:bottom w:val="single" w:sz="8" w:color="auto"/>
            </w:tcBorders>
          </w:tcPr>
          <w:p>
            <w:pPr>
              <w:jc w:val="right"/>
              <w:ind w:right="206"/>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tcPr>
          <w:p>
            <w:pPr>
              <w:jc w:val="right"/>
              <w:ind w:right="66"/>
              <w:spacing w:after="0" w:line="212"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gridSpan w:val="2"/>
          </w:tcPr>
          <w:p>
            <w:pPr>
              <w:jc w:val="right"/>
              <w:ind w:right="60"/>
              <w:spacing w:after="0" w:line="212" w:lineRule="exact"/>
              <w:rPr>
                <w:sz w:val="20"/>
                <w:szCs w:val="20"/>
                <w:color w:val="auto"/>
              </w:rPr>
            </w:pPr>
            <w:r>
              <w:rPr>
                <w:rFonts w:ascii="Arial" w:cs="Arial" w:eastAsia="Arial" w:hAnsi="Arial"/>
                <w:sz w:val="19"/>
                <w:szCs w:val="19"/>
                <w:color w:val="auto"/>
              </w:rPr>
              <w:t>(210)</w:t>
            </w:r>
          </w:p>
        </w:tc>
      </w:tr>
    </w:tbl>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 market volatility, counterparty credit risk and additional criteria in determining discount rates. The 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9"/>
          <w:szCs w:val="19"/>
          <w:color w:val="auto"/>
        </w:rPr>
        <w:t>At December 31, 2016, the carrying value of cash, receivables and payables reflected in the Company’s consolidated financial statements approximates fair value due to their short-term nature. Additionally, the carrying value of the Company’s long-term debt under the credit facility approximates fair value because the credit facility carries a variable interest rate based on market interest rates.</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Derivative Contracts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160"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During 2016, the Company entered into numerous derivative contracts to manage the impact of oil and natural gas price fluctuations and as required by the terms of its credit facility. The Company did not designate these transactions as hedges. Accordingly, all gains and losses on the derivative instruments during 2016 have been recorded in the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The Company’s derivative positions at December 31, 2016, consisting of put/call “collars” are shown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Collars - Natural Gas (Mmbtu)</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19"/>
                <w:szCs w:val="19"/>
                <w:b w:val="1"/>
                <w:bCs w:val="1"/>
                <w:color w:val="auto"/>
              </w:rPr>
              <w:t>Floors</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Borders>
              <w:bottom w:val="single" w:sz="8" w:color="auto"/>
            </w:tcBorders>
            <w:gridSpan w:val="2"/>
          </w:tcPr>
          <w:p>
            <w:pPr>
              <w:jc w:val="right"/>
              <w:ind w:right="46"/>
              <w:spacing w:after="0" w:line="210" w:lineRule="exact"/>
              <w:rPr>
                <w:sz w:val="20"/>
                <w:szCs w:val="20"/>
                <w:color w:val="auto"/>
              </w:rPr>
            </w:pPr>
            <w:r>
              <w:rPr>
                <w:rFonts w:ascii="Arial" w:cs="Arial" w:eastAsia="Arial" w:hAnsi="Arial"/>
                <w:sz w:val="19"/>
                <w:szCs w:val="19"/>
                <w:b w:val="1"/>
                <w:bCs w:val="1"/>
                <w:color w:val="auto"/>
              </w:rPr>
              <w:t>Ceilings</w:t>
            </w:r>
          </w:p>
        </w:tc>
        <w:tc>
          <w:tcPr>
            <w:tcW w:w="1080" w:type="dxa"/>
            <w:vAlign w:val="bottom"/>
            <w:tcBorders>
              <w:bottom w:val="single" w:sz="8" w:color="auto"/>
            </w:tcBorders>
          </w:tcPr>
          <w:p>
            <w:pPr>
              <w:spacing w:after="0"/>
              <w:rPr>
                <w:sz w:val="18"/>
                <w:szCs w:val="18"/>
                <w:color w:val="auto"/>
              </w:rPr>
            </w:pPr>
          </w:p>
        </w:tc>
        <w:tc>
          <w:tcPr>
            <w:tcW w:w="1740" w:type="dxa"/>
            <w:vAlign w:val="bottom"/>
            <w:vMerge w:val="restart"/>
          </w:tcPr>
          <w:p>
            <w:pPr>
              <w:jc w:val="center"/>
              <w:ind w:left="6"/>
              <w:spacing w:after="0"/>
              <w:rPr>
                <w:sz w:val="20"/>
                <w:szCs w:val="20"/>
                <w:color w:val="auto"/>
              </w:rPr>
            </w:pPr>
            <w:r>
              <w:rPr>
                <w:rFonts w:ascii="Arial" w:cs="Arial" w:eastAsia="Arial" w:hAnsi="Arial"/>
                <w:sz w:val="19"/>
                <w:szCs w:val="19"/>
                <w:b w:val="1"/>
                <w:bCs w:val="1"/>
                <w:color w:val="auto"/>
              </w:rPr>
              <w:t>Months</w:t>
            </w: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1160" w:type="dxa"/>
            <w:vAlign w:val="bottom"/>
          </w:tcPr>
          <w:p>
            <w:pPr>
              <w:jc w:val="right"/>
              <w:ind w:right="326"/>
              <w:spacing w:after="0" w:line="190" w:lineRule="exact"/>
              <w:rPr>
                <w:sz w:val="20"/>
                <w:szCs w:val="20"/>
                <w:color w:val="auto"/>
              </w:rPr>
            </w:pPr>
            <w:r>
              <w:rPr>
                <w:rFonts w:ascii="Arial" w:cs="Arial" w:eastAsia="Arial" w:hAnsi="Arial"/>
                <w:sz w:val="19"/>
                <w:szCs w:val="19"/>
                <w:b w:val="1"/>
                <w:bCs w:val="1"/>
                <w:color w:val="auto"/>
              </w:rPr>
              <w:t>Per</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ind w:right="626"/>
              <w:spacing w:after="0" w:line="190" w:lineRule="exact"/>
              <w:rPr>
                <w:sz w:val="20"/>
                <w:szCs w:val="20"/>
                <w:color w:val="auto"/>
              </w:rPr>
            </w:pPr>
            <w:r>
              <w:rPr>
                <w:rFonts w:ascii="Arial" w:cs="Arial" w:eastAsia="Arial" w:hAnsi="Arial"/>
                <w:sz w:val="19"/>
                <w:szCs w:val="19"/>
                <w:b w:val="1"/>
                <w:bCs w:val="1"/>
                <w:color w:val="auto"/>
              </w:rPr>
              <w:t>Per</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120" w:type="dxa"/>
            <w:vAlign w:val="bottom"/>
            <w:tcBorders>
              <w:bottom w:val="single" w:sz="8" w:color="auto"/>
            </w:tcBorders>
          </w:tcPr>
          <w:p>
            <w:pPr>
              <w:jc w:val="right"/>
              <w:ind w:right="1266"/>
              <w:spacing w:after="0"/>
              <w:rPr>
                <w:sz w:val="20"/>
                <w:szCs w:val="20"/>
                <w:color w:val="auto"/>
              </w:rPr>
            </w:pPr>
            <w:r>
              <w:rPr>
                <w:rFonts w:ascii="Arial" w:cs="Arial" w:eastAsia="Arial" w:hAnsi="Arial"/>
                <w:sz w:val="19"/>
                <w:szCs w:val="19"/>
                <w:b w:val="1"/>
                <w:bCs w:val="1"/>
                <w:color w:val="auto"/>
              </w:rPr>
              <w:t>Year</w:t>
            </w:r>
          </w:p>
        </w:tc>
        <w:tc>
          <w:tcPr>
            <w:tcW w:w="116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b w:val="1"/>
                <w:bCs w:val="1"/>
                <w:color w:val="auto"/>
              </w:rPr>
              <w:t>Day (1)</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b w:val="1"/>
                <w:bCs w:val="1"/>
                <w:color w:val="auto"/>
              </w:rPr>
              <w:t>Price</w:t>
            </w:r>
          </w:p>
        </w:tc>
        <w:tc>
          <w:tcPr>
            <w:tcW w:w="1760" w:type="dxa"/>
            <w:vAlign w:val="bottom"/>
            <w:tcBorders>
              <w:bottom w:val="single" w:sz="8" w:color="auto"/>
            </w:tcBorders>
          </w:tcPr>
          <w:p>
            <w:pPr>
              <w:jc w:val="right"/>
              <w:ind w:right="446"/>
              <w:spacing w:after="0"/>
              <w:rPr>
                <w:sz w:val="20"/>
                <w:szCs w:val="20"/>
                <w:color w:val="auto"/>
              </w:rPr>
            </w:pPr>
            <w:r>
              <w:rPr>
                <w:rFonts w:ascii="Arial" w:cs="Arial" w:eastAsia="Arial" w:hAnsi="Arial"/>
                <w:sz w:val="19"/>
                <w:szCs w:val="19"/>
                <w:b w:val="1"/>
                <w:bCs w:val="1"/>
                <w:color w:val="auto"/>
              </w:rPr>
              <w:t>Day (1)</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auto"/>
              </w:rPr>
              <w:t>Price</w:t>
            </w:r>
          </w:p>
        </w:tc>
        <w:tc>
          <w:tcPr>
            <w:tcW w:w="1740" w:type="dxa"/>
            <w:vAlign w:val="bottom"/>
            <w:tcBorders>
              <w:bottom w:val="single" w:sz="8" w:color="auto"/>
            </w:tcBorders>
          </w:tcPr>
          <w:p>
            <w:pPr>
              <w:jc w:val="center"/>
              <w:ind w:left="6"/>
              <w:spacing w:after="0"/>
              <w:rPr>
                <w:sz w:val="20"/>
                <w:szCs w:val="20"/>
                <w:color w:val="auto"/>
              </w:rPr>
            </w:pPr>
            <w:r>
              <w:rPr>
                <w:rFonts w:ascii="Arial" w:cs="Arial" w:eastAsia="Arial" w:hAnsi="Arial"/>
                <w:sz w:val="19"/>
                <w:szCs w:val="19"/>
                <w:b w:val="1"/>
                <w:bCs w:val="1"/>
                <w:color w:val="auto"/>
                <w:w w:val="99"/>
              </w:rPr>
              <w:t>Covered</w:t>
            </w:r>
          </w:p>
        </w:tc>
        <w:tc>
          <w:tcPr>
            <w:tcW w:w="0" w:type="dxa"/>
            <w:vAlign w:val="bottom"/>
          </w:tcPr>
          <w:p>
            <w:pPr>
              <w:spacing w:after="0"/>
              <w:rPr>
                <w:sz w:val="1"/>
                <w:szCs w:val="1"/>
                <w:color w:val="auto"/>
              </w:rPr>
            </w:pPr>
          </w:p>
        </w:tc>
      </w:tr>
      <w:tr>
        <w:trPr>
          <w:trHeight w:val="88"/>
        </w:trPr>
        <w:tc>
          <w:tcPr>
            <w:tcW w:w="3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jc w:val="right"/>
              <w:ind w:right="2506"/>
              <w:spacing w:after="0" w:line="216" w:lineRule="exact"/>
              <w:rPr>
                <w:sz w:val="20"/>
                <w:szCs w:val="20"/>
                <w:color w:val="auto"/>
              </w:rPr>
            </w:pPr>
            <w:r>
              <w:rPr>
                <w:rFonts w:ascii="Arial" w:cs="Arial" w:eastAsia="Arial" w:hAnsi="Arial"/>
                <w:sz w:val="19"/>
                <w:szCs w:val="19"/>
                <w:color w:val="auto"/>
              </w:rPr>
              <w:t>2017</w:t>
            </w: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2,833</w:t>
            </w:r>
          </w:p>
        </w:tc>
        <w:tc>
          <w:tcPr>
            <w:tcW w:w="380" w:type="dxa"/>
            <w:vAlign w:val="bottom"/>
            <w:shd w:val="clear" w:color="auto" w:fill="CCEEFF"/>
          </w:tcPr>
          <w:p>
            <w:pPr>
              <w:jc w:val="right"/>
              <w:ind w:right="106"/>
              <w:spacing w:after="0" w:line="216" w:lineRule="exact"/>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3.00</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2,833</w:t>
            </w:r>
          </w:p>
        </w:tc>
        <w:tc>
          <w:tcPr>
            <w:tcW w:w="380" w:type="dxa"/>
            <w:vAlign w:val="bottom"/>
            <w:shd w:val="clear" w:color="auto" w:fill="CCEEFF"/>
          </w:tcPr>
          <w:p>
            <w:pPr>
              <w:jc w:val="right"/>
              <w:ind w:right="86"/>
              <w:spacing w:after="0" w:line="216" w:lineRule="exact"/>
              <w:rPr>
                <w:sz w:val="20"/>
                <w:szCs w:val="20"/>
                <w:color w:val="auto"/>
              </w:rPr>
            </w:pPr>
            <w:r>
              <w:rPr>
                <w:rFonts w:ascii="Arial" w:cs="Arial" w:eastAsia="Arial" w:hAnsi="Arial"/>
                <w:sz w:val="19"/>
                <w:szCs w:val="19"/>
                <w:color w:val="auto"/>
              </w:rPr>
              <w:t>$</w:t>
            </w: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3.79</w:t>
            </w:r>
          </w:p>
        </w:tc>
        <w:tc>
          <w:tcPr>
            <w:tcW w:w="1740" w:type="dxa"/>
            <w:vAlign w:val="bottom"/>
            <w:shd w:val="clear" w:color="auto" w:fill="CCEEFF"/>
          </w:tcPr>
          <w:p>
            <w:pPr>
              <w:jc w:val="center"/>
              <w:ind w:left="6"/>
              <w:spacing w:after="0" w:line="216" w:lineRule="exact"/>
              <w:rPr>
                <w:sz w:val="20"/>
                <w:szCs w:val="20"/>
                <w:color w:val="auto"/>
              </w:rPr>
            </w:pPr>
            <w:r>
              <w:rPr>
                <w:rFonts w:ascii="Arial" w:cs="Arial" w:eastAsia="Arial" w:hAnsi="Arial"/>
                <w:sz w:val="19"/>
                <w:szCs w:val="19"/>
                <w:color w:val="auto"/>
                <w:w w:val="99"/>
              </w:rPr>
              <w:t>January-December</w:t>
            </w:r>
          </w:p>
        </w:tc>
        <w:tc>
          <w:tcPr>
            <w:tcW w:w="0" w:type="dxa"/>
            <w:vAlign w:val="bottom"/>
          </w:tcPr>
          <w:p>
            <w:pPr>
              <w:spacing w:after="0"/>
              <w:rPr>
                <w:sz w:val="1"/>
                <w:szCs w:val="1"/>
                <w:color w:val="auto"/>
              </w:rPr>
            </w:pPr>
          </w:p>
        </w:tc>
      </w:tr>
      <w:tr>
        <w:trPr>
          <w:trHeight w:val="231"/>
        </w:trPr>
        <w:tc>
          <w:tcPr>
            <w:tcW w:w="3120" w:type="dxa"/>
            <w:vAlign w:val="bottom"/>
          </w:tcPr>
          <w:p>
            <w:pPr>
              <w:jc w:val="right"/>
              <w:ind w:right="2506"/>
              <w:spacing w:after="0"/>
              <w:rPr>
                <w:sz w:val="20"/>
                <w:szCs w:val="20"/>
                <w:color w:val="auto"/>
              </w:rPr>
            </w:pPr>
            <w:r>
              <w:rPr>
                <w:rFonts w:ascii="Arial" w:cs="Arial" w:eastAsia="Arial" w:hAnsi="Arial"/>
                <w:sz w:val="19"/>
                <w:szCs w:val="19"/>
                <w:color w:val="auto"/>
              </w:rPr>
              <w:t>2018</w:t>
            </w:r>
          </w:p>
        </w:tc>
        <w:tc>
          <w:tcPr>
            <w:tcW w:w="1160" w:type="dxa"/>
            <w:vAlign w:val="bottom"/>
          </w:tcPr>
          <w:p>
            <w:pPr>
              <w:jc w:val="right"/>
              <w:spacing w:after="0"/>
              <w:rPr>
                <w:sz w:val="20"/>
                <w:szCs w:val="20"/>
                <w:color w:val="auto"/>
              </w:rPr>
            </w:pPr>
            <w:r>
              <w:rPr>
                <w:rFonts w:ascii="Arial" w:cs="Arial" w:eastAsia="Arial" w:hAnsi="Arial"/>
                <w:sz w:val="19"/>
                <w:szCs w:val="19"/>
                <w:color w:val="auto"/>
              </w:rPr>
              <w:t>2,000</w:t>
            </w:r>
          </w:p>
        </w:tc>
        <w:tc>
          <w:tcPr>
            <w:tcW w:w="380" w:type="dxa"/>
            <w:vAlign w:val="bottom"/>
          </w:tcPr>
          <w:p>
            <w:pPr>
              <w:jc w:val="right"/>
              <w:ind w:right="106"/>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3.00</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2,000</w:t>
            </w:r>
          </w:p>
        </w:tc>
        <w:tc>
          <w:tcPr>
            <w:tcW w:w="38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3.82</w:t>
            </w:r>
          </w:p>
        </w:tc>
        <w:tc>
          <w:tcPr>
            <w:tcW w:w="1740" w:type="dxa"/>
            <w:vAlign w:val="bottom"/>
          </w:tcPr>
          <w:p>
            <w:pPr>
              <w:jc w:val="center"/>
              <w:ind w:left="6"/>
              <w:spacing w:after="0"/>
              <w:rPr>
                <w:sz w:val="20"/>
                <w:szCs w:val="20"/>
                <w:color w:val="auto"/>
              </w:rPr>
            </w:pPr>
            <w:r>
              <w:rPr>
                <w:rFonts w:ascii="Arial" w:cs="Arial" w:eastAsia="Arial" w:hAnsi="Arial"/>
                <w:sz w:val="19"/>
                <w:szCs w:val="19"/>
                <w:color w:val="auto"/>
                <w:w w:val="98"/>
              </w:rPr>
              <w:t>January-October</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(1) Per day amounts are calculated based on a 365-day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w:t>
      </w:r>
    </w:p>
    <w:p>
      <w:pPr>
        <w:sectPr>
          <w:pgSz w:w="11900" w:h="16838" w:orient="portrait"/>
          <w:cols w:equalWidth="0" w:num="1">
            <w:col w:w="11240"/>
          </w:cols>
          <w:pgMar w:left="320" w:top="25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Gross fair values of the Company’s derivative instruments, prior to netting of assets and liabilities subject to a master netting arrangement,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w w:val="96"/>
              </w:rPr>
              <w:t>Fair Value as of</w:t>
            </w:r>
          </w:p>
        </w:tc>
      </w:tr>
      <w:tr>
        <w:trPr>
          <w:trHeight w:val="236"/>
        </w:trPr>
        <w:tc>
          <w:tcPr>
            <w:tcW w:w="2660" w:type="dxa"/>
            <w:vAlign w:val="bottom"/>
          </w:tcPr>
          <w:p>
            <w:pPr>
              <w:jc w:val="center"/>
              <w:ind w:right="146"/>
              <w:spacing w:after="0"/>
              <w:rPr>
                <w:sz w:val="20"/>
                <w:szCs w:val="20"/>
                <w:color w:val="auto"/>
              </w:rPr>
            </w:pPr>
            <w:r>
              <w:rPr>
                <w:rFonts w:ascii="Arial" w:cs="Arial" w:eastAsia="Arial" w:hAnsi="Arial"/>
                <w:sz w:val="19"/>
                <w:szCs w:val="19"/>
                <w:b w:val="1"/>
                <w:bCs w:val="1"/>
                <w:color w:val="auto"/>
                <w:w w:val="99"/>
              </w:rPr>
              <w:t>Derivative</w:t>
            </w:r>
          </w:p>
        </w:tc>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December 31,</w:t>
            </w:r>
          </w:p>
        </w:tc>
      </w:tr>
      <w:tr>
        <w:trPr>
          <w:trHeight w:val="210"/>
        </w:trPr>
        <w:tc>
          <w:tcPr>
            <w:tcW w:w="2660" w:type="dxa"/>
            <w:vAlign w:val="bottom"/>
            <w:tcBorders>
              <w:bottom w:val="single" w:sz="8" w:color="auto"/>
            </w:tcBorders>
          </w:tcPr>
          <w:p>
            <w:pPr>
              <w:jc w:val="center"/>
              <w:ind w:right="166"/>
              <w:spacing w:after="0" w:line="210" w:lineRule="exact"/>
              <w:rPr>
                <w:sz w:val="20"/>
                <w:szCs w:val="20"/>
                <w:color w:val="auto"/>
              </w:rPr>
            </w:pPr>
            <w:r>
              <w:rPr>
                <w:rFonts w:ascii="Arial" w:cs="Arial" w:eastAsia="Arial" w:hAnsi="Arial"/>
                <w:sz w:val="19"/>
                <w:szCs w:val="19"/>
                <w:b w:val="1"/>
                <w:bCs w:val="1"/>
                <w:color w:val="auto"/>
                <w:w w:val="99"/>
              </w:rPr>
              <w:t>Financial Instruments</w:t>
            </w:r>
          </w:p>
        </w:tc>
        <w:tc>
          <w:tcPr>
            <w:tcW w:w="6860" w:type="dxa"/>
            <w:vAlign w:val="bottom"/>
            <w:tcBorders>
              <w:bottom w:val="single" w:sz="8" w:color="auto"/>
            </w:tcBorders>
          </w:tcPr>
          <w:p>
            <w:pPr>
              <w:ind w:left="2240"/>
              <w:spacing w:after="0" w:line="210" w:lineRule="exact"/>
              <w:rPr>
                <w:sz w:val="20"/>
                <w:szCs w:val="20"/>
                <w:color w:val="auto"/>
              </w:rPr>
            </w:pPr>
            <w:r>
              <w:rPr>
                <w:rFonts w:ascii="Arial" w:cs="Arial" w:eastAsia="Arial" w:hAnsi="Arial"/>
                <w:sz w:val="19"/>
                <w:szCs w:val="19"/>
                <w:b w:val="1"/>
                <w:bCs w:val="1"/>
                <w:color w:val="auto"/>
              </w:rPr>
              <w:t>Balance Sheet Location</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26"/>
              <w:spacing w:after="0" w:line="210" w:lineRule="exact"/>
              <w:rPr>
                <w:sz w:val="20"/>
                <w:szCs w:val="20"/>
                <w:color w:val="auto"/>
              </w:rPr>
            </w:pPr>
            <w:r>
              <w:rPr>
                <w:rFonts w:ascii="Arial" w:cs="Arial" w:eastAsia="Arial" w:hAnsi="Arial"/>
                <w:sz w:val="19"/>
                <w:szCs w:val="19"/>
                <w:b w:val="1"/>
                <w:bCs w:val="1"/>
                <w:color w:val="auto"/>
              </w:rPr>
              <w:t>2016</w:t>
            </w:r>
          </w:p>
        </w:tc>
        <w:tc>
          <w:tcPr>
            <w:tcW w:w="60" w:type="dxa"/>
            <w:vAlign w:val="bottom"/>
            <w:tcBorders>
              <w:bottom w:val="single" w:sz="8" w:color="auto"/>
            </w:tcBorders>
          </w:tcPr>
          <w:p>
            <w:pPr>
              <w:spacing w:after="0"/>
              <w:rPr>
                <w:sz w:val="18"/>
                <w:szCs w:val="18"/>
                <w:color w:val="auto"/>
              </w:rPr>
            </w:pPr>
          </w:p>
        </w:tc>
      </w:tr>
      <w:tr>
        <w:trPr>
          <w:trHeight w:val="155"/>
        </w:trPr>
        <w:tc>
          <w:tcPr>
            <w:tcW w:w="266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2660" w:type="dxa"/>
            <w:vAlign w:val="bottom"/>
            <w:shd w:val="clear" w:color="auto" w:fill="CCEEFF"/>
          </w:tcPr>
          <w:p>
            <w:pPr>
              <w:jc w:val="center"/>
              <w:ind w:right="166"/>
              <w:spacing w:after="0" w:line="216" w:lineRule="exact"/>
              <w:rPr>
                <w:sz w:val="20"/>
                <w:szCs w:val="20"/>
                <w:color w:val="auto"/>
              </w:rPr>
            </w:pPr>
            <w:r>
              <w:rPr>
                <w:rFonts w:ascii="Arial" w:cs="Arial" w:eastAsia="Arial" w:hAnsi="Arial"/>
                <w:sz w:val="19"/>
                <w:szCs w:val="19"/>
                <w:color w:val="auto"/>
                <w:w w:val="98"/>
              </w:rPr>
              <w:t>Commodity Contracts</w:t>
            </w:r>
          </w:p>
        </w:tc>
        <w:tc>
          <w:tcPr>
            <w:tcW w:w="6980" w:type="dxa"/>
            <w:vAlign w:val="bottom"/>
            <w:gridSpan w:val="2"/>
            <w:shd w:val="clear" w:color="auto" w:fill="CCEEFF"/>
          </w:tcPr>
          <w:p>
            <w:pPr>
              <w:ind w:left="500"/>
              <w:spacing w:after="0" w:line="216" w:lineRule="exact"/>
              <w:rPr>
                <w:sz w:val="20"/>
                <w:szCs w:val="20"/>
                <w:color w:val="auto"/>
              </w:rPr>
            </w:pPr>
            <w:r>
              <w:rPr>
                <w:rFonts w:ascii="Arial" w:cs="Arial" w:eastAsia="Arial" w:hAnsi="Arial"/>
                <w:sz w:val="19"/>
                <w:szCs w:val="19"/>
                <w:color w:val="auto"/>
              </w:rPr>
              <w:t>Long-Term Assets-Derivative Assets</w:t>
            </w:r>
          </w:p>
        </w:tc>
        <w:tc>
          <w:tcPr>
            <w:tcW w:w="1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w w:val="75"/>
              </w:rPr>
              <w:t>$</w:t>
            </w:r>
          </w:p>
        </w:tc>
        <w:tc>
          <w:tcPr>
            <w:tcW w:w="14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100</w:t>
            </w:r>
          </w:p>
        </w:tc>
        <w:tc>
          <w:tcPr>
            <w:tcW w:w="60" w:type="dxa"/>
            <w:vAlign w:val="bottom"/>
            <w:shd w:val="clear" w:color="auto" w:fill="CCEEFF"/>
          </w:tcPr>
          <w:p>
            <w:pPr>
              <w:spacing w:after="0"/>
              <w:rPr>
                <w:sz w:val="18"/>
                <w:szCs w:val="18"/>
                <w:color w:val="auto"/>
              </w:rPr>
            </w:pPr>
          </w:p>
        </w:tc>
      </w:tr>
      <w:tr>
        <w:trPr>
          <w:trHeight w:val="216"/>
        </w:trPr>
        <w:tc>
          <w:tcPr>
            <w:tcW w:w="2660" w:type="dxa"/>
            <w:vAlign w:val="bottom"/>
          </w:tcPr>
          <w:p>
            <w:pPr>
              <w:jc w:val="center"/>
              <w:ind w:right="166"/>
              <w:spacing w:after="0" w:line="216" w:lineRule="exact"/>
              <w:rPr>
                <w:sz w:val="20"/>
                <w:szCs w:val="20"/>
                <w:color w:val="auto"/>
              </w:rPr>
            </w:pPr>
            <w:r>
              <w:rPr>
                <w:rFonts w:ascii="Arial" w:cs="Arial" w:eastAsia="Arial" w:hAnsi="Arial"/>
                <w:sz w:val="19"/>
                <w:szCs w:val="19"/>
                <w:color w:val="auto"/>
                <w:w w:val="98"/>
              </w:rPr>
              <w:t>Commodity Contracts</w:t>
            </w:r>
          </w:p>
        </w:tc>
        <w:tc>
          <w:tcPr>
            <w:tcW w:w="6980" w:type="dxa"/>
            <w:vAlign w:val="bottom"/>
            <w:gridSpan w:val="2"/>
          </w:tcPr>
          <w:p>
            <w:pPr>
              <w:ind w:left="500"/>
              <w:spacing w:after="0" w:line="216" w:lineRule="exact"/>
              <w:rPr>
                <w:sz w:val="20"/>
                <w:szCs w:val="20"/>
                <w:color w:val="auto"/>
              </w:rPr>
            </w:pPr>
            <w:r>
              <w:rPr>
                <w:rFonts w:ascii="Arial" w:cs="Arial" w:eastAsia="Arial" w:hAnsi="Arial"/>
                <w:sz w:val="19"/>
                <w:szCs w:val="19"/>
                <w:color w:val="auto"/>
              </w:rPr>
              <w:t>Current Liabilities-Derivative Liabilities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line="216" w:lineRule="exact"/>
              <w:rPr>
                <w:sz w:val="20"/>
                <w:szCs w:val="20"/>
                <w:color w:val="auto"/>
              </w:rPr>
            </w:pPr>
            <w:r>
              <w:rPr>
                <w:rFonts w:ascii="Arial" w:cs="Arial" w:eastAsia="Arial" w:hAnsi="Arial"/>
                <w:sz w:val="19"/>
                <w:szCs w:val="19"/>
                <w:color w:val="auto"/>
              </w:rPr>
              <w:t>(189)</w:t>
            </w:r>
          </w:p>
        </w:tc>
      </w:tr>
      <w:tr>
        <w:trPr>
          <w:trHeight w:val="216"/>
        </w:trPr>
        <w:tc>
          <w:tcPr>
            <w:tcW w:w="2660" w:type="dxa"/>
            <w:vAlign w:val="bottom"/>
            <w:tcBorders>
              <w:bottom w:val="single" w:sz="8" w:color="auto"/>
            </w:tcBorders>
            <w:shd w:val="clear" w:color="auto" w:fill="CCEEFF"/>
          </w:tcPr>
          <w:p>
            <w:pPr>
              <w:jc w:val="center"/>
              <w:ind w:right="166"/>
              <w:spacing w:after="0" w:line="216" w:lineRule="exact"/>
              <w:rPr>
                <w:sz w:val="20"/>
                <w:szCs w:val="20"/>
                <w:color w:val="auto"/>
              </w:rPr>
            </w:pPr>
            <w:r>
              <w:rPr>
                <w:rFonts w:ascii="Arial" w:cs="Arial" w:eastAsia="Arial" w:hAnsi="Arial"/>
                <w:sz w:val="19"/>
                <w:szCs w:val="19"/>
                <w:color w:val="auto"/>
                <w:w w:val="98"/>
              </w:rPr>
              <w:t>Commodity Contracts</w:t>
            </w:r>
          </w:p>
        </w:tc>
        <w:tc>
          <w:tcPr>
            <w:tcW w:w="6980" w:type="dxa"/>
            <w:vAlign w:val="bottom"/>
            <w:tcBorders>
              <w:bottom w:val="single" w:sz="8" w:color="auto"/>
            </w:tcBorders>
            <w:gridSpan w:val="2"/>
            <w:shd w:val="clear" w:color="auto" w:fill="CCEEFF"/>
          </w:tcPr>
          <w:p>
            <w:pPr>
              <w:ind w:left="500"/>
              <w:spacing w:after="0" w:line="216" w:lineRule="exact"/>
              <w:rPr>
                <w:sz w:val="20"/>
                <w:szCs w:val="20"/>
                <w:color w:val="auto"/>
              </w:rPr>
            </w:pPr>
            <w:r>
              <w:rPr>
                <w:rFonts w:ascii="Arial" w:cs="Arial" w:eastAsia="Arial" w:hAnsi="Arial"/>
                <w:sz w:val="19"/>
                <w:szCs w:val="19"/>
                <w:color w:val="auto"/>
              </w:rPr>
              <w:t>Long-Term Liabilities-Derivative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right"/>
              <w:ind w:right="60"/>
              <w:spacing w:after="0" w:line="216" w:lineRule="exact"/>
              <w:rPr>
                <w:sz w:val="20"/>
                <w:szCs w:val="20"/>
                <w:color w:val="auto"/>
              </w:rPr>
            </w:pPr>
            <w:r>
              <w:rPr>
                <w:rFonts w:ascii="Arial" w:cs="Arial" w:eastAsia="Arial" w:hAnsi="Arial"/>
                <w:sz w:val="19"/>
                <w:szCs w:val="19"/>
                <w:color w:val="auto"/>
              </w:rPr>
              <w:t>(21)</w:t>
            </w:r>
          </w:p>
        </w:tc>
      </w:tr>
      <w:tr>
        <w:trPr>
          <w:trHeight w:val="311"/>
        </w:trPr>
        <w:tc>
          <w:tcPr>
            <w:tcW w:w="26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gridSpan w:val="2"/>
          </w:tcPr>
          <w:p>
            <w:pPr>
              <w:ind w:left="6860"/>
              <w:spacing w:after="0"/>
              <w:rPr>
                <w:sz w:val="20"/>
                <w:szCs w:val="20"/>
                <w:color w:val="auto"/>
              </w:rPr>
            </w:pPr>
            <w:r>
              <w:rPr>
                <w:rFonts w:ascii="Arial" w:cs="Arial" w:eastAsia="Arial" w:hAnsi="Arial"/>
                <w:sz w:val="19"/>
                <w:szCs w:val="19"/>
                <w:color w:val="auto"/>
                <w:w w:val="94"/>
              </w:rPr>
              <w:t>$</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(110)</w:t>
            </w:r>
          </w:p>
        </w:tc>
      </w:tr>
    </w:tbl>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of the losses related derivative contracts are recorded through the “losses on derivatives” account in the consolidated statement of operations.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monitor the creditworthiness of our counterparty, however we are not able to predict sudden changes in their creditworthiness. Should our financial counterparty not perform, we may not realize the results of some of our derivative instruments and could incur differing results. As of December 31, 2016, we had no deposits for collateral with our counterparty.</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Acquisition and Divestitures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Arco-Vickers Disposition</w:t>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On January 5, 2016, the Company closed on the sale of certain oil and natural gas properties located in Texas for $0.1 million net proceeds. The full cost pool was reduced by the net proceeds in accordance with the full cost method of accounting.</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Reagan County Dispositions</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On April 19, 2016 and on May 12, 2016, the Company closed on two sales of mineral interest properties located in Reagan County, Texas for $0.8 million each. The full cost pool was reduced by the net proceeds of $1.6 million in accordance with the full cost method of accounting. The proceeds were used for general corporate purposes.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Glasscock County Disposition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September 15, 2016, the Company closed on the sale of mineral interest properties located in Glasscock County, Texas for $0.5 million net proceeds. The full cost pool was reduced by the net proceeds in accordance with the full cost method of accounting.</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Long-Term Debt - Affiliate</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Long-term debt - affiliate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9"/>
                <w:szCs w:val="19"/>
                <w:b w:val="1"/>
                <w:bCs w:val="1"/>
                <w:i w:val="1"/>
                <w:iCs w:val="1"/>
                <w:color w:val="auto"/>
              </w:rPr>
              <w:t>December 31,</w:t>
            </w:r>
          </w:p>
        </w:tc>
        <w:tc>
          <w:tcPr>
            <w:tcW w:w="6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26"/>
              <w:spacing w:after="0"/>
              <w:rPr>
                <w:sz w:val="20"/>
                <w:szCs w:val="20"/>
                <w:color w:val="auto"/>
              </w:rPr>
            </w:pPr>
            <w:r>
              <w:rPr>
                <w:rFonts w:ascii="Arial" w:cs="Arial" w:eastAsia="Arial" w:hAnsi="Arial"/>
                <w:sz w:val="19"/>
                <w:szCs w:val="19"/>
                <w:b w:val="1"/>
                <w:bCs w:val="1"/>
                <w:color w:val="auto"/>
              </w:rPr>
              <w:t>2016</w:t>
            </w:r>
          </w:p>
        </w:tc>
        <w:tc>
          <w:tcPr>
            <w:tcW w:w="60" w:type="dxa"/>
            <w:vAlign w:val="bottom"/>
          </w:tcPr>
          <w:p>
            <w:pPr>
              <w:spacing w:after="0"/>
              <w:rPr>
                <w:sz w:val="21"/>
                <w:szCs w:val="21"/>
                <w:color w:val="auto"/>
              </w:rPr>
            </w:pPr>
          </w:p>
        </w:tc>
      </w:tr>
      <w:tr>
        <w:trPr>
          <w:trHeight w:val="189"/>
        </w:trPr>
        <w:tc>
          <w:tcPr>
            <w:tcW w:w="37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372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color w:val="auto"/>
              </w:rPr>
              <w:t>Term Loan Tranche A</w:t>
            </w:r>
          </w:p>
        </w:tc>
        <w:tc>
          <w:tcPr>
            <w:tcW w:w="6220" w:type="dxa"/>
            <w:vAlign w:val="bottom"/>
            <w:tcBorders>
              <w:bottom w:val="single" w:sz="8" w:color="auto"/>
            </w:tcBorders>
            <w:shd w:val="clear" w:color="auto" w:fill="CCEEFF"/>
          </w:tcPr>
          <w:p>
            <w:pPr>
              <w:jc w:val="right"/>
              <w:ind w:right="186"/>
              <w:spacing w:after="0" w:line="216"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83,365</w:t>
            </w:r>
          </w:p>
        </w:tc>
        <w:tc>
          <w:tcPr>
            <w:tcW w:w="60" w:type="dxa"/>
            <w:vAlign w:val="bottom"/>
            <w:tcBorders>
              <w:bottom w:val="single" w:sz="8" w:color="auto"/>
            </w:tcBorders>
            <w:shd w:val="clear" w:color="auto" w:fill="CCEEFF"/>
          </w:tcPr>
          <w:p>
            <w:pPr>
              <w:spacing w:after="0"/>
              <w:rPr>
                <w:sz w:val="19"/>
                <w:szCs w:val="19"/>
                <w:color w:val="auto"/>
              </w:rPr>
            </w:pPr>
          </w:p>
        </w:tc>
      </w:tr>
      <w:tr>
        <w:trPr>
          <w:trHeight w:val="380"/>
        </w:trPr>
        <w:tc>
          <w:tcPr>
            <w:tcW w:w="3720" w:type="dxa"/>
            <w:vAlign w:val="bottom"/>
          </w:tcPr>
          <w:p>
            <w:pPr>
              <w:spacing w:after="0"/>
              <w:rPr>
                <w:sz w:val="24"/>
                <w:szCs w:val="24"/>
                <w:color w:val="auto"/>
              </w:rPr>
            </w:pPr>
          </w:p>
        </w:tc>
        <w:tc>
          <w:tcPr>
            <w:tcW w:w="6220" w:type="dxa"/>
            <w:vAlign w:val="bottom"/>
          </w:tcPr>
          <w:p>
            <w:pPr>
              <w:jc w:val="right"/>
              <w:ind w:right="4126"/>
              <w:spacing w:after="0"/>
              <w:rPr>
                <w:sz w:val="20"/>
                <w:szCs w:val="20"/>
                <w:color w:val="auto"/>
              </w:rPr>
            </w:pPr>
            <w:r>
              <w:rPr>
                <w:rFonts w:ascii="Arial" w:cs="Arial" w:eastAsia="Arial" w:hAnsi="Arial"/>
                <w:sz w:val="19"/>
                <w:szCs w:val="19"/>
                <w:b w:val="1"/>
                <w:bCs w:val="1"/>
                <w:color w:val="auto"/>
              </w:rPr>
              <w:t>16</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25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 Loans</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On July 18, 2014, in conjunction with the Arklatex/Central Basin Platform acquisition from Chaparral Energy, RAM entered into a $102.5 million credit facility with U.S. Bank National Association as Administrative Agent (the “Agent”) for itself and on behalf of PennantPark Investment Corporation (“PennantPark”) as lender. The facility included a $75.0 million Tranche A term loan and a $27.5 million Tranche B term loan. In February 2015, asset divestiture proceeds of $7.5 million were used to pay down the Tranche B term loan.</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Borrowings under the facility were used to fund the cash requirements in connection with the closing of the Arklatex/Central Basin Platform acquisition, and for working capital and other general corporate purposes. The Tranche A term loan provides for payments of interest only during its term. In the case of a Tranche A Base Rate Loan, interest is charged at the Agent’s Prime Rate plus the Applicable margin of 7.0%; or, in the case of a Tranche A Eurodollar Loan, interest is charged at LIBO plus the Applicable Margin of 8.0%. While the Tranche B loan remained outstanding, interest on the Tranche A loan, as calculated above, was increased by 2.0%. The Tranche B loan provided for payments of interest only during its term. In the case of a Tranche B Base Rate Loan, interest was charged at the Agent’s Prime Rate plus the Applicable margin of 12.0%; or, in the case of a Tranche B Eurodollar Loan, interest was charged at LIBO plus the Applicable Margin of 13.0%. The interest rate at December 31, 2016 for the Tranche A loan was 10%. The Tranche A loan is due on July 18, 2019.</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Advances under the facility are secured by liens on substantially all properties and assets of RAM. The loan agreement contains representations, warranties and covenants customary in transactions of this nature, and initially included financial covenants relating to a current ratio and a maximum leverage ratio. RAM was not in compliance with its covenants as of December 31, 2014 and was therefore in technical default under the provisions of the agreement.</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August 2015, in resolution of RAM’s then default under the credit agreement, the remaining balance of $20.0 million of the Tranche B term loan was canceled, the entire interest in RAM was transferred to RAM Energy Holdings LLC and the credit agreement was restructured. The restructuring includes a current ratio and debt to EBITDAX covenant and a paid-in-kind interest election for the Tranche A term loan. Cumulative interest paid-in-kind as of December 31, 2016 was $10.3 million. The Company was not in compliance with its current ratio covenant, as amended, as of December 31, 2016. The Company obtained a waiver from the lender in order to waive the current ratio and total debt to EBITDAX covenants as of and for the fiscal quarter and fiscal year ended December 31, 2016 and thereafter, for each fiscal quarter ending on or prior to March 31, 2018.</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Member’s Deficit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was formed in July 2014 with 100 units of the Company issued to PennantPark. The Company’s operating agreement was amended following the debt restructuring in August 2015 as discussed in Note 8. The increased number of units outstanding in the amended operating agreement was derived from the change-of-control transactions affecting RAM.</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debt restructuring in August 2015 included PennantPark contributing the Tranche B term loan debt to RAM Energy Holdings LLC, and RAM Energy Holdings contributing it to RAM. The result is PennantPark holds all units in RAM Energy Holdings as of August 31,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17</w:t>
      </w:r>
    </w:p>
    <w:p>
      <w:pPr>
        <w:sectPr>
          <w:pgSz w:w="11900" w:h="16838" w:orient="portrait"/>
          <w:cols w:equalWidth="0" w:num="1">
            <w:col w:w="11240"/>
          </w:cols>
          <w:pgMar w:left="320" w:top="25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RAM Energy Holdings LLC</w:t>
      </w:r>
    </w:p>
    <w:p>
      <w:pPr>
        <w:spacing w:after="0" w:line="183"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209"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RAM leases office space and certain equipment under non-cancelable operating lease agreements that expire on various dates through 2020. Approximate future minimum lease payments for operating leases as of December 31, 2016 are as follows (in thousands):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9"/>
          <w:szCs w:val="19"/>
          <w:b w:val="1"/>
          <w:bCs w:val="1"/>
          <w:i w:val="1"/>
          <w:iCs w:val="1"/>
          <w:color w:val="auto"/>
        </w:rPr>
        <w:t>Year Ending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60" w:type="dxa"/>
            <w:vAlign w:val="bottom"/>
            <w:tcBorders>
              <w:top w:val="single" w:sz="8" w:color="auto"/>
            </w:tcBorders>
            <w:shd w:val="clear" w:color="auto" w:fill="CCEEFF"/>
          </w:tcPr>
          <w:p>
            <w:pPr>
              <w:jc w:val="right"/>
              <w:ind w:right="4006"/>
              <w:spacing w:after="0" w:line="210" w:lineRule="exact"/>
              <w:rPr>
                <w:sz w:val="20"/>
                <w:szCs w:val="20"/>
                <w:color w:val="auto"/>
              </w:rPr>
            </w:pPr>
            <w:r>
              <w:rPr>
                <w:rFonts w:ascii="Arial" w:cs="Arial" w:eastAsia="Arial" w:hAnsi="Arial"/>
                <w:sz w:val="19"/>
                <w:szCs w:val="19"/>
                <w:color w:val="auto"/>
              </w:rPr>
              <w:t>2017</w:t>
            </w:r>
          </w:p>
        </w:tc>
        <w:tc>
          <w:tcPr>
            <w:tcW w:w="4720" w:type="dxa"/>
            <w:vAlign w:val="bottom"/>
            <w:tcBorders>
              <w:top w:val="single" w:sz="8" w:color="auto"/>
            </w:tcBorders>
            <w:shd w:val="clear" w:color="auto" w:fill="CCEEFF"/>
          </w:tcPr>
          <w:p>
            <w:pPr>
              <w:jc w:val="right"/>
              <w:ind w:right="426"/>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top w:val="single" w:sz="8" w:color="auto"/>
            </w:tcBorders>
            <w:shd w:val="clear" w:color="auto" w:fill="CCEEFF"/>
          </w:tcPr>
          <w:p>
            <w:pPr>
              <w:jc w:val="right"/>
              <w:ind w:right="6"/>
              <w:spacing w:after="0" w:line="210" w:lineRule="exact"/>
              <w:rPr>
                <w:sz w:val="20"/>
                <w:szCs w:val="20"/>
                <w:color w:val="auto"/>
              </w:rPr>
            </w:pPr>
            <w:r>
              <w:rPr>
                <w:rFonts w:ascii="Arial" w:cs="Arial" w:eastAsia="Arial" w:hAnsi="Arial"/>
                <w:sz w:val="19"/>
                <w:szCs w:val="19"/>
                <w:color w:val="auto"/>
              </w:rPr>
              <w:t>351</w:t>
            </w:r>
          </w:p>
        </w:tc>
      </w:tr>
      <w:tr>
        <w:trPr>
          <w:trHeight w:val="216"/>
        </w:trPr>
        <w:tc>
          <w:tcPr>
            <w:tcW w:w="5560" w:type="dxa"/>
            <w:vAlign w:val="bottom"/>
          </w:tcPr>
          <w:p>
            <w:pPr>
              <w:jc w:val="right"/>
              <w:ind w:right="4006"/>
              <w:spacing w:after="0" w:line="216" w:lineRule="exact"/>
              <w:rPr>
                <w:sz w:val="20"/>
                <w:szCs w:val="20"/>
                <w:color w:val="auto"/>
              </w:rPr>
            </w:pPr>
            <w:r>
              <w:rPr>
                <w:rFonts w:ascii="Arial" w:cs="Arial" w:eastAsia="Arial" w:hAnsi="Arial"/>
                <w:sz w:val="19"/>
                <w:szCs w:val="19"/>
                <w:color w:val="auto"/>
              </w:rPr>
              <w:t>2018</w:t>
            </w:r>
          </w:p>
        </w:tc>
        <w:tc>
          <w:tcPr>
            <w:tcW w:w="4720" w:type="dxa"/>
            <w:vAlign w:val="bottom"/>
          </w:tcPr>
          <w:p>
            <w:pPr>
              <w:spacing w:after="0"/>
              <w:rPr>
                <w:sz w:val="18"/>
                <w:szCs w:val="18"/>
                <w:color w:val="auto"/>
              </w:rPr>
            </w:pPr>
          </w:p>
        </w:tc>
        <w:tc>
          <w:tcPr>
            <w:tcW w:w="960" w:type="dxa"/>
            <w:vAlign w:val="bottom"/>
          </w:tcPr>
          <w:p>
            <w:pPr>
              <w:jc w:val="right"/>
              <w:ind w:right="6"/>
              <w:spacing w:after="0" w:line="216" w:lineRule="exact"/>
              <w:rPr>
                <w:sz w:val="20"/>
                <w:szCs w:val="20"/>
                <w:color w:val="auto"/>
              </w:rPr>
            </w:pPr>
            <w:r>
              <w:rPr>
                <w:rFonts w:ascii="Arial" w:cs="Arial" w:eastAsia="Arial" w:hAnsi="Arial"/>
                <w:sz w:val="19"/>
                <w:szCs w:val="19"/>
                <w:color w:val="auto"/>
              </w:rPr>
              <w:t>310</w:t>
            </w:r>
          </w:p>
        </w:tc>
      </w:tr>
      <w:tr>
        <w:trPr>
          <w:trHeight w:val="216"/>
        </w:trPr>
        <w:tc>
          <w:tcPr>
            <w:tcW w:w="5560" w:type="dxa"/>
            <w:vAlign w:val="bottom"/>
            <w:shd w:val="clear" w:color="auto" w:fill="CCEEFF"/>
          </w:tcPr>
          <w:p>
            <w:pPr>
              <w:jc w:val="right"/>
              <w:ind w:right="4006"/>
              <w:spacing w:after="0" w:line="216" w:lineRule="exact"/>
              <w:rPr>
                <w:sz w:val="20"/>
                <w:szCs w:val="20"/>
                <w:color w:val="auto"/>
              </w:rPr>
            </w:pPr>
            <w:r>
              <w:rPr>
                <w:rFonts w:ascii="Arial" w:cs="Arial" w:eastAsia="Arial" w:hAnsi="Arial"/>
                <w:sz w:val="19"/>
                <w:szCs w:val="19"/>
                <w:color w:val="auto"/>
              </w:rPr>
              <w:t>2019</w:t>
            </w:r>
          </w:p>
        </w:tc>
        <w:tc>
          <w:tcPr>
            <w:tcW w:w="4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267</w:t>
            </w:r>
          </w:p>
        </w:tc>
      </w:tr>
      <w:tr>
        <w:trPr>
          <w:trHeight w:val="216"/>
        </w:trPr>
        <w:tc>
          <w:tcPr>
            <w:tcW w:w="5560" w:type="dxa"/>
            <w:vAlign w:val="bottom"/>
            <w:tcBorders>
              <w:bottom w:val="single" w:sz="8" w:color="auto"/>
            </w:tcBorders>
          </w:tcPr>
          <w:p>
            <w:pPr>
              <w:jc w:val="right"/>
              <w:ind w:right="4006"/>
              <w:spacing w:after="0" w:line="216" w:lineRule="exact"/>
              <w:rPr>
                <w:sz w:val="20"/>
                <w:szCs w:val="20"/>
                <w:color w:val="auto"/>
              </w:rPr>
            </w:pPr>
            <w:r>
              <w:rPr>
                <w:rFonts w:ascii="Arial" w:cs="Arial" w:eastAsia="Arial" w:hAnsi="Arial"/>
                <w:sz w:val="19"/>
                <w:szCs w:val="19"/>
                <w:color w:val="auto"/>
              </w:rPr>
              <w:t>2020</w:t>
            </w:r>
          </w:p>
        </w:tc>
        <w:tc>
          <w:tcPr>
            <w:tcW w:w="4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
              <w:spacing w:after="0" w:line="216" w:lineRule="exact"/>
              <w:rPr>
                <w:sz w:val="20"/>
                <w:szCs w:val="20"/>
                <w:color w:val="auto"/>
              </w:rPr>
            </w:pPr>
            <w:r>
              <w:rPr>
                <w:rFonts w:ascii="Arial" w:cs="Arial" w:eastAsia="Arial" w:hAnsi="Arial"/>
                <w:sz w:val="19"/>
                <w:szCs w:val="19"/>
                <w:color w:val="auto"/>
              </w:rPr>
              <w:t>35</w:t>
            </w:r>
          </w:p>
        </w:tc>
      </w:tr>
      <w:tr>
        <w:trPr>
          <w:trHeight w:val="88"/>
        </w:trPr>
        <w:tc>
          <w:tcPr>
            <w:tcW w:w="5560" w:type="dxa"/>
            <w:vAlign w:val="bottom"/>
          </w:tcPr>
          <w:p>
            <w:pPr>
              <w:spacing w:after="0"/>
              <w:rPr>
                <w:sz w:val="7"/>
                <w:szCs w:val="7"/>
                <w:color w:val="auto"/>
              </w:rPr>
            </w:pPr>
          </w:p>
        </w:tc>
        <w:tc>
          <w:tcPr>
            <w:tcW w:w="472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23"/>
        </w:trPr>
        <w:tc>
          <w:tcPr>
            <w:tcW w:w="556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shd w:val="clear" w:color="auto" w:fill="CCEEFF"/>
          </w:tcPr>
          <w:p>
            <w:pPr>
              <w:jc w:val="right"/>
              <w:ind w:right="426"/>
              <w:spacing w:after="0" w:line="216" w:lineRule="exact"/>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963</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Rent expense of approximately $0.4 million was incurred under operating leases for the year ended December 31, 2016.</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Related Party Transactions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RAM made certain payments on behalf of an officer during 2016 totaling $49 thousand, which is due to the Company as of December 31, 2016. LEL Energy, a company owned by an officer, made payments on behalf of RAM totaling $67 thousand, which is a payable on RAM’s books.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Subsequent Events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evaluates events and transactions occurring after the balance sheet date and before the consolidated financial statements are available for issuance. Such events and transactions have been evaluated through March 9, 2017, the date the consolidated financial statements were available to be issued.</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January 1, 2017, the Company closed on the sale of certain oil and natural gas properties located in Texas. The Company received no proceeds, but was relieved of the plugging liability.</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On January 5, 2017, the Company closed on the sale of certain oil and natural gas properties located in Texas for $5.7 million net proceeds. The full cost pool was reduced by the net proceeds in accordance with the full cost method of accounting. The proceeds will be used for general operating purposes.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February 10, 2017, the Company closed on the sale of certain oil and natural gas properties located in Texas for $15 thousand plus oil in tanks. The full cost pool was reduced by the net proceeds in accordance with the full cost method of accounting.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w:t>
      </w:r>
    </w:p>
    <w:sectPr>
      <w:pgSz w:w="11900" w:h="16838" w:orient="portrait"/>
      <w:cols w:equalWidth="0" w:num="1">
        <w:col w:w="11240"/>
      </w:cols>
      <w:pgMar w:left="320" w:top="2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2020-05-05T15:08:43Z</dcterms:created>
  <dcterms:modified xsi:type="dcterms:W3CDTF">2020-05-05T15:08:43Z</dcterms:modified>
</cp:coreProperties>
</file>