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7,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0" w:lineRule="exact"/>
        <w:rPr>
          <w:sz w:val="24"/>
          <w:szCs w:val="24"/>
          <w:color w:val="auto"/>
        </w:rPr>
      </w:pP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February 7, 2019, PennantPark Investment Corporation issued a press release announcing its financial results for the first fiscal quarter ended December 31, 2018. A copy of the press release is furnished as Exhibit 99.1 to this report pursuant to Item 2.02 on Form 8-K and Regulation FD.</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of PennantPark Investment Corporation dated February 7,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840" w:type="dxa"/>
            <w:vAlign w:val="bottom"/>
            <w:gridSpan w:val="3"/>
          </w:tcPr>
          <w:p>
            <w:pPr>
              <w:ind w:left="190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February 7, 2019</w:t>
            </w:r>
          </w:p>
        </w:tc>
        <w:tc>
          <w:tcPr>
            <w:tcW w:w="4840" w:type="dxa"/>
            <w:vAlign w:val="bottom"/>
            <w:gridSpan w:val="3"/>
          </w:tcPr>
          <w:p>
            <w:pPr>
              <w:ind w:left="1900"/>
              <w:spacing w:after="0"/>
              <w:rPr>
                <w:sz w:val="20"/>
                <w:szCs w:val="20"/>
                <w:color w:val="auto"/>
              </w:rPr>
            </w:pPr>
            <w:r>
              <w:rPr>
                <w:rFonts w:ascii="Arial" w:cs="Arial" w:eastAsia="Arial" w:hAnsi="Arial"/>
                <w:sz w:val="18"/>
                <w:szCs w:val="18"/>
                <w:color w:val="auto"/>
              </w:rPr>
              <w:t>By: /s/ Aviv Efrat</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spacing w:after="0" w:line="8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PennantPark Investment Corporation Announces Financial Results for the Quarter Ended December 31, 2018</w:t>
      </w:r>
    </w:p>
    <w:p>
      <w:pPr>
        <w:spacing w:after="0" w:line="224"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NEW YORK, Feb. 07, 2019 (GLOBE NEWSWIRE) -- PennantPark Investment Corporation (NASDAQ: PNNT) announced today financial results for the first fiscal quarter ended December 31, 2018.</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Quarter ended December 31, 2018</w:t>
      </w:r>
    </w:p>
    <w:p>
      <w:pPr>
        <w:spacing w:after="0"/>
        <w:rPr>
          <w:sz w:val="20"/>
          <w:szCs w:val="20"/>
          <w:color w:val="auto"/>
        </w:rPr>
      </w:pPr>
      <w:r>
        <w:rPr>
          <w:rFonts w:ascii="Arial" w:cs="Arial" w:eastAsia="Arial" w:hAnsi="Arial"/>
          <w:sz w:val="22"/>
          <w:szCs w:val="22"/>
          <w:color w:val="auto"/>
        </w:rPr>
        <w:t>($ in millions, except per share amounts)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860" w:type="dxa"/>
            <w:vAlign w:val="bottom"/>
          </w:tcPr>
          <w:p>
            <w:pPr>
              <w:spacing w:after="0"/>
              <w:rPr>
                <w:sz w:val="20"/>
                <w:szCs w:val="20"/>
                <w:color w:val="auto"/>
              </w:rPr>
            </w:pPr>
            <w:r>
              <w:rPr>
                <w:rFonts w:ascii="Arial" w:cs="Arial" w:eastAsia="Arial" w:hAnsi="Arial"/>
                <w:sz w:val="22"/>
                <w:szCs w:val="22"/>
                <w:color w:val="auto"/>
              </w:rPr>
              <w:t>Assets and Liabilities:</w:t>
            </w: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4860" w:type="dxa"/>
            <w:vAlign w:val="bottom"/>
          </w:tcPr>
          <w:p>
            <w:pPr>
              <w:ind w:left="200"/>
              <w:spacing w:after="0"/>
              <w:rPr>
                <w:sz w:val="20"/>
                <w:szCs w:val="20"/>
                <w:color w:val="auto"/>
              </w:rPr>
            </w:pPr>
            <w:r>
              <w:rPr>
                <w:rFonts w:ascii="Arial" w:cs="Arial" w:eastAsia="Arial" w:hAnsi="Arial"/>
                <w:sz w:val="22"/>
                <w:szCs w:val="22"/>
                <w:color w:val="auto"/>
              </w:rPr>
              <w:t>Investment portfolio</w:t>
            </w: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$ 1,191.5</w:t>
            </w:r>
          </w:p>
        </w:tc>
      </w:tr>
      <w:tr>
        <w:trPr>
          <w:trHeight w:val="270"/>
        </w:trPr>
        <w:tc>
          <w:tcPr>
            <w:tcW w:w="4860" w:type="dxa"/>
            <w:vAlign w:val="bottom"/>
          </w:tcPr>
          <w:p>
            <w:pPr>
              <w:ind w:left="200"/>
              <w:spacing w:after="0"/>
              <w:rPr>
                <w:sz w:val="20"/>
                <w:szCs w:val="20"/>
                <w:color w:val="auto"/>
              </w:rPr>
            </w:pPr>
            <w:r>
              <w:rPr>
                <w:rFonts w:ascii="Arial" w:cs="Arial" w:eastAsia="Arial" w:hAnsi="Arial"/>
                <w:sz w:val="22"/>
                <w:szCs w:val="22"/>
                <w:color w:val="auto"/>
              </w:rPr>
              <w:t>Net assets</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600" w:type="dxa"/>
            <w:vAlign w:val="bottom"/>
          </w:tcPr>
          <w:p>
            <w:pPr>
              <w:jc w:val="right"/>
              <w:spacing w:after="0"/>
              <w:rPr>
                <w:sz w:val="20"/>
                <w:szCs w:val="20"/>
                <w:color w:val="auto"/>
              </w:rPr>
            </w:pPr>
            <w:r>
              <w:rPr>
                <w:rFonts w:ascii="Arial" w:cs="Arial" w:eastAsia="Arial" w:hAnsi="Arial"/>
                <w:sz w:val="22"/>
                <w:szCs w:val="22"/>
                <w:color w:val="auto"/>
              </w:rPr>
              <w:t>615.9</w:t>
            </w:r>
          </w:p>
        </w:tc>
      </w:tr>
      <w:tr>
        <w:trPr>
          <w:trHeight w:val="274"/>
        </w:trPr>
        <w:tc>
          <w:tcPr>
            <w:tcW w:w="4860" w:type="dxa"/>
            <w:vAlign w:val="bottom"/>
          </w:tcPr>
          <w:p>
            <w:pPr>
              <w:ind w:left="200"/>
              <w:spacing w:after="0"/>
              <w:rPr>
                <w:sz w:val="20"/>
                <w:szCs w:val="20"/>
                <w:color w:val="auto"/>
              </w:rPr>
            </w:pPr>
            <w:r>
              <w:rPr>
                <w:rFonts w:ascii="Arial" w:cs="Arial" w:eastAsia="Arial" w:hAnsi="Arial"/>
                <w:sz w:val="22"/>
                <w:szCs w:val="22"/>
                <w:color w:val="auto"/>
              </w:rPr>
              <w:t>Net asset value per share</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600" w:type="dxa"/>
            <w:vAlign w:val="bottom"/>
          </w:tcPr>
          <w:p>
            <w:pPr>
              <w:jc w:val="right"/>
              <w:spacing w:after="0"/>
              <w:rPr>
                <w:sz w:val="20"/>
                <w:szCs w:val="20"/>
                <w:color w:val="auto"/>
              </w:rPr>
            </w:pPr>
            <w:r>
              <w:rPr>
                <w:rFonts w:ascii="Arial" w:cs="Arial" w:eastAsia="Arial" w:hAnsi="Arial"/>
                <w:sz w:val="22"/>
                <w:szCs w:val="22"/>
                <w:color w:val="auto"/>
              </w:rPr>
              <w:t>9.05</w:t>
            </w:r>
          </w:p>
        </w:tc>
      </w:tr>
      <w:tr>
        <w:trPr>
          <w:trHeight w:val="536"/>
        </w:trPr>
        <w:tc>
          <w:tcPr>
            <w:tcW w:w="4860" w:type="dxa"/>
            <w:vAlign w:val="bottom"/>
          </w:tcPr>
          <w:p>
            <w:pPr>
              <w:ind w:left="200"/>
              <w:spacing w:after="0"/>
              <w:rPr>
                <w:sz w:val="20"/>
                <w:szCs w:val="20"/>
                <w:color w:val="auto"/>
              </w:rPr>
            </w:pPr>
            <w:r>
              <w:rPr>
                <w:rFonts w:ascii="Arial" w:cs="Arial" w:eastAsia="Arial" w:hAnsi="Arial"/>
                <w:sz w:val="22"/>
                <w:szCs w:val="22"/>
                <w:color w:val="auto"/>
              </w:rPr>
              <w:t>Credit Facility</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600" w:type="dxa"/>
            <w:vAlign w:val="bottom"/>
          </w:tcPr>
          <w:p>
            <w:pPr>
              <w:jc w:val="right"/>
              <w:spacing w:after="0"/>
              <w:rPr>
                <w:sz w:val="20"/>
                <w:szCs w:val="20"/>
                <w:color w:val="auto"/>
              </w:rPr>
            </w:pPr>
            <w:r>
              <w:rPr>
                <w:rFonts w:ascii="Arial" w:cs="Arial" w:eastAsia="Arial" w:hAnsi="Arial"/>
                <w:sz w:val="22"/>
                <w:szCs w:val="22"/>
                <w:color w:val="auto"/>
              </w:rPr>
              <w:t>167.1</w:t>
            </w:r>
          </w:p>
        </w:tc>
      </w:tr>
      <w:tr>
        <w:trPr>
          <w:trHeight w:val="270"/>
        </w:trPr>
        <w:tc>
          <w:tcPr>
            <w:tcW w:w="4860" w:type="dxa"/>
            <w:vAlign w:val="bottom"/>
          </w:tcPr>
          <w:p>
            <w:pPr>
              <w:ind w:left="200"/>
              <w:spacing w:after="0"/>
              <w:rPr>
                <w:sz w:val="20"/>
                <w:szCs w:val="20"/>
                <w:color w:val="auto"/>
              </w:rPr>
            </w:pPr>
            <w:r>
              <w:rPr>
                <w:rFonts w:ascii="Arial" w:cs="Arial" w:eastAsia="Arial" w:hAnsi="Arial"/>
                <w:sz w:val="22"/>
                <w:szCs w:val="22"/>
                <w:color w:val="auto"/>
              </w:rPr>
              <w:t>2019 Notes</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600" w:type="dxa"/>
            <w:vAlign w:val="bottom"/>
          </w:tcPr>
          <w:p>
            <w:pPr>
              <w:jc w:val="right"/>
              <w:spacing w:after="0"/>
              <w:rPr>
                <w:sz w:val="20"/>
                <w:szCs w:val="20"/>
                <w:color w:val="auto"/>
              </w:rPr>
            </w:pPr>
            <w:r>
              <w:rPr>
                <w:rFonts w:ascii="Arial" w:cs="Arial" w:eastAsia="Arial" w:hAnsi="Arial"/>
                <w:sz w:val="22"/>
                <w:szCs w:val="22"/>
                <w:color w:val="auto"/>
              </w:rPr>
              <w:t>249.4</w:t>
            </w:r>
          </w:p>
        </w:tc>
      </w:tr>
      <w:tr>
        <w:trPr>
          <w:trHeight w:val="274"/>
        </w:trPr>
        <w:tc>
          <w:tcPr>
            <w:tcW w:w="4860" w:type="dxa"/>
            <w:vAlign w:val="bottom"/>
          </w:tcPr>
          <w:p>
            <w:pPr>
              <w:ind w:left="200"/>
              <w:spacing w:after="0"/>
              <w:rPr>
                <w:sz w:val="20"/>
                <w:szCs w:val="20"/>
                <w:color w:val="auto"/>
              </w:rPr>
            </w:pPr>
            <w:r>
              <w:rPr>
                <w:rFonts w:ascii="Arial" w:cs="Arial" w:eastAsia="Arial" w:hAnsi="Arial"/>
                <w:sz w:val="22"/>
                <w:szCs w:val="22"/>
                <w:color w:val="auto"/>
              </w:rPr>
              <w:t>SBA Debentures</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600" w:type="dxa"/>
            <w:vAlign w:val="bottom"/>
          </w:tcPr>
          <w:p>
            <w:pPr>
              <w:jc w:val="right"/>
              <w:spacing w:after="0"/>
              <w:rPr>
                <w:sz w:val="20"/>
                <w:szCs w:val="20"/>
                <w:color w:val="auto"/>
              </w:rPr>
            </w:pPr>
            <w:r>
              <w:rPr>
                <w:rFonts w:ascii="Arial" w:cs="Arial" w:eastAsia="Arial" w:hAnsi="Arial"/>
                <w:sz w:val="22"/>
                <w:szCs w:val="22"/>
                <w:color w:val="auto"/>
              </w:rPr>
              <w:t>145.8</w:t>
            </w:r>
          </w:p>
        </w:tc>
      </w:tr>
      <w:tr>
        <w:trPr>
          <w:trHeight w:val="540"/>
        </w:trPr>
        <w:tc>
          <w:tcPr>
            <w:tcW w:w="4860" w:type="dxa"/>
            <w:vAlign w:val="bottom"/>
          </w:tcPr>
          <w:p>
            <w:pPr>
              <w:ind w:left="200"/>
              <w:spacing w:after="0"/>
              <w:rPr>
                <w:sz w:val="20"/>
                <w:szCs w:val="20"/>
                <w:color w:val="auto"/>
              </w:rPr>
            </w:pPr>
            <w:r>
              <w:rPr>
                <w:rFonts w:ascii="Arial" w:cs="Arial" w:eastAsia="Arial" w:hAnsi="Arial"/>
                <w:sz w:val="22"/>
                <w:szCs w:val="22"/>
                <w:color w:val="auto"/>
              </w:rPr>
              <w:t>Yield on debt investments at quarter-end</w:t>
            </w:r>
          </w:p>
        </w:tc>
        <w:tc>
          <w:tcPr>
            <w:tcW w:w="6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w w:val="92"/>
              </w:rPr>
              <w:t>10.9%</w:t>
            </w:r>
          </w:p>
        </w:tc>
      </w:tr>
      <w:tr>
        <w:trPr>
          <w:trHeight w:val="941"/>
        </w:trPr>
        <w:tc>
          <w:tcPr>
            <w:tcW w:w="4860" w:type="dxa"/>
            <w:vAlign w:val="bottom"/>
          </w:tcPr>
          <w:p>
            <w:pPr>
              <w:spacing w:after="0"/>
              <w:rPr>
                <w:sz w:val="20"/>
                <w:szCs w:val="20"/>
                <w:color w:val="auto"/>
              </w:rPr>
            </w:pPr>
            <w:r>
              <w:rPr>
                <w:rFonts w:ascii="Arial" w:cs="Arial" w:eastAsia="Arial" w:hAnsi="Arial"/>
                <w:sz w:val="22"/>
                <w:szCs w:val="22"/>
                <w:color w:val="auto"/>
              </w:rPr>
              <w:t>Operating Results:</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4860" w:type="dxa"/>
            <w:vAlign w:val="bottom"/>
          </w:tcPr>
          <w:p>
            <w:pPr>
              <w:ind w:left="200"/>
              <w:spacing w:after="0"/>
              <w:rPr>
                <w:sz w:val="20"/>
                <w:szCs w:val="20"/>
                <w:color w:val="auto"/>
              </w:rPr>
            </w:pPr>
            <w:r>
              <w:rPr>
                <w:rFonts w:ascii="Arial" w:cs="Arial" w:eastAsia="Arial" w:hAnsi="Arial"/>
                <w:sz w:val="22"/>
                <w:szCs w:val="22"/>
                <w:color w:val="auto"/>
              </w:rPr>
              <w:t>Net investment income</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60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270"/>
        </w:trPr>
        <w:tc>
          <w:tcPr>
            <w:tcW w:w="4860" w:type="dxa"/>
            <w:vAlign w:val="bottom"/>
          </w:tcPr>
          <w:p>
            <w:pPr>
              <w:ind w:left="200"/>
              <w:spacing w:after="0"/>
              <w:rPr>
                <w:sz w:val="20"/>
                <w:szCs w:val="20"/>
                <w:color w:val="auto"/>
              </w:rPr>
            </w:pPr>
            <w:r>
              <w:rPr>
                <w:rFonts w:ascii="Arial" w:cs="Arial" w:eastAsia="Arial" w:hAnsi="Arial"/>
                <w:sz w:val="22"/>
                <w:szCs w:val="22"/>
                <w:color w:val="auto"/>
              </w:rPr>
              <w:t>Net investment income per share</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600" w:type="dxa"/>
            <w:vAlign w:val="bottom"/>
          </w:tcPr>
          <w:p>
            <w:pPr>
              <w:jc w:val="right"/>
              <w:spacing w:after="0"/>
              <w:rPr>
                <w:sz w:val="20"/>
                <w:szCs w:val="20"/>
                <w:color w:val="auto"/>
              </w:rPr>
            </w:pPr>
            <w:r>
              <w:rPr>
                <w:rFonts w:ascii="Arial" w:cs="Arial" w:eastAsia="Arial" w:hAnsi="Arial"/>
                <w:sz w:val="22"/>
                <w:szCs w:val="22"/>
                <w:color w:val="auto"/>
              </w:rPr>
              <w:t>0.18</w:t>
            </w:r>
          </w:p>
        </w:tc>
      </w:tr>
      <w:tr>
        <w:trPr>
          <w:trHeight w:val="274"/>
        </w:trPr>
        <w:tc>
          <w:tcPr>
            <w:tcW w:w="4860" w:type="dxa"/>
            <w:vAlign w:val="bottom"/>
          </w:tcPr>
          <w:p>
            <w:pPr>
              <w:ind w:left="200"/>
              <w:spacing w:after="0"/>
              <w:rPr>
                <w:sz w:val="20"/>
                <w:szCs w:val="20"/>
                <w:color w:val="auto"/>
              </w:rPr>
            </w:pPr>
            <w:r>
              <w:rPr>
                <w:rFonts w:ascii="Arial" w:cs="Arial" w:eastAsia="Arial" w:hAnsi="Arial"/>
                <w:sz w:val="22"/>
                <w:szCs w:val="22"/>
                <w:color w:val="auto"/>
              </w:rPr>
              <w:t>Distributions declared per share</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600" w:type="dxa"/>
            <w:vAlign w:val="bottom"/>
          </w:tcPr>
          <w:p>
            <w:pPr>
              <w:jc w:val="right"/>
              <w:spacing w:after="0"/>
              <w:rPr>
                <w:sz w:val="20"/>
                <w:szCs w:val="20"/>
                <w:color w:val="auto"/>
              </w:rPr>
            </w:pPr>
            <w:r>
              <w:rPr>
                <w:rFonts w:ascii="Arial" w:cs="Arial" w:eastAsia="Arial" w:hAnsi="Arial"/>
                <w:sz w:val="22"/>
                <w:szCs w:val="22"/>
                <w:color w:val="auto"/>
              </w:rPr>
              <w:t>0.18</w:t>
            </w:r>
          </w:p>
        </w:tc>
      </w:tr>
      <w:tr>
        <w:trPr>
          <w:trHeight w:val="536"/>
        </w:trPr>
        <w:tc>
          <w:tcPr>
            <w:tcW w:w="4860" w:type="dxa"/>
            <w:vAlign w:val="bottom"/>
          </w:tcPr>
          <w:p>
            <w:pPr>
              <w:spacing w:after="0"/>
              <w:rPr>
                <w:sz w:val="20"/>
                <w:szCs w:val="20"/>
                <w:color w:val="auto"/>
              </w:rPr>
            </w:pPr>
            <w:r>
              <w:rPr>
                <w:rFonts w:ascii="Arial" w:cs="Arial" w:eastAsia="Arial" w:hAnsi="Arial"/>
                <w:sz w:val="22"/>
                <w:szCs w:val="22"/>
                <w:color w:val="auto"/>
              </w:rPr>
              <w:t>Portfolio Activity:</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4860" w:type="dxa"/>
            <w:vAlign w:val="bottom"/>
          </w:tcPr>
          <w:p>
            <w:pPr>
              <w:ind w:left="200"/>
              <w:spacing w:after="0"/>
              <w:rPr>
                <w:sz w:val="20"/>
                <w:szCs w:val="20"/>
                <w:color w:val="auto"/>
              </w:rPr>
            </w:pPr>
            <w:r>
              <w:rPr>
                <w:rFonts w:ascii="Arial" w:cs="Arial" w:eastAsia="Arial" w:hAnsi="Arial"/>
                <w:sz w:val="22"/>
                <w:szCs w:val="22"/>
                <w:color w:val="auto"/>
              </w:rPr>
              <w:t>Purchases of investments</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600" w:type="dxa"/>
            <w:vAlign w:val="bottom"/>
          </w:tcPr>
          <w:p>
            <w:pPr>
              <w:jc w:val="right"/>
              <w:spacing w:after="0"/>
              <w:rPr>
                <w:sz w:val="20"/>
                <w:szCs w:val="20"/>
                <w:color w:val="auto"/>
              </w:rPr>
            </w:pPr>
            <w:r>
              <w:rPr>
                <w:rFonts w:ascii="Arial" w:cs="Arial" w:eastAsia="Arial" w:hAnsi="Arial"/>
                <w:sz w:val="22"/>
                <w:szCs w:val="22"/>
                <w:color w:val="auto"/>
                <w:w w:val="98"/>
              </w:rPr>
              <w:t>194.5</w:t>
            </w:r>
          </w:p>
        </w:tc>
      </w:tr>
      <w:tr>
        <w:trPr>
          <w:trHeight w:val="274"/>
        </w:trPr>
        <w:tc>
          <w:tcPr>
            <w:tcW w:w="4860" w:type="dxa"/>
            <w:vAlign w:val="bottom"/>
          </w:tcPr>
          <w:p>
            <w:pPr>
              <w:ind w:left="200"/>
              <w:spacing w:after="0"/>
              <w:rPr>
                <w:sz w:val="20"/>
                <w:szCs w:val="20"/>
                <w:color w:val="auto"/>
              </w:rPr>
            </w:pPr>
            <w:r>
              <w:rPr>
                <w:rFonts w:ascii="Arial" w:cs="Arial" w:eastAsia="Arial" w:hAnsi="Arial"/>
                <w:sz w:val="22"/>
                <w:szCs w:val="22"/>
                <w:color w:val="auto"/>
              </w:rPr>
              <w:t>Sales and repayments of investments</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600" w:type="dxa"/>
            <w:vAlign w:val="bottom"/>
          </w:tcPr>
          <w:p>
            <w:pPr>
              <w:jc w:val="right"/>
              <w:spacing w:after="0"/>
              <w:rPr>
                <w:sz w:val="20"/>
                <w:szCs w:val="20"/>
                <w:color w:val="auto"/>
              </w:rPr>
            </w:pPr>
            <w:r>
              <w:rPr>
                <w:rFonts w:ascii="Arial" w:cs="Arial" w:eastAsia="Arial" w:hAnsi="Arial"/>
                <w:sz w:val="22"/>
                <w:szCs w:val="22"/>
                <w:color w:val="auto"/>
                <w:w w:val="98"/>
              </w:rPr>
              <w:t>125.8</w:t>
            </w:r>
          </w:p>
        </w:tc>
      </w:tr>
      <w:tr>
        <w:trPr>
          <w:trHeight w:val="536"/>
        </w:trPr>
        <w:tc>
          <w:tcPr>
            <w:tcW w:w="4860" w:type="dxa"/>
            <w:vAlign w:val="bottom"/>
          </w:tcPr>
          <w:p>
            <w:pPr>
              <w:ind w:left="200"/>
              <w:spacing w:after="0"/>
              <w:rPr>
                <w:sz w:val="20"/>
                <w:szCs w:val="20"/>
                <w:color w:val="auto"/>
              </w:rPr>
            </w:pPr>
            <w:r>
              <w:rPr>
                <w:rFonts w:ascii="Arial" w:cs="Arial" w:eastAsia="Arial" w:hAnsi="Arial"/>
                <w:sz w:val="22"/>
                <w:szCs w:val="22"/>
                <w:color w:val="auto"/>
              </w:rPr>
              <w:t>Number of new portfolio companies invested</w:t>
            </w:r>
          </w:p>
        </w:tc>
        <w:tc>
          <w:tcPr>
            <w:tcW w:w="6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0"/>
        </w:trPr>
        <w:tc>
          <w:tcPr>
            <w:tcW w:w="4860" w:type="dxa"/>
            <w:vAlign w:val="bottom"/>
          </w:tcPr>
          <w:p>
            <w:pPr>
              <w:ind w:left="200"/>
              <w:spacing w:after="0"/>
              <w:rPr>
                <w:sz w:val="20"/>
                <w:szCs w:val="20"/>
                <w:color w:val="auto"/>
              </w:rPr>
            </w:pPr>
            <w:r>
              <w:rPr>
                <w:rFonts w:ascii="Arial" w:cs="Arial" w:eastAsia="Arial" w:hAnsi="Arial"/>
                <w:sz w:val="22"/>
                <w:szCs w:val="22"/>
                <w:color w:val="auto"/>
                <w:w w:val="99"/>
              </w:rPr>
              <w:t>Number of existing portfolio companies invested</w:t>
            </w:r>
          </w:p>
        </w:tc>
        <w:tc>
          <w:tcPr>
            <w:tcW w:w="6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74"/>
        </w:trPr>
        <w:tc>
          <w:tcPr>
            <w:tcW w:w="4860" w:type="dxa"/>
            <w:vAlign w:val="bottom"/>
          </w:tcPr>
          <w:p>
            <w:pPr>
              <w:ind w:left="200"/>
              <w:spacing w:after="0"/>
              <w:rPr>
                <w:sz w:val="20"/>
                <w:szCs w:val="20"/>
                <w:color w:val="auto"/>
              </w:rPr>
            </w:pPr>
            <w:r>
              <w:rPr>
                <w:rFonts w:ascii="Arial" w:cs="Arial" w:eastAsia="Arial" w:hAnsi="Arial"/>
                <w:sz w:val="22"/>
                <w:szCs w:val="22"/>
                <w:color w:val="auto"/>
              </w:rPr>
              <w:t>Number of ending portfolio companies</w:t>
            </w:r>
          </w:p>
        </w:tc>
        <w:tc>
          <w:tcPr>
            <w:tcW w:w="6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56</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8, 2019</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PennantPark Investment Corporation (“we,” “our,” “us” or the “Company”) will host a conference call at 10:00 a.m. (Eastern Time) on Friday, February 8, 2019 to discuss its financial results. All interested parties are welcome to participate. You can access the conference call by dialing toll-free (866) 519-2796 approximately 5-10 minutes prior to the call. International callers should dial (323) 794-2095. All callers should reference passcode #5543349. An archived replay of the call will be available through February 22, 2019 by calling toll-free (888) 203-1112. International callers please dial (719) 457-0820. For all phone replays, please reference passcode #5543349.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pleased with the progress we are making in several areas. Our activity and selectivity have resulted in a more senior secured portfolio, which should result in even more steady and stable coverage of our dividend,” said Art Penn, Chairman and CEO. “Additionally, our earnings stream should improve based on a gradual increase in our debt to equity ratio, while still maintaining a prudent debt profile.”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As of December 31, 2018, our portfolio totaled $1,191.5 million and consisted of $577.4 million of first lien secured debt, $403.2 million of second lien secured debt, $48.1 million of subordinated debt and $162.8 million of preferred and common equity. Our debt portfolio consisted of 90% variable-rate investments and 10% fixed-rate investments. As of December 31, 2018, we had no companies on non-accrual. Overall, the portfolio had net unrealized depreciation of $132.2 million as of December 31, 2018. Our overall portfolio consisted of 56 companies with an average investment size of $21.3 million, had a weighted average yield on interest bearing debt investments of 10.9% and was invested 48% in first lien secured debt, 34% in second lien secured debt, 4% in subordinated debt and 14% in preferred and common equity.</w:t>
      </w:r>
    </w:p>
    <w:p>
      <w:pPr>
        <w:spacing w:after="0" w:line="15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of September 30, 2018, our portfolio totaled $1,132.1 million and consisted of $531.4 million of first lien secured debt, $391.1 million of second lien secured debt, $48.1 million of subordinated debt and $161.5 million of preferred and common equity. Our debt portfolio consisted of 90% variable-rate investments and 10% fixed-rate investments. As of September 30, 2018,</w:t>
      </w:r>
    </w:p>
    <w:p>
      <w:pPr>
        <w:sectPr>
          <w:pgSz w:w="11900" w:h="16925" w:orient="portrait"/>
          <w:cols w:equalWidth="0" w:num="1">
            <w:col w:w="11240"/>
          </w:cols>
          <w:pgMar w:left="320" w:top="112" w:right="339" w:bottom="0" w:gutter="0" w:footer="0" w:header="0"/>
        </w:sectPr>
      </w:pPr>
    </w:p>
    <w:bookmarkStart w:id="4" w:name="page5"/>
    <w:bookmarkEnd w:id="4"/>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had no portfolio companies on non-accrual. Overall, the portfolio had net unrealized depreciation of $111.8 million as of September 30, 2018. Our overall portfolio consisted of 53 companies with an average investment size of $21.4 million, had a weighted average yield on interest bearing debt investments of 11.2% and was invested 47% in first lien secured debt, 35% in second lien secured debt, 4% in subordinated debt and 14% in preferred and common equity.</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2018, we invested $194.5 million in six new and 13 existing portfolio companies with a weighted average yield on debt investments of 9.5%. Sales and repayments of investments for the three months ended December 31, 2018 totaled $125.8 million.</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2017, we invested $138.4 million in five new and seven existing portfolio companies with a weighted average yield on debt investments of 10.8%. Sales and repayments of investments for the three months ended December 31, 2017 totaled $192.3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months ended December 31, 2018 and 2017.</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ind w:right="20"/>
        <w:spacing w:after="0" w:line="282" w:lineRule="auto"/>
        <w:rPr>
          <w:sz w:val="20"/>
          <w:szCs w:val="20"/>
          <w:color w:val="auto"/>
        </w:rPr>
      </w:pPr>
      <w:r>
        <w:rPr>
          <w:rFonts w:ascii="Arial" w:cs="Arial" w:eastAsia="Arial" w:hAnsi="Arial"/>
          <w:sz w:val="19"/>
          <w:szCs w:val="19"/>
          <w:color w:val="auto"/>
        </w:rPr>
        <w:t>Investment income for the three months ended December 31, 2018 was $27.4 million and was attributable to $13.2 million from first lien secured debt, $12.4 million from second lien secured debt and $1.8 million from subordinated debt, respectively. Investment income for the three months ended December 31, 2017 was $28.7 million and was attributable to $12.7 million from first lien secured debt, $12.9 million from second lien secured debt and $3.1 million from subordinated debt, respectively. The decrease in investment income compared to the same period in the prior year was primarily due to a decrease in other income.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Expenses for the three months ended December 31, 2018 totaled $14.8 million. Base management fee for the same period totaled $4.4 million, incentive fee totaled $2.7 million, debt related interest and expenses totaled $6.3 million, general and administrative expenses totaled $1.1 million and provision for taxes totaled $0.3 million. Net expenses for the three months ended December 31, 2017 totaled $14.5 million. Base management fee for the same period totaled $4.8 million (after a base management fee waiver of $0.9 million), incentive fee totaled $2.7 million (after an incentive fee waiver of $0.5 million), debt related interest and expenses totaled $5.9 million and general and administrative expenses totaled $1.1 million. The increase in expenses compared to the same period in the prior year was primarily due to an increase in leverage, which resulted in an increased interest expense.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investment income totaled $12.6 million, or $0.18 per share, for the three months ended December 31, 2018, and $14.2 million, or $0.20 per share, for the three months ended December 31, 2017. The decrease in net investment income compared to the same period in the prior year was primarily due to a decrease in other income and an increase in leverage, which resulted in an increased interest expense.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Sales and repayments of investments for the three months ended December 31, 2018 totaled $125.8 million and net realized gains totaled $8.5 million. Sales and repayments of investments for the three months ended December 31, 2017 totaled $192.3 million and net realized gains totaled $3.8 million. The change in realized gains/losses was primarily due to changes in the market conditions of our investments and the values at which they were realized.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Facility and the 2019 Notes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months ended December 31, 2018 and 2017, we reported net change in unrealized depreciation on investments of $20.4 million and $6.8 million, respectively. As of December 31, 2018 and September 30, 2018, our net unrealized depreciation on investments totaled $132.2 million and $111.8 million, respectively. The net change in unrealized appreciation/depreciation on our investments compared to the same period in the prior year was primarily due to changes in the capital market conditions, the financial performance of certain portfolio companies and the reversal of unrealized appreciation/depreciation on investments that were realized.</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For the three months ended December 31, 2018 and 2017, our multi-currency, senior secured revolving credit facility, as amended and restated, or the Credit Facility, and the 4.50% notes due 2019, or 2019 Notes, had a net change in unrealized depreciation of $6.1 million and $1.1 million, respectively. As of December 31, 2018 and September 30, 2018, the net unrealized depreciation on the Credit Facility and the 2019 Notes totaled $7.6 million and $1.6 million, respectively. The net change in net unrealized depreciation compared to the same period in the prior year was primarily due to changes in the capital markets.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change in net assets resulting from operations totaled $6.8 million, or $0.10 per share, for the three months ended December 31, 2018. This compares to a net change in net assets resulting from operations of $12.3 million, or $0.18 per share, for the three months ended December 31, 2017. The decrease in the net change in net assets from operations compared to the same period in the prior year was primarily due to a lower yielding portfolio and depreciation of our investments.</w:t>
      </w:r>
    </w:p>
    <w:p>
      <w:pPr>
        <w:sectPr>
          <w:pgSz w:w="11900" w:h="16943" w:orient="portrait"/>
          <w:cols w:equalWidth="0" w:num="1">
            <w:col w:w="11240"/>
          </w:cols>
          <w:pgMar w:left="320" w:top="118" w:right="339" w:bottom="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annualized weighted average cost of debt for the three months ended December 31, 2018 and 2017, inclusive of the fee on the undrawn commitment and amendment costs on the Credit Facility, amortized upfront fees on Small Business Administration, or SBA, debentures and debt issuance costs, was 4.71% and 4.32%, respectively.</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As of December 31, 2018 and September 30, 2018, we had $174.1 million and $80.5 million (including a $2.0 million temporary draw), respectively, in outstanding borrowings under the Credit Facility. The Credit Facility had a weighted average interest rate of 4.39% and 3.79%, respectively, exclusive of the fee on undrawn commitments of 0.375%, as of December 31, 2018 and September 30, 2018. As of the same periods, we had $270.9 million and $364.5 million of unused borrowing capacity under our Credit Facility, respectively, subject to the regulatory restrictions.</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December 31, 2018 and September 30, 2018, we had $250.0 million in aggregate principal amount of 2019 Notes outstanding with a fixed interest rate of 4.50% per year. As of December 31, 2018 and September 30, 2018, we had $150.0 million and $180.0 million in SBA debentures outstanding, respectively.</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December 31, 2018 and September 30, 2018, we had cash and cash equivalents of $24.7 million and $19.5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ind w:right="20"/>
        <w:spacing w:after="0" w:line="257" w:lineRule="auto"/>
        <w:rPr>
          <w:sz w:val="20"/>
          <w:szCs w:val="20"/>
          <w:color w:val="auto"/>
        </w:rPr>
      </w:pPr>
      <w:r>
        <w:rPr>
          <w:rFonts w:ascii="Arial" w:cs="Arial" w:eastAsia="Arial" w:hAnsi="Arial"/>
          <w:sz w:val="21"/>
          <w:szCs w:val="21"/>
          <w:color w:val="auto"/>
        </w:rPr>
        <w:t>Our operating activities used cash of $38.6 million for the three months ended December 31, 2018, and our financing activities provided cash of $43.7 million for the same period. Our operating activities used cash primarily for our investment activities and our financing activities provided cash primarily from net borrowings under the Credit Facility.</w:t>
      </w:r>
    </w:p>
    <w:p>
      <w:pPr>
        <w:spacing w:after="0" w:line="16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provided cash of $62.4 million for the three months ended December 31, 2017, and our financing activities used cash of $27.8 million for the same period. Our operating activities provided cash from sales and repayments on our investments and our financing activities used cash primarily to pay distributions to stockholders and repay the SBA debentures.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REPURCHASE PROGRAM</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three months ended December 31, 2018 and 2017, we repurchased 1.0 million and zero shares of common stock in open market transactions for an aggregate cost (including transaction costs) of $7.5 million and zero,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During both the three months ended December 31, 2018 and 2017, we declared distributions of $0.18 per share, for total distributions of $12.2 million and $12.8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February 5, 2019, our stockholders approved the adoption of the modified asset coverage requirements set forth in Section 61(a)(2) of the 1940 Act, as amended by the Consolidated Appropriations Act of 2018 (which includes the Small Business Credit Availability Act) as approved by our board of directors on November 13, 2018. As a result, the minimum asset coverage requirements applicable to us for senior securities has been reduced from 200% to 150%, subject to compliance with certain disclosure requirements. In connection with this reduction, our annual base management fee has also been reduced from 1.50% to 1.00% on gross assets that exceed 200% of the Company’s total net assets as of the immediately preceding quarter-end.</w:t>
      </w:r>
    </w:p>
    <w:p>
      <w:pPr>
        <w:spacing w:after="0" w:line="150"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January 31, 2019, the Company announced the redemption of $250.0 million outstanding aggregate principal amount of its 2019 Notes due October 1, 2019. The 2019 Notes will be prepaid at 100% of the principal amount, plus accrued and unpaid interest through the payment date of March 4, 2019, as well as a make-whole premium.</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ectPr>
          <w:pgSz w:w="11900" w:h="16838" w:orient="portrait"/>
          <w:cols w:equalWidth="0" w:num="1">
            <w:col w:w="11240"/>
          </w:cols>
          <w:pgMar w:left="320" w:top="111" w:right="339" w:bottom="32" w:gutter="0" w:footer="0" w:header="0"/>
        </w:sectPr>
      </w:pPr>
    </w:p>
    <w:bookmarkStart w:id="6" w:name="page7"/>
    <w:bookmarkEnd w:id="6"/>
    <w:p>
      <w:pPr>
        <w:spacing w:after="0" w:line="251"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88"/>
              </w:rPr>
              <w:t>December 31,</w:t>
            </w:r>
          </w:p>
        </w:tc>
        <w:tc>
          <w:tcPr>
            <w:tcW w:w="140" w:type="dxa"/>
            <w:vAlign w:val="bottom"/>
          </w:tcPr>
          <w:p>
            <w:pPr>
              <w:spacing w:after="0"/>
              <w:rPr>
                <w:sz w:val="21"/>
                <w:szCs w:val="21"/>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22"/>
                <w:szCs w:val="22"/>
                <w:b w:val="1"/>
                <w:bCs w:val="1"/>
                <w:color w:val="auto"/>
                <w:w w:val="86"/>
              </w:rPr>
              <w:t>September 30,</w:t>
            </w:r>
          </w:p>
        </w:tc>
      </w:tr>
      <w:tr>
        <w:trPr>
          <w:trHeight w:val="270"/>
        </w:trPr>
        <w:tc>
          <w:tcPr>
            <w:tcW w:w="7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center"/>
              <w:ind w:right="32"/>
              <w:spacing w:after="0"/>
              <w:rPr>
                <w:sz w:val="20"/>
                <w:szCs w:val="20"/>
                <w:color w:val="auto"/>
              </w:rPr>
            </w:pPr>
            <w:r>
              <w:rPr>
                <w:rFonts w:ascii="Arial" w:cs="Arial" w:eastAsia="Arial" w:hAnsi="Arial"/>
                <w:sz w:val="22"/>
                <w:szCs w:val="22"/>
                <w:b w:val="1"/>
                <w:bCs w:val="1"/>
                <w:color w:val="auto"/>
                <w:w w:val="85"/>
              </w:rPr>
              <w:t>2018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ind w:right="49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3"/>
                <w:szCs w:val="23"/>
                <w:color w:val="auto"/>
              </w:rPr>
            </w:pPr>
          </w:p>
        </w:tc>
      </w:tr>
      <w:tr>
        <w:trPr>
          <w:trHeight w:val="280"/>
        </w:trPr>
        <w:tc>
          <w:tcPr>
            <w:tcW w:w="7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0"/>
              </w:rPr>
              <w:t>(unaudited)</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9"/>
        </w:trPr>
        <w:tc>
          <w:tcPr>
            <w:tcW w:w="776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2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43"/>
        </w:trPr>
        <w:tc>
          <w:tcPr>
            <w:tcW w:w="7760" w:type="dxa"/>
            <w:vAlign w:val="bottom"/>
          </w:tcPr>
          <w:p>
            <w:pPr>
              <w:ind w:left="260"/>
              <w:spacing w:after="0" w:line="243" w:lineRule="exact"/>
              <w:rPr>
                <w:sz w:val="20"/>
                <w:szCs w:val="20"/>
                <w:color w:val="auto"/>
              </w:rPr>
            </w:pPr>
            <w:r>
              <w:rPr>
                <w:rFonts w:ascii="Arial" w:cs="Arial" w:eastAsia="Arial" w:hAnsi="Arial"/>
                <w:sz w:val="22"/>
                <w:szCs w:val="22"/>
                <w:color w:val="auto"/>
                <w:w w:val="92"/>
              </w:rPr>
              <w:t>Non-controlled, non-affiliated investments (cost—$987,929,505 and $896,720,950,</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76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40" w:type="dxa"/>
            <w:vAlign w:val="bottom"/>
          </w:tcPr>
          <w:p>
            <w:pPr>
              <w:jc w:val="right"/>
              <w:spacing w:after="0"/>
              <w:rPr>
                <w:sz w:val="20"/>
                <w:szCs w:val="20"/>
                <w:color w:val="auto"/>
              </w:rPr>
            </w:pPr>
            <w:r>
              <w:rPr>
                <w:rFonts w:ascii="Arial" w:cs="Arial" w:eastAsia="Arial" w:hAnsi="Arial"/>
                <w:sz w:val="22"/>
                <w:szCs w:val="22"/>
                <w:color w:val="auto"/>
              </w:rPr>
              <w:t>989,515,879</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Pr>
          <w:p>
            <w:pPr>
              <w:jc w:val="right"/>
              <w:spacing w:after="0"/>
              <w:rPr>
                <w:sz w:val="20"/>
                <w:szCs w:val="20"/>
                <w:color w:val="auto"/>
              </w:rPr>
            </w:pPr>
            <w:r>
              <w:rPr>
                <w:rFonts w:ascii="Arial" w:cs="Arial" w:eastAsia="Arial" w:hAnsi="Arial"/>
                <w:sz w:val="22"/>
                <w:szCs w:val="22"/>
                <w:color w:val="auto"/>
              </w:rPr>
              <w:t>905,271,258</w:t>
            </w:r>
          </w:p>
        </w:tc>
        <w:tc>
          <w:tcPr>
            <w:tcW w:w="80" w:type="dxa"/>
            <w:vAlign w:val="bottom"/>
          </w:tcPr>
          <w:p>
            <w:pPr>
              <w:spacing w:after="0"/>
              <w:rPr>
                <w:sz w:val="23"/>
                <w:szCs w:val="23"/>
                <w:color w:val="auto"/>
              </w:rPr>
            </w:pPr>
          </w:p>
        </w:tc>
      </w:tr>
      <w:tr>
        <w:trPr>
          <w:trHeight w:val="243"/>
        </w:trPr>
        <w:tc>
          <w:tcPr>
            <w:tcW w:w="7760" w:type="dxa"/>
            <w:vAlign w:val="bottom"/>
          </w:tcPr>
          <w:p>
            <w:pPr>
              <w:ind w:left="260"/>
              <w:spacing w:after="0" w:line="243" w:lineRule="exact"/>
              <w:rPr>
                <w:sz w:val="20"/>
                <w:szCs w:val="20"/>
                <w:color w:val="auto"/>
              </w:rPr>
            </w:pPr>
            <w:r>
              <w:rPr>
                <w:rFonts w:ascii="Arial" w:cs="Arial" w:eastAsia="Arial" w:hAnsi="Arial"/>
                <w:sz w:val="22"/>
                <w:szCs w:val="22"/>
                <w:color w:val="auto"/>
              </w:rPr>
              <w:t>Non-controlled, affiliated investments (cost—$74,369,962 and $91,520,908,</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76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49,057,619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78,078,331</w:t>
            </w:r>
          </w:p>
        </w:tc>
        <w:tc>
          <w:tcPr>
            <w:tcW w:w="80" w:type="dxa"/>
            <w:vAlign w:val="bottom"/>
          </w:tcPr>
          <w:p>
            <w:pPr>
              <w:spacing w:after="0"/>
              <w:rPr>
                <w:sz w:val="23"/>
                <w:szCs w:val="23"/>
                <w:color w:val="auto"/>
              </w:rPr>
            </w:pPr>
          </w:p>
        </w:tc>
      </w:tr>
      <w:tr>
        <w:trPr>
          <w:trHeight w:val="243"/>
        </w:trPr>
        <w:tc>
          <w:tcPr>
            <w:tcW w:w="7760" w:type="dxa"/>
            <w:vAlign w:val="bottom"/>
          </w:tcPr>
          <w:p>
            <w:pPr>
              <w:ind w:left="260"/>
              <w:spacing w:after="0" w:line="243" w:lineRule="exact"/>
              <w:rPr>
                <w:sz w:val="20"/>
                <w:szCs w:val="20"/>
                <w:color w:val="auto"/>
              </w:rPr>
            </w:pPr>
            <w:r>
              <w:rPr>
                <w:rFonts w:ascii="Arial" w:cs="Arial" w:eastAsia="Arial" w:hAnsi="Arial"/>
                <w:sz w:val="22"/>
                <w:szCs w:val="22"/>
                <w:color w:val="auto"/>
              </w:rPr>
              <w:t>Controlled, affiliated investments (cost—$261,311,677 and $255,574,317,</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4"/>
        </w:trPr>
        <w:tc>
          <w:tcPr>
            <w:tcW w:w="776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152,880,313</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148,735,885</w:t>
            </w:r>
          </w:p>
        </w:tc>
        <w:tc>
          <w:tcPr>
            <w:tcW w:w="80" w:type="dxa"/>
            <w:vAlign w:val="bottom"/>
          </w:tcPr>
          <w:p>
            <w:pPr>
              <w:spacing w:after="0"/>
              <w:rPr>
                <w:sz w:val="23"/>
                <w:szCs w:val="23"/>
                <w:color w:val="auto"/>
              </w:rPr>
            </w:pPr>
          </w:p>
        </w:tc>
      </w:tr>
      <w:tr>
        <w:trPr>
          <w:trHeight w:val="259"/>
        </w:trPr>
        <w:tc>
          <w:tcPr>
            <w:tcW w:w="7760" w:type="dxa"/>
            <w:vAlign w:val="bottom"/>
          </w:tcPr>
          <w:p>
            <w:pPr>
              <w:ind w:left="260"/>
              <w:spacing w:after="0"/>
              <w:rPr>
                <w:sz w:val="20"/>
                <w:szCs w:val="20"/>
                <w:color w:val="auto"/>
              </w:rPr>
            </w:pPr>
            <w:r>
              <w:rPr>
                <w:rFonts w:ascii="Arial" w:cs="Arial" w:eastAsia="Arial" w:hAnsi="Arial"/>
                <w:sz w:val="22"/>
                <w:szCs w:val="22"/>
                <w:color w:val="auto"/>
                <w:w w:val="98"/>
              </w:rPr>
              <w:t>Total of investments (cost—$1,323,611,144 and $1,243,816,175, respectively)</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w w:val="99"/>
              </w:rPr>
              <w:t>1,191,453,811</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1,132,085,474</w:t>
            </w:r>
          </w:p>
        </w:tc>
        <w:tc>
          <w:tcPr>
            <w:tcW w:w="80" w:type="dxa"/>
            <w:vAlign w:val="bottom"/>
          </w:tcPr>
          <w:p>
            <w:pPr>
              <w:spacing w:after="0"/>
              <w:rPr>
                <w:sz w:val="22"/>
                <w:szCs w:val="22"/>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Cash and cash equivalents (cost—$24,657,870 and $19,543,625, respectively)</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24,653,889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19,506,154</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Interest receivable</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5,506,564</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7,606,964</w:t>
            </w:r>
          </w:p>
        </w:tc>
        <w:tc>
          <w:tcPr>
            <w:tcW w:w="80" w:type="dxa"/>
            <w:vAlign w:val="bottom"/>
          </w:tcPr>
          <w:p>
            <w:pPr>
              <w:spacing w:after="0"/>
              <w:rPr>
                <w:sz w:val="23"/>
                <w:szCs w:val="23"/>
                <w:color w:val="auto"/>
              </w:rPr>
            </w:pPr>
          </w:p>
        </w:tc>
      </w:tr>
      <w:tr>
        <w:trPr>
          <w:trHeight w:val="274"/>
        </w:trPr>
        <w:tc>
          <w:tcPr>
            <w:tcW w:w="776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152,544</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920,235</w:t>
            </w:r>
          </w:p>
        </w:tc>
        <w:tc>
          <w:tcPr>
            <w:tcW w:w="80" w:type="dxa"/>
            <w:vAlign w:val="bottom"/>
          </w:tcPr>
          <w:p>
            <w:pPr>
              <w:spacing w:after="0"/>
              <w:rPr>
                <w:sz w:val="23"/>
                <w:szCs w:val="23"/>
                <w:color w:val="auto"/>
              </w:rPr>
            </w:pPr>
          </w:p>
        </w:tc>
      </w:tr>
      <w:tr>
        <w:trPr>
          <w:trHeight w:val="267"/>
        </w:trPr>
        <w:tc>
          <w:tcPr>
            <w:tcW w:w="776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9"/>
              </w:rPr>
              <w:t>1,221,766,808</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1,160,118,827</w:t>
            </w:r>
          </w:p>
        </w:tc>
        <w:tc>
          <w:tcPr>
            <w:tcW w:w="80" w:type="dxa"/>
            <w:vAlign w:val="bottom"/>
          </w:tcPr>
          <w:p>
            <w:pPr>
              <w:spacing w:after="0"/>
              <w:rPr>
                <w:sz w:val="23"/>
                <w:szCs w:val="23"/>
                <w:color w:val="auto"/>
              </w:rPr>
            </w:pPr>
          </w:p>
        </w:tc>
      </w:tr>
      <w:tr>
        <w:trPr>
          <w:trHeight w:val="256"/>
        </w:trPr>
        <w:tc>
          <w:tcPr>
            <w:tcW w:w="776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Distributions payable</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12,244,957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12,429,712</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18,172,125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Credit Facility payable (cost—$174,136,000 and $80,520,000, respectively)</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167,088,178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77,645,830</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2019 Notes payable (par—$250,000,000)</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249,430,000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251,322,500</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w w:val="95"/>
              </w:rPr>
              <w:t>SBA debentures payable, net (par—$150,000,000 and $180,000,000, respectively)</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145,789,777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175,373,229</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Base management fee payable, net</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4,419,262</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4,086,831</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Performance-based incentive fee payable, net</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2,667,270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2,964,265</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5,007,094</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6,576,393</w:t>
            </w:r>
          </w:p>
        </w:tc>
        <w:tc>
          <w:tcPr>
            <w:tcW w:w="80" w:type="dxa"/>
            <w:vAlign w:val="bottom"/>
          </w:tcPr>
          <w:p>
            <w:pPr>
              <w:spacing w:after="0"/>
              <w:rPr>
                <w:sz w:val="23"/>
                <w:szCs w:val="23"/>
                <w:color w:val="auto"/>
              </w:rPr>
            </w:pPr>
          </w:p>
        </w:tc>
      </w:tr>
      <w:tr>
        <w:trPr>
          <w:trHeight w:val="274"/>
        </w:trPr>
        <w:tc>
          <w:tcPr>
            <w:tcW w:w="776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1,007,040</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818,172</w:t>
            </w:r>
          </w:p>
        </w:tc>
        <w:tc>
          <w:tcPr>
            <w:tcW w:w="80" w:type="dxa"/>
            <w:vAlign w:val="bottom"/>
          </w:tcPr>
          <w:p>
            <w:pPr>
              <w:spacing w:after="0"/>
              <w:rPr>
                <w:sz w:val="23"/>
                <w:szCs w:val="23"/>
                <w:color w:val="auto"/>
              </w:rPr>
            </w:pPr>
          </w:p>
        </w:tc>
      </w:tr>
      <w:tr>
        <w:trPr>
          <w:trHeight w:val="267"/>
        </w:trPr>
        <w:tc>
          <w:tcPr>
            <w:tcW w:w="776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605,825,703</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531,216,932</w:t>
            </w:r>
          </w:p>
        </w:tc>
        <w:tc>
          <w:tcPr>
            <w:tcW w:w="80" w:type="dxa"/>
            <w:vAlign w:val="bottom"/>
          </w:tcPr>
          <w:p>
            <w:pPr>
              <w:spacing w:after="0"/>
              <w:rPr>
                <w:sz w:val="23"/>
                <w:szCs w:val="23"/>
                <w:color w:val="auto"/>
              </w:rPr>
            </w:pPr>
          </w:p>
        </w:tc>
      </w:tr>
      <w:tr>
        <w:trPr>
          <w:trHeight w:val="250"/>
        </w:trPr>
        <w:tc>
          <w:tcPr>
            <w:tcW w:w="776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20" w:type="dxa"/>
            <w:vAlign w:val="bottom"/>
          </w:tcPr>
          <w:p>
            <w:pPr>
              <w:spacing w:after="0"/>
              <w:rPr>
                <w:sz w:val="21"/>
                <w:szCs w:val="21"/>
                <w:color w:val="auto"/>
              </w:rPr>
            </w:pPr>
          </w:p>
        </w:tc>
        <w:tc>
          <w:tcPr>
            <w:tcW w:w="144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r>
      <w:tr>
        <w:trPr>
          <w:trHeight w:val="276"/>
        </w:trPr>
        <w:tc>
          <w:tcPr>
            <w:tcW w:w="776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w w:val="89"/>
              </w:rPr>
              <w:t>Common stock, 68,027,537 and 69,053,958 shares issued and outstanding, respectively</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76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68,028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69,054</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796,236,224</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803,729,220</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Undistributed net investment income</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6,333,033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6,003,360</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Accumulated net realized loss on investments</w:t>
            </w:r>
          </w:p>
        </w:tc>
        <w:tc>
          <w:tcPr>
            <w:tcW w:w="120" w:type="dxa"/>
            <w:vAlign w:val="bottom"/>
          </w:tcPr>
          <w:p>
            <w:pPr>
              <w:spacing w:after="0"/>
              <w:rPr>
                <w:sz w:val="23"/>
                <w:szCs w:val="23"/>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22"/>
                <w:szCs w:val="22"/>
                <w:color w:val="auto"/>
              </w:rPr>
              <w:t>(62,157,643)</w:t>
            </w:r>
          </w:p>
        </w:tc>
        <w:tc>
          <w:tcPr>
            <w:tcW w:w="140" w:type="dxa"/>
            <w:vAlign w:val="bottom"/>
          </w:tcPr>
          <w:p>
            <w:pPr>
              <w:spacing w:after="0"/>
              <w:rPr>
                <w:sz w:val="23"/>
                <w:szCs w:val="23"/>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(70,687,629)</w:t>
            </w: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Net unrealized depreciation on investments</w:t>
            </w:r>
          </w:p>
        </w:tc>
        <w:tc>
          <w:tcPr>
            <w:tcW w:w="120" w:type="dxa"/>
            <w:vAlign w:val="bottom"/>
          </w:tcPr>
          <w:p>
            <w:pPr>
              <w:spacing w:after="0"/>
              <w:rPr>
                <w:sz w:val="23"/>
                <w:szCs w:val="23"/>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22"/>
                <w:szCs w:val="22"/>
                <w:color w:val="auto"/>
              </w:rPr>
              <w:t>(132,156,359)</w:t>
            </w:r>
          </w:p>
        </w:tc>
        <w:tc>
          <w:tcPr>
            <w:tcW w:w="140" w:type="dxa"/>
            <w:vAlign w:val="bottom"/>
          </w:tcPr>
          <w:p>
            <w:pPr>
              <w:spacing w:after="0"/>
              <w:rPr>
                <w:sz w:val="23"/>
                <w:szCs w:val="23"/>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(111,763,780)</w:t>
            </w:r>
          </w:p>
        </w:tc>
      </w:tr>
      <w:tr>
        <w:trPr>
          <w:trHeight w:val="274"/>
        </w:trPr>
        <w:tc>
          <w:tcPr>
            <w:tcW w:w="7760" w:type="dxa"/>
            <w:vAlign w:val="bottom"/>
          </w:tcPr>
          <w:p>
            <w:pPr>
              <w:spacing w:after="0"/>
              <w:rPr>
                <w:sz w:val="20"/>
                <w:szCs w:val="20"/>
                <w:color w:val="auto"/>
              </w:rPr>
            </w:pPr>
            <w:r>
              <w:rPr>
                <w:rFonts w:ascii="Arial" w:cs="Arial" w:eastAsia="Arial" w:hAnsi="Arial"/>
                <w:sz w:val="22"/>
                <w:szCs w:val="22"/>
                <w:color w:val="auto"/>
              </w:rPr>
              <w:t>Net unrealized depreciation on debt</w:t>
            </w:r>
          </w:p>
        </w:tc>
        <w:tc>
          <w:tcPr>
            <w:tcW w:w="1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7,617,822</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1,551,670</w:t>
            </w:r>
          </w:p>
        </w:tc>
        <w:tc>
          <w:tcPr>
            <w:tcW w:w="80" w:type="dxa"/>
            <w:vAlign w:val="bottom"/>
          </w:tcPr>
          <w:p>
            <w:pPr>
              <w:spacing w:after="0"/>
              <w:rPr>
                <w:sz w:val="23"/>
                <w:szCs w:val="23"/>
                <w:color w:val="auto"/>
              </w:rPr>
            </w:pPr>
          </w:p>
        </w:tc>
      </w:tr>
      <w:tr>
        <w:trPr>
          <w:trHeight w:val="267"/>
        </w:trPr>
        <w:tc>
          <w:tcPr>
            <w:tcW w:w="776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615,941,105</w:t>
            </w:r>
          </w:p>
        </w:tc>
        <w:tc>
          <w:tcPr>
            <w:tcW w:w="18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628,901,895</w:t>
            </w:r>
          </w:p>
        </w:tc>
        <w:tc>
          <w:tcPr>
            <w:tcW w:w="80" w:type="dxa"/>
            <w:vAlign w:val="bottom"/>
          </w:tcPr>
          <w:p>
            <w:pPr>
              <w:spacing w:after="0"/>
              <w:rPr>
                <w:sz w:val="23"/>
                <w:szCs w:val="23"/>
                <w:color w:val="auto"/>
              </w:rPr>
            </w:pPr>
          </w:p>
        </w:tc>
      </w:tr>
      <w:tr>
        <w:trPr>
          <w:trHeight w:val="264"/>
        </w:trPr>
        <w:tc>
          <w:tcPr>
            <w:tcW w:w="776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9"/>
              </w:rPr>
              <w:t>1,221,766,808</w:t>
            </w:r>
          </w:p>
        </w:tc>
        <w:tc>
          <w:tcPr>
            <w:tcW w:w="1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1,160,118,827</w:t>
            </w:r>
          </w:p>
        </w:tc>
        <w:tc>
          <w:tcPr>
            <w:tcW w:w="80" w:type="dxa"/>
            <w:vAlign w:val="bottom"/>
          </w:tcPr>
          <w:p>
            <w:pPr>
              <w:spacing w:after="0"/>
              <w:rPr>
                <w:sz w:val="22"/>
                <w:szCs w:val="22"/>
                <w:color w:val="auto"/>
              </w:rPr>
            </w:pPr>
          </w:p>
        </w:tc>
      </w:tr>
      <w:tr>
        <w:trPr>
          <w:trHeight w:val="21"/>
        </w:trPr>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776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9.05</w:t>
            </w:r>
          </w:p>
        </w:tc>
        <w:tc>
          <w:tcPr>
            <w:tcW w:w="1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9.11</w:t>
            </w:r>
          </w:p>
        </w:tc>
        <w:tc>
          <w:tcPr>
            <w:tcW w:w="80" w:type="dxa"/>
            <w:vAlign w:val="bottom"/>
          </w:tcPr>
          <w:p>
            <w:pPr>
              <w:spacing w:after="0"/>
              <w:rPr>
                <w:sz w:val="22"/>
                <w:szCs w:val="22"/>
                <w:color w:val="auto"/>
              </w:rPr>
            </w:pPr>
          </w:p>
        </w:tc>
      </w:tr>
      <w:tr>
        <w:trPr>
          <w:trHeight w:val="21"/>
        </w:trPr>
        <w:tc>
          <w:tcPr>
            <w:tcW w:w="776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5"/>
        </w:trPr>
        <w:tc>
          <w:tcPr>
            <w:tcW w:w="9500" w:type="dxa"/>
            <w:vAlign w:val="bottom"/>
            <w:gridSpan w:val="4"/>
          </w:tcPr>
          <w:p>
            <w:pPr>
              <w:jc w:val="center"/>
              <w:ind w:left="1592"/>
              <w:spacing w:after="0"/>
              <w:rPr>
                <w:sz w:val="20"/>
                <w:szCs w:val="20"/>
                <w:color w:val="auto"/>
              </w:rPr>
            </w:pPr>
            <w:r>
              <w:rPr>
                <w:rFonts w:ascii="Arial" w:cs="Arial" w:eastAsia="Arial" w:hAnsi="Arial"/>
                <w:sz w:val="22"/>
                <w:szCs w:val="22"/>
                <w:b w:val="1"/>
                <w:bCs w:val="1"/>
                <w:color w:val="auto"/>
                <w:w w:val="98"/>
              </w:rPr>
              <w:t>PENNANTPARK INVESTMENT CORPORATION AND SUBSIDIARIES</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9500" w:type="dxa"/>
            <w:vAlign w:val="bottom"/>
            <w:gridSpan w:val="4"/>
          </w:tcPr>
          <w:p>
            <w:pPr>
              <w:jc w:val="center"/>
              <w:ind w:left="1612"/>
              <w:spacing w:after="0" w:line="243" w:lineRule="exact"/>
              <w:rPr>
                <w:sz w:val="20"/>
                <w:szCs w:val="20"/>
                <w:color w:val="auto"/>
              </w:rPr>
            </w:pPr>
            <w:r>
              <w:rPr>
                <w:rFonts w:ascii="Arial" w:cs="Arial" w:eastAsia="Arial" w:hAnsi="Arial"/>
                <w:sz w:val="22"/>
                <w:szCs w:val="22"/>
                <w:b w:val="1"/>
                <w:bCs w:val="1"/>
                <w:color w:val="auto"/>
                <w:w w:val="97"/>
              </w:rPr>
              <w:t>CONSOLIDATED STATEMENTS OF OPERATIONS</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80"/>
        </w:trPr>
        <w:tc>
          <w:tcPr>
            <w:tcW w:w="7760" w:type="dxa"/>
            <w:vAlign w:val="bottom"/>
          </w:tcPr>
          <w:p>
            <w:pPr>
              <w:jc w:val="center"/>
              <w:ind w:left="3332"/>
              <w:spacing w:after="0"/>
              <w:rPr>
                <w:sz w:val="20"/>
                <w:szCs w:val="20"/>
                <w:color w:val="auto"/>
              </w:rPr>
            </w:pPr>
            <w:r>
              <w:rPr>
                <w:rFonts w:ascii="Arial" w:cs="Arial" w:eastAsia="Arial" w:hAnsi="Arial"/>
                <w:sz w:val="22"/>
                <w:szCs w:val="22"/>
                <w:b w:val="1"/>
                <w:bCs w:val="1"/>
                <w:color w:val="auto"/>
                <w:w w:val="91"/>
              </w:rPr>
              <w:t>(Unaudited)</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7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22"/>
                <w:szCs w:val="22"/>
                <w:b w:val="1"/>
                <w:bCs w:val="1"/>
                <w:color w:val="auto"/>
                <w:w w:val="90"/>
              </w:rPr>
              <w:t>Three Months Ended December 31,</w:t>
            </w:r>
          </w:p>
        </w:tc>
      </w:tr>
      <w:tr>
        <w:trPr>
          <w:trHeight w:val="265"/>
        </w:trPr>
        <w:tc>
          <w:tcPr>
            <w:tcW w:w="7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2018</w:t>
            </w:r>
          </w:p>
        </w:tc>
        <w:tc>
          <w:tcPr>
            <w:tcW w:w="2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2017</w:t>
            </w:r>
          </w:p>
        </w:tc>
      </w:tr>
      <w:tr>
        <w:trPr>
          <w:trHeight w:val="256"/>
        </w:trPr>
        <w:tc>
          <w:tcPr>
            <w:tcW w:w="730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73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620" w:type="dxa"/>
            <w:vAlign w:val="bottom"/>
          </w:tcPr>
          <w:p>
            <w:pPr>
              <w:jc w:val="right"/>
              <w:spacing w:after="0"/>
              <w:rPr>
                <w:sz w:val="20"/>
                <w:szCs w:val="20"/>
                <w:color w:val="auto"/>
              </w:rPr>
            </w:pPr>
            <w:r>
              <w:rPr>
                <w:rFonts w:ascii="Arial" w:cs="Arial" w:eastAsia="Arial" w:hAnsi="Arial"/>
                <w:sz w:val="22"/>
                <w:szCs w:val="22"/>
                <w:color w:val="auto"/>
              </w:rPr>
              <w:t>23,508,581</w:t>
            </w:r>
          </w:p>
        </w:tc>
        <w:tc>
          <w:tcPr>
            <w:tcW w:w="26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21,383,219</w:t>
            </w:r>
          </w:p>
        </w:tc>
      </w:tr>
      <w:tr>
        <w:trPr>
          <w:trHeight w:val="270"/>
        </w:trPr>
        <w:tc>
          <w:tcPr>
            <w:tcW w:w="7300" w:type="dxa"/>
            <w:vAlign w:val="bottom"/>
          </w:tcPr>
          <w:p>
            <w:pPr>
              <w:ind w:left="260"/>
              <w:spacing w:after="0"/>
              <w:rPr>
                <w:sz w:val="20"/>
                <w:szCs w:val="20"/>
                <w:color w:val="auto"/>
              </w:rPr>
            </w:pPr>
            <w:r>
              <w:rPr>
                <w:rFonts w:ascii="Arial" w:cs="Arial" w:eastAsia="Arial" w:hAnsi="Arial"/>
                <w:sz w:val="22"/>
                <w:szCs w:val="22"/>
                <w:color w:val="auto"/>
              </w:rPr>
              <w:t>Payment in kind</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1,246,016</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1,284,909</w:t>
            </w:r>
          </w:p>
        </w:tc>
      </w:tr>
      <w:tr>
        <w:trPr>
          <w:trHeight w:val="270"/>
        </w:trPr>
        <w:tc>
          <w:tcPr>
            <w:tcW w:w="730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618,071</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1,586,642</w:t>
            </w: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73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105,105</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1,215,834</w:t>
            </w:r>
          </w:p>
        </w:tc>
      </w:tr>
      <w:tr>
        <w:trPr>
          <w:trHeight w:val="270"/>
        </w:trPr>
        <w:tc>
          <w:tcPr>
            <w:tcW w:w="7300" w:type="dxa"/>
            <w:vAlign w:val="bottom"/>
          </w:tcPr>
          <w:p>
            <w:pPr>
              <w:ind w:left="260"/>
              <w:spacing w:after="0"/>
              <w:rPr>
                <w:sz w:val="20"/>
                <w:szCs w:val="20"/>
                <w:color w:val="auto"/>
              </w:rPr>
            </w:pPr>
            <w:r>
              <w:rPr>
                <w:rFonts w:ascii="Arial" w:cs="Arial" w:eastAsia="Arial" w:hAnsi="Arial"/>
                <w:sz w:val="22"/>
                <w:szCs w:val="22"/>
                <w:color w:val="auto"/>
              </w:rPr>
              <w:t>Payment in kind</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108,625</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1,573,306</w:t>
            </w:r>
          </w:p>
        </w:tc>
      </w:tr>
      <w:tr>
        <w:trPr>
          <w:trHeight w:val="274"/>
        </w:trPr>
        <w:tc>
          <w:tcPr>
            <w:tcW w:w="730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ectPr>
          <w:pgSz w:w="11900" w:h="16838" w:orient="portrait"/>
          <w:cols w:equalWidth="0" w:num="1">
            <w:col w:w="11240"/>
          </w:cols>
          <w:pgMar w:left="320" w:top="118" w:right="339" w:bottom="0" w:gutter="0" w:footer="0" w:header="0"/>
        </w:sectPr>
      </w:pPr>
    </w:p>
    <w:bookmarkStart w:id="7" w:name="page8"/>
    <w:bookmarkEnd w:id="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73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1,788,603</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480,430</w:t>
            </w:r>
          </w:p>
        </w:tc>
        <w:tc>
          <w:tcPr>
            <w:tcW w:w="100" w:type="dxa"/>
            <w:vAlign w:val="bottom"/>
          </w:tcPr>
          <w:p>
            <w:pPr>
              <w:spacing w:after="0"/>
              <w:rPr>
                <w:sz w:val="23"/>
                <w:szCs w:val="23"/>
                <w:color w:val="auto"/>
              </w:rPr>
            </w:pPr>
          </w:p>
        </w:tc>
      </w:tr>
      <w:tr>
        <w:trPr>
          <w:trHeight w:val="274"/>
        </w:trPr>
        <w:tc>
          <w:tcPr>
            <w:tcW w:w="7300" w:type="dxa"/>
            <w:vAlign w:val="bottom"/>
          </w:tcPr>
          <w:p>
            <w:pPr>
              <w:ind w:left="260"/>
              <w:spacing w:after="0"/>
              <w:rPr>
                <w:sz w:val="20"/>
                <w:szCs w:val="20"/>
                <w:color w:val="auto"/>
              </w:rPr>
            </w:pPr>
            <w:r>
              <w:rPr>
                <w:rFonts w:ascii="Arial" w:cs="Arial" w:eastAsia="Arial" w:hAnsi="Arial"/>
                <w:sz w:val="22"/>
                <w:szCs w:val="22"/>
                <w:color w:val="auto"/>
              </w:rPr>
              <w:t>Payment in kind</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5,000</w:t>
            </w:r>
          </w:p>
        </w:tc>
        <w:tc>
          <w:tcPr>
            <w:tcW w:w="2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1,144,085</w:t>
            </w:r>
          </w:p>
        </w:tc>
        <w:tc>
          <w:tcPr>
            <w:tcW w:w="100" w:type="dxa"/>
            <w:vAlign w:val="bottom"/>
          </w:tcPr>
          <w:p>
            <w:pPr>
              <w:spacing w:after="0"/>
              <w:rPr>
                <w:sz w:val="23"/>
                <w:szCs w:val="23"/>
                <w:color w:val="auto"/>
              </w:rPr>
            </w:pPr>
          </w:p>
        </w:tc>
      </w:tr>
      <w:tr>
        <w:trPr>
          <w:trHeight w:val="267"/>
        </w:trPr>
        <w:tc>
          <w:tcPr>
            <w:tcW w:w="730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27,380,001</w:t>
            </w:r>
          </w:p>
        </w:tc>
        <w:tc>
          <w:tcPr>
            <w:tcW w:w="2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28,668,425</w:t>
            </w:r>
          </w:p>
        </w:tc>
        <w:tc>
          <w:tcPr>
            <w:tcW w:w="100" w:type="dxa"/>
            <w:vAlign w:val="bottom"/>
          </w:tcPr>
          <w:p>
            <w:pPr>
              <w:spacing w:after="0"/>
              <w:rPr>
                <w:sz w:val="23"/>
                <w:szCs w:val="23"/>
                <w:color w:val="auto"/>
              </w:rPr>
            </w:pPr>
          </w:p>
        </w:tc>
      </w:tr>
      <w:tr>
        <w:trPr>
          <w:trHeight w:val="256"/>
        </w:trPr>
        <w:tc>
          <w:tcPr>
            <w:tcW w:w="730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730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4,419,262</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5,735,137</w:t>
            </w:r>
          </w:p>
        </w:tc>
        <w:tc>
          <w:tcPr>
            <w:tcW w:w="100" w:type="dxa"/>
            <w:vAlign w:val="bottom"/>
          </w:tcPr>
          <w:p>
            <w:pPr>
              <w:spacing w:after="0"/>
              <w:rPr>
                <w:sz w:val="23"/>
                <w:szCs w:val="23"/>
                <w:color w:val="auto"/>
              </w:rPr>
            </w:pPr>
          </w:p>
        </w:tc>
      </w:tr>
      <w:tr>
        <w:trPr>
          <w:trHeight w:val="270"/>
        </w:trPr>
        <w:tc>
          <w:tcPr>
            <w:tcW w:w="730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2,667,270</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3,185,204</w:t>
            </w:r>
          </w:p>
        </w:tc>
        <w:tc>
          <w:tcPr>
            <w:tcW w:w="100" w:type="dxa"/>
            <w:vAlign w:val="bottom"/>
          </w:tcPr>
          <w:p>
            <w:pPr>
              <w:spacing w:after="0"/>
              <w:rPr>
                <w:sz w:val="23"/>
                <w:szCs w:val="23"/>
                <w:color w:val="auto"/>
              </w:rPr>
            </w:pPr>
          </w:p>
        </w:tc>
      </w:tr>
      <w:tr>
        <w:trPr>
          <w:trHeight w:val="270"/>
        </w:trPr>
        <w:tc>
          <w:tcPr>
            <w:tcW w:w="730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6,278,847</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5,857,378</w:t>
            </w:r>
          </w:p>
        </w:tc>
        <w:tc>
          <w:tcPr>
            <w:tcW w:w="100" w:type="dxa"/>
            <w:vAlign w:val="bottom"/>
          </w:tcPr>
          <w:p>
            <w:pPr>
              <w:spacing w:after="0"/>
              <w:rPr>
                <w:sz w:val="23"/>
                <w:szCs w:val="23"/>
                <w:color w:val="auto"/>
              </w:rPr>
            </w:pPr>
          </w:p>
        </w:tc>
      </w:tr>
      <w:tr>
        <w:trPr>
          <w:trHeight w:val="270"/>
        </w:trPr>
        <w:tc>
          <w:tcPr>
            <w:tcW w:w="730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521,625</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521,625</w:t>
            </w:r>
          </w:p>
        </w:tc>
        <w:tc>
          <w:tcPr>
            <w:tcW w:w="100" w:type="dxa"/>
            <w:vAlign w:val="bottom"/>
          </w:tcPr>
          <w:p>
            <w:pPr>
              <w:spacing w:after="0"/>
              <w:rPr>
                <w:sz w:val="23"/>
                <w:szCs w:val="23"/>
                <w:color w:val="auto"/>
              </w:rPr>
            </w:pPr>
          </w:p>
        </w:tc>
      </w:tr>
      <w:tr>
        <w:trPr>
          <w:trHeight w:val="274"/>
        </w:trPr>
        <w:tc>
          <w:tcPr>
            <w:tcW w:w="730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618,367</w:t>
            </w:r>
          </w:p>
        </w:tc>
        <w:tc>
          <w:tcPr>
            <w:tcW w:w="2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628,290</w:t>
            </w:r>
          </w:p>
        </w:tc>
        <w:tc>
          <w:tcPr>
            <w:tcW w:w="100" w:type="dxa"/>
            <w:vAlign w:val="bottom"/>
          </w:tcPr>
          <w:p>
            <w:pPr>
              <w:spacing w:after="0"/>
              <w:rPr>
                <w:sz w:val="23"/>
                <w:szCs w:val="23"/>
                <w:color w:val="auto"/>
              </w:rPr>
            </w:pPr>
          </w:p>
        </w:tc>
      </w:tr>
      <w:tr>
        <w:trPr>
          <w:trHeight w:val="267"/>
        </w:trPr>
        <w:tc>
          <w:tcPr>
            <w:tcW w:w="7300" w:type="dxa"/>
            <w:vAlign w:val="bottom"/>
          </w:tcPr>
          <w:p>
            <w:pPr>
              <w:ind w:left="260"/>
              <w:spacing w:after="0"/>
              <w:rPr>
                <w:sz w:val="20"/>
                <w:szCs w:val="20"/>
                <w:color w:val="auto"/>
              </w:rPr>
            </w:pPr>
            <w:r>
              <w:rPr>
                <w:rFonts w:ascii="Arial" w:cs="Arial" w:eastAsia="Arial" w:hAnsi="Arial"/>
                <w:sz w:val="22"/>
                <w:szCs w:val="22"/>
                <w:b w:val="1"/>
                <w:bCs w:val="1"/>
                <w:color w:val="auto"/>
              </w:rPr>
              <w:t>Expenses before Management Fees waiver and provision for taxes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14,505,371</w:t>
            </w:r>
          </w:p>
        </w:tc>
        <w:tc>
          <w:tcPr>
            <w:tcW w:w="2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15,927,634</w:t>
            </w:r>
          </w:p>
        </w:tc>
        <w:tc>
          <w:tcPr>
            <w:tcW w:w="100" w:type="dxa"/>
            <w:vAlign w:val="bottom"/>
          </w:tcPr>
          <w:p>
            <w:pPr>
              <w:spacing w:after="0"/>
              <w:rPr>
                <w:sz w:val="23"/>
                <w:szCs w:val="23"/>
                <w:color w:val="auto"/>
              </w:rPr>
            </w:pPr>
          </w:p>
        </w:tc>
      </w:tr>
      <w:tr>
        <w:trPr>
          <w:trHeight w:val="256"/>
        </w:trPr>
        <w:tc>
          <w:tcPr>
            <w:tcW w:w="7300" w:type="dxa"/>
            <w:vAlign w:val="bottom"/>
          </w:tcPr>
          <w:p>
            <w:pPr>
              <w:ind w:left="260"/>
              <w:spacing w:after="0"/>
              <w:rPr>
                <w:sz w:val="20"/>
                <w:szCs w:val="20"/>
                <w:color w:val="auto"/>
              </w:rPr>
            </w:pPr>
            <w:r>
              <w:rPr>
                <w:rFonts w:ascii="Arial" w:cs="Arial" w:eastAsia="Arial" w:hAnsi="Arial"/>
                <w:sz w:val="22"/>
                <w:szCs w:val="22"/>
                <w:color w:val="auto"/>
              </w:rPr>
              <w:t>Management Fees waiver</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(1,427,253)</w:t>
            </w:r>
          </w:p>
        </w:tc>
        <w:tc>
          <w:tcPr>
            <w:tcW w:w="100" w:type="dxa"/>
            <w:vAlign w:val="bottom"/>
          </w:tcPr>
          <w:p>
            <w:pPr>
              <w:spacing w:after="0"/>
              <w:rPr>
                <w:sz w:val="22"/>
                <w:szCs w:val="22"/>
                <w:color w:val="auto"/>
              </w:rPr>
            </w:pPr>
          </w:p>
        </w:tc>
      </w:tr>
      <w:tr>
        <w:trPr>
          <w:trHeight w:val="274"/>
        </w:trPr>
        <w:tc>
          <w:tcPr>
            <w:tcW w:w="730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300,000</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67"/>
        </w:trPr>
        <w:tc>
          <w:tcPr>
            <w:tcW w:w="7300" w:type="dxa"/>
            <w:vAlign w:val="bottom"/>
          </w:tcPr>
          <w:p>
            <w:pPr>
              <w:ind w:left="260"/>
              <w:spacing w:after="0"/>
              <w:rPr>
                <w:sz w:val="20"/>
                <w:szCs w:val="20"/>
                <w:color w:val="auto"/>
              </w:rPr>
            </w:pPr>
            <w:r>
              <w:rPr>
                <w:rFonts w:ascii="Arial" w:cs="Arial" w:eastAsia="Arial" w:hAnsi="Arial"/>
                <w:sz w:val="22"/>
                <w:szCs w:val="22"/>
                <w:b w:val="1"/>
                <w:bCs w:val="1"/>
                <w:color w:val="auto"/>
              </w:rPr>
              <w:t>Net expenses</w:t>
            </w:r>
          </w:p>
        </w:tc>
        <w:tc>
          <w:tcPr>
            <w:tcW w:w="420" w:type="dxa"/>
            <w:vAlign w:val="bottom"/>
            <w:tcBorders>
              <w:top w:val="single" w:sz="8" w:color="auto"/>
              <w:bottom w:val="single" w:sz="8" w:color="auto"/>
            </w:tcBorders>
          </w:tcPr>
          <w:p>
            <w:pPr>
              <w:spacing w:after="0"/>
              <w:rPr>
                <w:sz w:val="23"/>
                <w:szCs w:val="23"/>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14,805,371</w:t>
            </w:r>
          </w:p>
        </w:tc>
        <w:tc>
          <w:tcPr>
            <w:tcW w:w="260" w:type="dxa"/>
            <w:vAlign w:val="bottom"/>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14,500,381</w:t>
            </w:r>
          </w:p>
        </w:tc>
        <w:tc>
          <w:tcPr>
            <w:tcW w:w="100" w:type="dxa"/>
            <w:vAlign w:val="bottom"/>
          </w:tcPr>
          <w:p>
            <w:pPr>
              <w:spacing w:after="0"/>
              <w:rPr>
                <w:sz w:val="23"/>
                <w:szCs w:val="23"/>
                <w:color w:val="auto"/>
              </w:rPr>
            </w:pPr>
          </w:p>
        </w:tc>
      </w:tr>
      <w:tr>
        <w:trPr>
          <w:trHeight w:val="263"/>
        </w:trPr>
        <w:tc>
          <w:tcPr>
            <w:tcW w:w="730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12,574,630</w:t>
            </w:r>
          </w:p>
        </w:tc>
        <w:tc>
          <w:tcPr>
            <w:tcW w:w="2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14,168,044</w:t>
            </w:r>
          </w:p>
        </w:tc>
        <w:tc>
          <w:tcPr>
            <w:tcW w:w="100" w:type="dxa"/>
            <w:vAlign w:val="bottom"/>
          </w:tcPr>
          <w:p>
            <w:pPr>
              <w:spacing w:after="0"/>
              <w:rPr>
                <w:sz w:val="22"/>
                <w:szCs w:val="22"/>
                <w:color w:val="auto"/>
              </w:rPr>
            </w:pPr>
          </w:p>
        </w:tc>
      </w:tr>
      <w:tr>
        <w:trPr>
          <w:trHeight w:val="256"/>
        </w:trPr>
        <w:tc>
          <w:tcPr>
            <w:tcW w:w="7300" w:type="dxa"/>
            <w:vAlign w:val="bottom"/>
          </w:tcPr>
          <w:p>
            <w:pPr>
              <w:spacing w:after="0"/>
              <w:rPr>
                <w:sz w:val="20"/>
                <w:szCs w:val="20"/>
                <w:color w:val="auto"/>
              </w:rPr>
            </w:pPr>
            <w:r>
              <w:rPr>
                <w:rFonts w:ascii="Arial" w:cs="Arial" w:eastAsia="Arial" w:hAnsi="Arial"/>
                <w:sz w:val="22"/>
                <w:szCs w:val="22"/>
                <w:b w:val="1"/>
                <w:bCs w:val="1"/>
                <w:color w:val="auto"/>
              </w:rPr>
              <w:t>Realized and unrealized loss on investments and debt:</w:t>
            </w: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rPr>
              <w:t>Net realized gain on investments on:</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730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3,737,919</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1,793,043</w:t>
            </w:r>
          </w:p>
        </w:tc>
        <w:tc>
          <w:tcPr>
            <w:tcW w:w="100" w:type="dxa"/>
            <w:vAlign w:val="bottom"/>
          </w:tcPr>
          <w:p>
            <w:pPr>
              <w:spacing w:after="0"/>
              <w:rPr>
                <w:sz w:val="23"/>
                <w:szCs w:val="23"/>
                <w:color w:val="auto"/>
              </w:rPr>
            </w:pPr>
          </w:p>
        </w:tc>
      </w:tr>
      <w:tr>
        <w:trPr>
          <w:trHeight w:val="274"/>
        </w:trPr>
        <w:tc>
          <w:tcPr>
            <w:tcW w:w="730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4,792,067</w:t>
            </w:r>
          </w:p>
        </w:tc>
        <w:tc>
          <w:tcPr>
            <w:tcW w:w="2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1,980,440</w:t>
            </w:r>
          </w:p>
        </w:tc>
        <w:tc>
          <w:tcPr>
            <w:tcW w:w="100" w:type="dxa"/>
            <w:vAlign w:val="bottom"/>
          </w:tcPr>
          <w:p>
            <w:pPr>
              <w:spacing w:after="0"/>
              <w:rPr>
                <w:sz w:val="23"/>
                <w:szCs w:val="23"/>
                <w:color w:val="auto"/>
              </w:rPr>
            </w:pPr>
          </w:p>
        </w:tc>
      </w:tr>
      <w:tr>
        <w:trPr>
          <w:trHeight w:val="259"/>
        </w:trPr>
        <w:tc>
          <w:tcPr>
            <w:tcW w:w="7300" w:type="dxa"/>
            <w:vAlign w:val="bottom"/>
          </w:tcPr>
          <w:p>
            <w:pPr>
              <w:ind w:left="260"/>
              <w:spacing w:after="0"/>
              <w:rPr>
                <w:sz w:val="20"/>
                <w:szCs w:val="20"/>
                <w:color w:val="auto"/>
              </w:rPr>
            </w:pPr>
            <w:r>
              <w:rPr>
                <w:rFonts w:ascii="Arial" w:cs="Arial" w:eastAsia="Arial" w:hAnsi="Arial"/>
                <w:sz w:val="22"/>
                <w:szCs w:val="22"/>
                <w:b w:val="1"/>
                <w:bCs w:val="1"/>
                <w:color w:val="auto"/>
              </w:rPr>
              <w:t>Net realized gain on investments</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8,529,986</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3,773,483</w:t>
            </w:r>
          </w:p>
        </w:tc>
        <w:tc>
          <w:tcPr>
            <w:tcW w:w="100" w:type="dxa"/>
            <w:vAlign w:val="bottom"/>
          </w:tcPr>
          <w:p>
            <w:pPr>
              <w:spacing w:after="0"/>
              <w:rPr>
                <w:sz w:val="22"/>
                <w:szCs w:val="22"/>
                <w:color w:val="auto"/>
              </w:rPr>
            </w:pP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rPr>
              <w:t>Net change in unrealized depreciation on:</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730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420" w:type="dxa"/>
            <w:vAlign w:val="bottom"/>
          </w:tcPr>
          <w:p>
            <w:pPr>
              <w:spacing w:after="0"/>
              <w:rPr>
                <w:sz w:val="23"/>
                <w:szCs w:val="23"/>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22"/>
                <w:szCs w:val="22"/>
                <w:color w:val="auto"/>
              </w:rPr>
              <w:t>(6,929,882)</w:t>
            </w: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1,738,065</w:t>
            </w:r>
          </w:p>
        </w:tc>
        <w:tc>
          <w:tcPr>
            <w:tcW w:w="100" w:type="dxa"/>
            <w:vAlign w:val="bottom"/>
          </w:tcPr>
          <w:p>
            <w:pPr>
              <w:spacing w:after="0"/>
              <w:rPr>
                <w:sz w:val="23"/>
                <w:szCs w:val="23"/>
                <w:color w:val="auto"/>
              </w:rPr>
            </w:pPr>
          </w:p>
        </w:tc>
      </w:tr>
      <w:tr>
        <w:trPr>
          <w:trHeight w:val="270"/>
        </w:trPr>
        <w:tc>
          <w:tcPr>
            <w:tcW w:w="730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420" w:type="dxa"/>
            <w:vAlign w:val="bottom"/>
          </w:tcPr>
          <w:p>
            <w:pPr>
              <w:spacing w:after="0"/>
              <w:rPr>
                <w:sz w:val="23"/>
                <w:szCs w:val="23"/>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22"/>
                <w:szCs w:val="22"/>
                <w:color w:val="auto"/>
              </w:rPr>
              <w:t>(13,462,697)</w:t>
            </w:r>
          </w:p>
        </w:tc>
        <w:tc>
          <w:tcPr>
            <w:tcW w:w="420" w:type="dxa"/>
            <w:vAlign w:val="bottom"/>
          </w:tcPr>
          <w:p>
            <w:pPr>
              <w:spacing w:after="0"/>
              <w:rPr>
                <w:sz w:val="23"/>
                <w:szCs w:val="23"/>
                <w:color w:val="auto"/>
              </w:rPr>
            </w:pP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(8,510,961)</w:t>
            </w:r>
          </w:p>
        </w:tc>
      </w:tr>
      <w:tr>
        <w:trPr>
          <w:trHeight w:val="274"/>
        </w:trPr>
        <w:tc>
          <w:tcPr>
            <w:tcW w:w="7300" w:type="dxa"/>
            <w:vAlign w:val="bottom"/>
          </w:tcPr>
          <w:p>
            <w:pPr>
              <w:ind w:left="260"/>
              <w:spacing w:after="0"/>
              <w:rPr>
                <w:sz w:val="20"/>
                <w:szCs w:val="20"/>
                <w:color w:val="auto"/>
              </w:rPr>
            </w:pPr>
            <w:r>
              <w:rPr>
                <w:rFonts w:ascii="Arial" w:cs="Arial" w:eastAsia="Arial" w:hAnsi="Arial"/>
                <w:sz w:val="22"/>
                <w:szCs w:val="22"/>
                <w:color w:val="auto"/>
              </w:rPr>
              <w:t>Debt depreciation</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6,066,152</w:t>
            </w:r>
          </w:p>
        </w:tc>
        <w:tc>
          <w:tcPr>
            <w:tcW w:w="2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1,126,766</w:t>
            </w:r>
          </w:p>
        </w:tc>
        <w:tc>
          <w:tcPr>
            <w:tcW w:w="100" w:type="dxa"/>
            <w:vAlign w:val="bottom"/>
          </w:tcPr>
          <w:p>
            <w:pPr>
              <w:spacing w:after="0"/>
              <w:rPr>
                <w:sz w:val="23"/>
                <w:szCs w:val="23"/>
                <w:color w:val="auto"/>
              </w:rPr>
            </w:pPr>
          </w:p>
        </w:tc>
      </w:tr>
      <w:tr>
        <w:trPr>
          <w:trHeight w:val="267"/>
        </w:trPr>
        <w:tc>
          <w:tcPr>
            <w:tcW w:w="7300" w:type="dxa"/>
            <w:vAlign w:val="bottom"/>
          </w:tcPr>
          <w:p>
            <w:pPr>
              <w:ind w:left="260"/>
              <w:spacing w:after="0"/>
              <w:rPr>
                <w:sz w:val="20"/>
                <w:szCs w:val="20"/>
                <w:color w:val="auto"/>
              </w:rPr>
            </w:pPr>
            <w:r>
              <w:rPr>
                <w:rFonts w:ascii="Arial" w:cs="Arial" w:eastAsia="Arial" w:hAnsi="Arial"/>
                <w:sz w:val="22"/>
                <w:szCs w:val="22"/>
                <w:b w:val="1"/>
                <w:bCs w:val="1"/>
                <w:color w:val="auto"/>
              </w:rPr>
              <w:t>Net change in unrealized depreciation on investments and debt</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(14,326,427)</w:t>
            </w:r>
          </w:p>
        </w:tc>
        <w:tc>
          <w:tcPr>
            <w:tcW w:w="2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(5,646,130)</w:t>
            </w:r>
          </w:p>
        </w:tc>
        <w:tc>
          <w:tcPr>
            <w:tcW w:w="100" w:type="dxa"/>
            <w:vAlign w:val="bottom"/>
          </w:tcPr>
          <w:p>
            <w:pPr>
              <w:spacing w:after="0"/>
              <w:rPr>
                <w:sz w:val="23"/>
                <w:szCs w:val="23"/>
                <w:color w:val="auto"/>
              </w:rPr>
            </w:pPr>
          </w:p>
        </w:tc>
      </w:tr>
      <w:tr>
        <w:trPr>
          <w:trHeight w:val="263"/>
        </w:trPr>
        <w:tc>
          <w:tcPr>
            <w:tcW w:w="7300" w:type="dxa"/>
            <w:vAlign w:val="bottom"/>
          </w:tcPr>
          <w:p>
            <w:pPr>
              <w:spacing w:after="0"/>
              <w:rPr>
                <w:sz w:val="20"/>
                <w:szCs w:val="20"/>
                <w:color w:val="auto"/>
              </w:rPr>
            </w:pPr>
            <w:r>
              <w:rPr>
                <w:rFonts w:ascii="Arial" w:cs="Arial" w:eastAsia="Arial" w:hAnsi="Arial"/>
                <w:sz w:val="22"/>
                <w:szCs w:val="22"/>
                <w:b w:val="1"/>
                <w:bCs w:val="1"/>
                <w:color w:val="auto"/>
              </w:rPr>
              <w:t>Net realized and unrealized loss from investments and debt</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(5,796,441)</w:t>
            </w:r>
          </w:p>
        </w:tc>
        <w:tc>
          <w:tcPr>
            <w:tcW w:w="2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(1,872,647)</w:t>
            </w:r>
          </w:p>
        </w:tc>
        <w:tc>
          <w:tcPr>
            <w:tcW w:w="100" w:type="dxa"/>
            <w:vAlign w:val="bottom"/>
          </w:tcPr>
          <w:p>
            <w:pPr>
              <w:spacing w:after="0"/>
              <w:rPr>
                <w:sz w:val="22"/>
                <w:szCs w:val="22"/>
                <w:color w:val="auto"/>
              </w:rPr>
            </w:pPr>
          </w:p>
        </w:tc>
      </w:tr>
      <w:tr>
        <w:trPr>
          <w:trHeight w:val="264"/>
        </w:trPr>
        <w:tc>
          <w:tcPr>
            <w:tcW w:w="730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4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8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6,778,189</w:t>
            </w:r>
          </w:p>
        </w:tc>
        <w:tc>
          <w:tcPr>
            <w:tcW w:w="260" w:type="dxa"/>
            <w:vAlign w:val="bottom"/>
          </w:tcPr>
          <w:p>
            <w:pPr>
              <w:spacing w:after="0"/>
              <w:rPr>
                <w:sz w:val="22"/>
                <w:szCs w:val="22"/>
                <w:color w:val="auto"/>
              </w:rPr>
            </w:pPr>
          </w:p>
        </w:tc>
        <w:tc>
          <w:tcPr>
            <w:tcW w:w="4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12,295,397</w:t>
            </w:r>
          </w:p>
        </w:tc>
        <w:tc>
          <w:tcPr>
            <w:tcW w:w="100" w:type="dxa"/>
            <w:vAlign w:val="bottom"/>
          </w:tcPr>
          <w:p>
            <w:pPr>
              <w:spacing w:after="0"/>
              <w:rPr>
                <w:sz w:val="22"/>
                <w:szCs w:val="22"/>
                <w:color w:val="auto"/>
              </w:rPr>
            </w:pPr>
          </w:p>
        </w:tc>
      </w:tr>
      <w:tr>
        <w:trPr>
          <w:trHeight w:val="20"/>
        </w:trPr>
        <w:tc>
          <w:tcPr>
            <w:tcW w:w="7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00" w:type="dxa"/>
            <w:vAlign w:val="bottom"/>
          </w:tcPr>
          <w:p>
            <w:pPr>
              <w:spacing w:after="0"/>
              <w:rPr>
                <w:sz w:val="20"/>
                <w:szCs w:val="20"/>
                <w:color w:val="auto"/>
              </w:rPr>
            </w:pPr>
            <w:r>
              <w:rPr>
                <w:rFonts w:ascii="Arial" w:cs="Arial" w:eastAsia="Arial" w:hAnsi="Arial"/>
                <w:sz w:val="22"/>
                <w:szCs w:val="22"/>
                <w:color w:val="auto"/>
              </w:rPr>
              <w:t>Net increase in net assets resulting from operations per common share</w:t>
            </w:r>
          </w:p>
        </w:tc>
        <w:tc>
          <w:tcPr>
            <w:tcW w:w="4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8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0.10</w:t>
            </w:r>
          </w:p>
        </w:tc>
        <w:tc>
          <w:tcPr>
            <w:tcW w:w="260" w:type="dxa"/>
            <w:vAlign w:val="bottom"/>
          </w:tcPr>
          <w:p>
            <w:pPr>
              <w:spacing w:after="0"/>
              <w:rPr>
                <w:sz w:val="22"/>
                <w:szCs w:val="22"/>
                <w:color w:val="auto"/>
              </w:rPr>
            </w:pPr>
          </w:p>
        </w:tc>
        <w:tc>
          <w:tcPr>
            <w:tcW w:w="4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0.18</w:t>
            </w:r>
          </w:p>
        </w:tc>
        <w:tc>
          <w:tcPr>
            <w:tcW w:w="100" w:type="dxa"/>
            <w:vAlign w:val="bottom"/>
          </w:tcPr>
          <w:p>
            <w:pPr>
              <w:spacing w:after="0"/>
              <w:rPr>
                <w:sz w:val="22"/>
                <w:szCs w:val="22"/>
                <w:color w:val="auto"/>
              </w:rPr>
            </w:pPr>
          </w:p>
        </w:tc>
      </w:tr>
      <w:tr>
        <w:trPr>
          <w:trHeight w:val="20"/>
        </w:trPr>
        <w:tc>
          <w:tcPr>
            <w:tcW w:w="7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30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4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8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0.18</w:t>
            </w:r>
          </w:p>
        </w:tc>
        <w:tc>
          <w:tcPr>
            <w:tcW w:w="260" w:type="dxa"/>
            <w:vAlign w:val="bottom"/>
          </w:tcPr>
          <w:p>
            <w:pPr>
              <w:spacing w:after="0"/>
              <w:rPr>
                <w:sz w:val="22"/>
                <w:szCs w:val="22"/>
                <w:color w:val="auto"/>
              </w:rPr>
            </w:pPr>
          </w:p>
        </w:tc>
        <w:tc>
          <w:tcPr>
            <w:tcW w:w="4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0.20</w:t>
            </w:r>
          </w:p>
        </w:tc>
        <w:tc>
          <w:tcPr>
            <w:tcW w:w="100" w:type="dxa"/>
            <w:vAlign w:val="bottom"/>
          </w:tcPr>
          <w:p>
            <w:pPr>
              <w:spacing w:after="0"/>
              <w:rPr>
                <w:sz w:val="22"/>
                <w:szCs w:val="22"/>
                <w:color w:val="auto"/>
              </w:rPr>
            </w:pPr>
          </w:p>
        </w:tc>
      </w:tr>
      <w:tr>
        <w:trPr>
          <w:trHeight w:val="20"/>
        </w:trPr>
        <w:tc>
          <w:tcPr>
            <w:tcW w:w="7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Aviv Efrat</w:t>
      </w:r>
    </w:p>
    <w:p>
      <w:pPr>
        <w:spacing w:after="0" w:line="238" w:lineRule="auto"/>
        <w:rPr>
          <w:sz w:val="20"/>
          <w:szCs w:val="20"/>
          <w:color w:val="auto"/>
        </w:rPr>
      </w:pPr>
      <w:r>
        <w:rPr>
          <w:rFonts w:ascii="Arial" w:cs="Arial" w:eastAsia="Arial" w:hAnsi="Arial"/>
          <w:sz w:val="22"/>
          <w:szCs w:val="22"/>
          <w:color w:val="auto"/>
        </w:rPr>
        <w:t>PennantPark Investment Corporation</w:t>
      </w:r>
    </w:p>
    <w:p>
      <w:pPr>
        <w:ind w:right="924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18" w:right="339" w:bottom="86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2020-05-05T15:08:51Z</dcterms:created>
  <dcterms:modified xsi:type="dcterms:W3CDTF">2020-05-05T15:08:51Z</dcterms:modified>
</cp:coreProperties>
</file>