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April 8, 2019</w:t>
      </w:r>
    </w:p>
    <w:p>
      <w:pPr>
        <w:spacing w:after="0" w:line="21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PennantPark Investment Corporation</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100"/>
          </w:cols>
          <w:pgMar w:left="320" w:top="724" w:right="47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814-00736</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20-8250744</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3920" w:space="720"/>
            <w:col w:w="2560" w:space="720"/>
            <w:col w:w="3180"/>
          </w:cols>
          <w:pgMar w:left="320" w:top="724" w:right="479" w:bottom="1440" w:gutter="0" w:footer="0" w:header="0"/>
          <w:type w:val="continuous"/>
        </w:sectPr>
      </w:pPr>
    </w:p>
    <w:p>
      <w:pPr>
        <w:spacing w:after="0" w:line="200" w:lineRule="exact"/>
        <w:rPr>
          <w:sz w:val="24"/>
          <w:szCs w:val="24"/>
          <w:color w:val="auto"/>
        </w:rPr>
      </w:pPr>
    </w:p>
    <w:p>
      <w:pPr>
        <w:spacing w:after="0" w:line="28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590 Madison Avenue, 15th Floor, New York, NY 10022</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 (Zip Code)</w:t>
      </w:r>
    </w:p>
    <w:p>
      <w:pPr>
        <w:spacing w:after="0" w:line="200" w:lineRule="exact"/>
        <w:rPr>
          <w:sz w:val="24"/>
          <w:szCs w:val="24"/>
          <w:color w:val="auto"/>
        </w:rPr>
      </w:pPr>
    </w:p>
    <w:p>
      <w:pPr>
        <w:spacing w:after="0" w:line="223"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212-905-1000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Written communications pursuant to Rule 425 under the Securities Act (17 CFR 230.425)</w:t>
      </w:r>
    </w:p>
    <w:p>
      <w:pPr>
        <w:spacing w:after="0" w:line="23" w:lineRule="exact"/>
        <w:rPr>
          <w:rFonts w:ascii="Arial" w:cs="Arial" w:eastAsia="Arial" w:hAnsi="Arial"/>
          <w:sz w:val="18"/>
          <w:szCs w:val="18"/>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Soliciting material pursuant to Rule 14a-12 under the Exchange Act (17 CFR 240.14a-12)</w:t>
      </w:r>
    </w:p>
    <w:p>
      <w:pPr>
        <w:spacing w:after="0" w:line="9" w:lineRule="exact"/>
        <w:rPr>
          <w:rFonts w:ascii="Arial" w:cs="Arial" w:eastAsia="Arial" w:hAnsi="Arial"/>
          <w:sz w:val="18"/>
          <w:szCs w:val="18"/>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Pre-commencement communications pursuant to Rule 13e-4(c) under the Exchange Act (17 CFR 240.13e-4(c))</w:t>
      </w:r>
    </w:p>
    <w:p>
      <w:pPr>
        <w:spacing w:after="0" w:line="200" w:lineRule="exact"/>
        <w:rPr>
          <w:sz w:val="24"/>
          <w:szCs w:val="24"/>
          <w:color w:val="auto"/>
        </w:rPr>
      </w:pPr>
    </w:p>
    <w:p>
      <w:pPr>
        <w:spacing w:after="0" w:line="22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518160</wp:posOffset>
            </wp:positionV>
            <wp:extent cx="7136130"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00"/>
          </w:cols>
          <w:pgMar w:left="320" w:top="724"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On April 8, 2019, PennantPark Investment Corporation issued a press release announcing its scheduled earnings release for the second fiscal quarter ended March 31, 2019. A copy of the press release is furnished as Exhibit 99.1 to this report, pursuant to Item 7.01 and Regulation FD.</w:t>
      </w:r>
    </w:p>
    <w:p>
      <w:pPr>
        <w:spacing w:after="0" w:line="146"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information in this Current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Current Report on Form 8-K shall not be deemed incorporated by reference in any filing under the Securities Act of 1933, as amended, or under the Exchange Act, except as shall be expressly set forth by specific reference in such filing.</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w:t>
      </w:r>
    </w:p>
    <w:p>
      <w:pPr>
        <w:spacing w:after="0" w:line="22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This Current Report on Form 8-K, including Exhibit 99.1 furnished herewith, may contain "forward-looking statements" within the meaning of the Private Securities Litigation Reform Act of 1995. All statements other than statements of historical facts included in this Current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600" w:right="9320" w:hanging="592"/>
        <w:spacing w:after="0" w:line="313" w:lineRule="auto"/>
        <w:tabs>
          <w:tab w:leader="none" w:pos="270" w:val="left"/>
        </w:tabs>
        <w:numPr>
          <w:ilvl w:val="0"/>
          <w:numId w:val="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Financial statements: </w:t>
      </w:r>
      <w:r>
        <w:rPr>
          <w:rFonts w:ascii="Arial" w:cs="Arial" w:eastAsia="Arial" w:hAnsi="Arial"/>
          <w:sz w:val="15"/>
          <w:szCs w:val="15"/>
          <w:color w:val="auto"/>
        </w:rPr>
        <w:t>None</w:t>
      </w:r>
    </w:p>
    <w:p>
      <w:pPr>
        <w:ind w:left="600" w:right="8420" w:hanging="592"/>
        <w:spacing w:after="0" w:line="250" w:lineRule="auto"/>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ind w:left="600" w:right="8800" w:hanging="592"/>
        <w:spacing w:after="0" w:line="250" w:lineRule="auto"/>
        <w:tabs>
          <w:tab w:leader="none" w:pos="2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ind w:left="280" w:hanging="272"/>
        <w:spacing w:after="0"/>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9" w:lineRule="exact"/>
        <w:rPr>
          <w:sz w:val="20"/>
          <w:szCs w:val="20"/>
          <w:color w:val="auto"/>
        </w:rPr>
      </w:pPr>
    </w:p>
    <w:p>
      <w:pPr>
        <w:ind w:left="600"/>
        <w:spacing w:after="0"/>
        <w:tabs>
          <w:tab w:leader="none" w:pos="116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5">
        <w:r>
          <w:rPr>
            <w:rFonts w:ascii="Arial" w:cs="Arial" w:eastAsia="Arial" w:hAnsi="Arial"/>
            <w:sz w:val="16"/>
            <w:szCs w:val="16"/>
            <w:u w:val="single" w:color="auto"/>
            <w:color w:val="0000EE"/>
          </w:rPr>
          <w:t>Press Release of PennantPark Investment Corporation dated April 8,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Pursuant to the requirements of the Exchange Act,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7800" w:type="dxa"/>
            <w:vAlign w:val="bottom"/>
            <w:gridSpan w:val="3"/>
          </w:tcPr>
          <w:p>
            <w:pPr>
              <w:ind w:left="2020"/>
              <w:spacing w:after="0"/>
              <w:rPr>
                <w:sz w:val="20"/>
                <w:szCs w:val="20"/>
                <w:color w:val="auto"/>
              </w:rPr>
            </w:pPr>
            <w:r>
              <w:rPr>
                <w:rFonts w:ascii="Arial" w:cs="Arial" w:eastAsia="Arial" w:hAnsi="Arial"/>
                <w:sz w:val="18"/>
                <w:szCs w:val="18"/>
                <w:b w:val="1"/>
                <w:bCs w:val="1"/>
                <w:color w:val="auto"/>
              </w:rPr>
              <w:t>PennantPark Investment Corporation</w:t>
            </w:r>
          </w:p>
        </w:tc>
      </w:tr>
      <w:tr>
        <w:trPr>
          <w:trHeight w:val="608"/>
        </w:trPr>
        <w:tc>
          <w:tcPr>
            <w:tcW w:w="3440" w:type="dxa"/>
            <w:vAlign w:val="bottom"/>
          </w:tcPr>
          <w:p>
            <w:pPr>
              <w:spacing w:after="0"/>
              <w:rPr>
                <w:sz w:val="20"/>
                <w:szCs w:val="20"/>
                <w:color w:val="auto"/>
              </w:rPr>
            </w:pPr>
            <w:r>
              <w:rPr>
                <w:rFonts w:ascii="Arial" w:cs="Arial" w:eastAsia="Arial" w:hAnsi="Arial"/>
                <w:sz w:val="18"/>
                <w:szCs w:val="18"/>
                <w:color w:val="auto"/>
              </w:rPr>
              <w:t>Date: April 8, 2019</w:t>
            </w:r>
          </w:p>
        </w:tc>
        <w:tc>
          <w:tcPr>
            <w:tcW w:w="7800" w:type="dxa"/>
            <w:vAlign w:val="bottom"/>
            <w:gridSpan w:val="3"/>
          </w:tcPr>
          <w:p>
            <w:pPr>
              <w:ind w:left="2020"/>
              <w:spacing w:after="0"/>
              <w:rPr>
                <w:sz w:val="20"/>
                <w:szCs w:val="20"/>
                <w:color w:val="auto"/>
              </w:rPr>
            </w:pPr>
            <w:r>
              <w:rPr>
                <w:rFonts w:ascii="Arial" w:cs="Arial" w:eastAsia="Arial" w:hAnsi="Arial"/>
                <w:sz w:val="18"/>
                <w:szCs w:val="18"/>
                <w:color w:val="auto"/>
              </w:rPr>
              <w:t>By: /s/ Aviv Efrat</w:t>
            </w:r>
          </w:p>
        </w:tc>
      </w:tr>
      <w:tr>
        <w:trPr>
          <w:trHeight w:val="222"/>
        </w:trPr>
        <w:tc>
          <w:tcPr>
            <w:tcW w:w="344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Aviv Efrat</w:t>
            </w:r>
          </w:p>
        </w:tc>
        <w:tc>
          <w:tcPr>
            <w:tcW w:w="4140" w:type="dxa"/>
            <w:vAlign w:val="bottom"/>
          </w:tcPr>
          <w:p>
            <w:pPr>
              <w:spacing w:after="0"/>
              <w:rPr>
                <w:sz w:val="19"/>
                <w:szCs w:val="19"/>
                <w:color w:val="auto"/>
              </w:rPr>
            </w:pPr>
          </w:p>
        </w:tc>
      </w:tr>
      <w:tr>
        <w:trPr>
          <w:trHeight w:val="230"/>
        </w:trPr>
        <w:tc>
          <w:tcPr>
            <w:tcW w:w="34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Chief Financial Officer &amp; Treasurer</w:t>
            </w:r>
          </w:p>
        </w:tc>
      </w:tr>
      <w:tr>
        <w:trPr>
          <w:trHeight w:val="442"/>
        </w:trPr>
        <w:tc>
          <w:tcPr>
            <w:tcW w:w="3440" w:type="dxa"/>
            <w:vAlign w:val="bottom"/>
            <w:tcBorders>
              <w:bottom w:val="single" w:sz="8" w:color="808080"/>
            </w:tcBorders>
          </w:tcPr>
          <w:p>
            <w:pPr>
              <w:spacing w:after="0"/>
              <w:rPr>
                <w:sz w:val="24"/>
                <w:szCs w:val="24"/>
                <w:color w:val="auto"/>
              </w:rPr>
            </w:pPr>
          </w:p>
        </w:tc>
        <w:tc>
          <w:tcPr>
            <w:tcW w:w="234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tcPr>
          <w:p>
            <w:pPr>
              <w:spacing w:after="0"/>
              <w:rPr>
                <w:sz w:val="24"/>
                <w:szCs w:val="24"/>
                <w:color w:val="auto"/>
              </w:rPr>
            </w:pPr>
          </w:p>
        </w:tc>
        <w:tc>
          <w:tcPr>
            <w:tcW w:w="41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ind w:left="4900"/>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u w:val="single" w:color="auto"/>
          <w:color w:val="auto"/>
        </w:rPr>
        <w:t>Exhibit No.</w:t>
      </w:r>
      <w:r>
        <w:rPr>
          <w:sz w:val="20"/>
          <w:szCs w:val="20"/>
          <w:color w:val="auto"/>
        </w:rPr>
        <w:tab/>
      </w:r>
      <w:r>
        <w:rPr>
          <w:rFonts w:ascii="Arial" w:cs="Arial" w:eastAsia="Arial" w:hAnsi="Arial"/>
          <w:sz w:val="16"/>
          <w:szCs w:val="16"/>
          <w:b w:val="1"/>
          <w:bCs w:val="1"/>
          <w:u w:val="single" w:color="auto"/>
          <w:color w:val="auto"/>
        </w:rPr>
        <w:t>Description</w:t>
      </w:r>
    </w:p>
    <w:p>
      <w:pPr>
        <w:spacing w:after="0" w:line="310" w:lineRule="exact"/>
        <w:rPr>
          <w:sz w:val="20"/>
          <w:szCs w:val="20"/>
          <w:color w:val="auto"/>
        </w:rPr>
      </w:pPr>
    </w:p>
    <w:p>
      <w:pPr>
        <w:spacing w:after="0"/>
        <w:tabs>
          <w:tab w:leader="none" w:pos="1060" w:val="left"/>
        </w:tabs>
        <w:rPr>
          <w:rFonts w:ascii="Arial" w:cs="Arial" w:eastAsia="Arial" w:hAnsi="Arial"/>
          <w:sz w:val="16"/>
          <w:szCs w:val="16"/>
          <w:u w:val="single" w:color="auto"/>
          <w:color w:val="0000EE"/>
        </w:rPr>
      </w:pPr>
      <w:hyperlink w:anchor="page5">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5">
        <w:r>
          <w:rPr>
            <w:rFonts w:ascii="Arial" w:cs="Arial" w:eastAsia="Arial" w:hAnsi="Arial"/>
            <w:sz w:val="16"/>
            <w:szCs w:val="16"/>
            <w:u w:val="single" w:color="auto"/>
            <w:color w:val="0000EE"/>
          </w:rPr>
          <w:t>Press Release of PennantPark Investment Corporation dated April 8, 2019</w:t>
        </w:r>
      </w:hyperlink>
    </w:p>
    <w:p>
      <w:pPr>
        <w:sectPr>
          <w:pgSz w:w="11900" w:h="16838" w:orient="portrait"/>
          <w:cols w:equalWidth="0" w:num="1">
            <w:col w:w="10119"/>
          </w:cols>
          <w:pgMar w:left="340" w:top="337"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285875" cy="3086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587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PennantPark Investment Corporation Schedules Earnings Release of Second Fiscal Quarter 2019 Results</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2"/>
          <w:szCs w:val="22"/>
          <w:color w:val="auto"/>
        </w:rPr>
        <w:t>NEW YORK, April 08, 2019 (GLOBE NEWSWIRE) -- PennantPark Investment Corporation (the "Company") (NASDAQ: PNNT) announced that it will report results for the second fiscal quarter ended March 31, 2019 on Thursday, May 9, 2019 after the close of the financial markets.</w:t>
      </w:r>
    </w:p>
    <w:p>
      <w:pPr>
        <w:spacing w:after="0" w:line="186"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The Company will also host a conference call at 10:00 a.m. (Eastern Time) on Friday, May 10, 2019 to discuss its financial results. All interested parties are welcome to participate. You can access the conference call by dialing toll-free (888) 204-4368 approximately 5-10 minutes prior to the call. International callers should dial (929) 477-0402. All callers should reference PennantPark Investment Corporation. An archived replay of the call will be available through May 24, 2019 by calling toll-free</w:t>
      </w:r>
    </w:p>
    <w:p>
      <w:pPr>
        <w:spacing w:after="0" w:line="3" w:lineRule="exact"/>
        <w:rPr>
          <w:sz w:val="20"/>
          <w:szCs w:val="20"/>
          <w:color w:val="auto"/>
        </w:rPr>
      </w:pPr>
    </w:p>
    <w:p>
      <w:pPr>
        <w:ind w:firstLine="8"/>
        <w:spacing w:after="0" w:line="236" w:lineRule="auto"/>
        <w:tabs>
          <w:tab w:leader="none" w:pos="586" w:val="left"/>
        </w:tabs>
        <w:numPr>
          <w:ilvl w:val="0"/>
          <w:numId w:val="3"/>
        </w:numPr>
        <w:rPr>
          <w:rFonts w:ascii="Arial" w:cs="Arial" w:eastAsia="Arial" w:hAnsi="Arial"/>
          <w:sz w:val="22"/>
          <w:szCs w:val="22"/>
          <w:color w:val="auto"/>
        </w:rPr>
      </w:pPr>
      <w:r>
        <w:rPr>
          <w:rFonts w:ascii="Arial" w:cs="Arial" w:eastAsia="Arial" w:hAnsi="Arial"/>
          <w:sz w:val="22"/>
          <w:szCs w:val="22"/>
          <w:color w:val="auto"/>
        </w:rPr>
        <w:t>203-1112. International callers please dial (719) 457-0820. For all phone replays, please reference conference ID #1553883.</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INVESTMENT CORPORATION</w:t>
      </w:r>
    </w:p>
    <w:p>
      <w:pPr>
        <w:spacing w:after="0" w:line="206" w:lineRule="exact"/>
        <w:rPr>
          <w:sz w:val="20"/>
          <w:szCs w:val="20"/>
          <w:color w:val="auto"/>
        </w:rPr>
      </w:pPr>
    </w:p>
    <w:p>
      <w:pPr>
        <w:ind w:right="20"/>
        <w:spacing w:after="0" w:line="257" w:lineRule="auto"/>
        <w:rPr>
          <w:sz w:val="20"/>
          <w:szCs w:val="20"/>
          <w:color w:val="auto"/>
        </w:rPr>
      </w:pPr>
      <w:r>
        <w:rPr>
          <w:rFonts w:ascii="Arial" w:cs="Arial" w:eastAsia="Arial" w:hAnsi="Arial"/>
          <w:sz w:val="21"/>
          <w:szCs w:val="21"/>
          <w:color w:val="auto"/>
        </w:rPr>
        <w:t>PennantPark Investment Corporation is a business development company which principally invests in U.S. middle-market private companies in the form of second lien secured debt, second lien secured debt, subordinated debt and equity investments. PennantPark Investment Corporation is managed by PennantPark Investment Advisers, LLC.</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ind w:right="60"/>
        <w:spacing w:after="0" w:line="277"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Aviv Efrat</w:t>
      </w:r>
    </w:p>
    <w:p>
      <w:pPr>
        <w:spacing w:after="0" w:line="230" w:lineRule="auto"/>
        <w:rPr>
          <w:sz w:val="20"/>
          <w:szCs w:val="20"/>
          <w:color w:val="auto"/>
        </w:rPr>
      </w:pPr>
      <w:r>
        <w:rPr>
          <w:rFonts w:ascii="Arial" w:cs="Arial" w:eastAsia="Arial" w:hAnsi="Arial"/>
          <w:sz w:val="22"/>
          <w:szCs w:val="22"/>
          <w:color w:val="auto"/>
        </w:rPr>
        <w:t>PennantPark Investment Corporation</w:t>
      </w:r>
    </w:p>
    <w:p>
      <w:pPr>
        <w:spacing w:after="0" w:line="1" w:lineRule="exact"/>
        <w:rPr>
          <w:sz w:val="20"/>
          <w:szCs w:val="20"/>
          <w:color w:val="auto"/>
        </w:rPr>
      </w:pPr>
    </w:p>
    <w:p>
      <w:pPr>
        <w:ind w:right="9240" w:firstLine="8"/>
        <w:spacing w:after="0" w:line="308" w:lineRule="auto"/>
        <w:tabs>
          <w:tab w:leader="none" w:pos="522" w:val="left"/>
        </w:tabs>
        <w:numPr>
          <w:ilvl w:val="0"/>
          <w:numId w:val="4"/>
        </w:numPr>
        <w:rPr>
          <w:rFonts w:ascii="Arial" w:cs="Arial" w:eastAsia="Arial" w:hAnsi="Arial"/>
          <w:sz w:val="19"/>
          <w:szCs w:val="19"/>
          <w:color w:val="auto"/>
        </w:rPr>
      </w:pPr>
      <w:r>
        <w:rPr>
          <w:rFonts w:ascii="Arial" w:cs="Arial" w:eastAsia="Arial" w:hAnsi="Arial"/>
          <w:sz w:val="19"/>
          <w:szCs w:val="19"/>
          <w:color w:val="auto"/>
        </w:rPr>
        <w:t>905-1000 www.pennantpark.com</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decimal"/>
      <w:start w:val="888"/>
    </w:lvl>
  </w:abstractNum>
  <w:abstractNum w:abstractNumId="3">
    <w:nsid w:val="625558EC"/>
    <w:multiLevelType w:val="hybridMultilevel"/>
    <w:lvl w:ilvl="0">
      <w:lvlJc w:val="left"/>
      <w:lvlText w:val="(%1)"/>
      <w:numFmt w:val="decimal"/>
      <w:start w:val="21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2020-05-05T15:07:45Z</dcterms:created>
  <dcterms:modified xsi:type="dcterms:W3CDTF">2020-05-05T15:07:45Z</dcterms:modified>
</cp:coreProperties>
</file>