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333-230014</w:t>
      </w:r>
    </w:p>
    <w:p>
      <w:pPr>
        <w:spacing w:after="0" w:line="139" w:lineRule="exact"/>
        <w:rPr>
          <w:sz w:val="24"/>
          <w:szCs w:val="24"/>
          <w:color w:val="auto"/>
        </w:rPr>
      </w:pPr>
    </w:p>
    <w:p>
      <w:pPr>
        <w:ind w:left="120"/>
        <w:spacing w:after="0" w:line="343" w:lineRule="auto"/>
        <w:rPr>
          <w:sz w:val="20"/>
          <w:szCs w:val="20"/>
          <w:color w:val="auto"/>
        </w:rPr>
      </w:pPr>
      <w:r>
        <w:rPr>
          <w:rFonts w:ascii="Arial" w:cs="Arial" w:eastAsia="Arial" w:hAnsi="Arial"/>
          <w:sz w:val="15"/>
          <w:szCs w:val="15"/>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FF4338"/>
        </w:rPr>
        <w:t>Subject to Completion, dated October 14, 2021</w:t>
      </w:r>
    </w:p>
    <w:p>
      <w:pPr>
        <w:spacing w:after="0" w:line="127"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Preliminary Prospectus Supplement</w:t>
      </w:r>
    </w:p>
    <w:p>
      <w:pPr>
        <w:spacing w:after="0" w:line="2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To the Prospectus dated January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92710</wp:posOffset>
            </wp:positionV>
            <wp:extent cx="176593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5260"/>
        <w:spacing w:after="0"/>
        <w:rPr>
          <w:sz w:val="20"/>
          <w:szCs w:val="20"/>
          <w:color w:val="auto"/>
        </w:rPr>
      </w:pPr>
      <w:r>
        <w:rPr>
          <w:rFonts w:ascii="Arial" w:cs="Arial" w:eastAsia="Arial" w:hAnsi="Arial"/>
          <w:sz w:val="16"/>
          <w:szCs w:val="16"/>
          <w:b w:val="1"/>
          <w:bCs w:val="1"/>
          <w:color w:val="auto"/>
        </w:rPr>
        <w:t>$</w:t>
      </w:r>
    </w:p>
    <w:p>
      <w:pPr>
        <w:spacing w:after="0" w:line="127"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auto"/>
        </w:rPr>
        <w:t>% Notes due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8" w:lineRule="exact"/>
        <w:rPr>
          <w:sz w:val="24"/>
          <w:szCs w:val="24"/>
          <w:color w:val="auto"/>
        </w:rPr>
      </w:pPr>
    </w:p>
    <w:p>
      <w:pPr>
        <w:ind w:left="120"/>
        <w:spacing w:after="0"/>
        <w:tabs>
          <w:tab w:leader="none" w:pos="3760" w:val="left"/>
          <w:tab w:leader="none" w:pos="5820" w:val="left"/>
          <w:tab w:leader="none" w:pos="6700" w:val="left"/>
          <w:tab w:leader="none" w:pos="10660" w:val="left"/>
          <w:tab w:leader="none" w:pos="10880" w:val="left"/>
        </w:tabs>
        <w:rPr>
          <w:sz w:val="20"/>
          <w:szCs w:val="20"/>
          <w:color w:val="auto"/>
        </w:rPr>
      </w:pPr>
      <w:r>
        <w:rPr>
          <w:rFonts w:ascii="Arial" w:cs="Arial" w:eastAsia="Arial" w:hAnsi="Arial"/>
          <w:sz w:val="14"/>
          <w:szCs w:val="14"/>
          <w:color w:val="auto"/>
        </w:rPr>
        <w:t>PennantPark Investment Corporation is offering for sale $</w:t>
      </w:r>
      <w:r>
        <w:rPr>
          <w:sz w:val="20"/>
          <w:szCs w:val="20"/>
          <w:color w:val="auto"/>
        </w:rPr>
        <w:tab/>
      </w:r>
      <w:r>
        <w:rPr>
          <w:rFonts w:ascii="Arial" w:cs="Arial" w:eastAsia="Arial" w:hAnsi="Arial"/>
          <w:sz w:val="14"/>
          <w:szCs w:val="14"/>
          <w:color w:val="auto"/>
        </w:rPr>
        <w:t>in aggregate principal amount of</w:t>
        <w:tab/>
        <w:t>% notes due</w:t>
        <w:tab/>
        <w:t>, which we refer to as the Notes. The Notes will mature on</w:t>
      </w:r>
      <w:r>
        <w:rPr>
          <w:sz w:val="20"/>
          <w:szCs w:val="20"/>
          <w:color w:val="auto"/>
        </w:rPr>
        <w:tab/>
      </w:r>
      <w:r>
        <w:rPr>
          <w:rFonts w:ascii="Arial" w:cs="Arial" w:eastAsia="Arial" w:hAnsi="Arial"/>
          <w:sz w:val="14"/>
          <w:szCs w:val="14"/>
          <w:color w:val="auto"/>
        </w:rPr>
        <w:t>,</w:t>
        <w:tab/>
        <w:t>.</w:t>
      </w:r>
    </w:p>
    <w:p>
      <w:pPr>
        <w:ind w:left="120"/>
        <w:spacing w:after="0"/>
        <w:tabs>
          <w:tab w:leader="none" w:pos="4400" w:val="left"/>
          <w:tab w:leader="none" w:pos="5400" w:val="left"/>
          <w:tab w:leader="none" w:pos="7680" w:val="left"/>
        </w:tabs>
        <w:rPr>
          <w:sz w:val="20"/>
          <w:szCs w:val="20"/>
          <w:color w:val="auto"/>
        </w:rPr>
      </w:pPr>
      <w:r>
        <w:rPr>
          <w:rFonts w:ascii="Arial" w:cs="Arial" w:eastAsia="Arial" w:hAnsi="Arial"/>
          <w:sz w:val="14"/>
          <w:szCs w:val="14"/>
          <w:color w:val="auto"/>
        </w:rPr>
        <w:t>We will pay interest on the Notes semi-annually in arrears on</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of each year, beginning on</w:t>
      </w:r>
      <w:r>
        <w:rPr>
          <w:sz w:val="20"/>
          <w:szCs w:val="20"/>
          <w:color w:val="auto"/>
        </w:rPr>
        <w:tab/>
      </w:r>
      <w:r>
        <w:rPr>
          <w:rFonts w:ascii="Arial" w:cs="Arial" w:eastAsia="Arial" w:hAnsi="Arial"/>
          <w:sz w:val="12"/>
          <w:szCs w:val="12"/>
          <w:color w:val="auto"/>
        </w:rPr>
        <w:t>, 2022. We may redeem the Notes in whole or in part at</w:t>
      </w:r>
    </w:p>
    <w:p>
      <w:pPr>
        <w:ind w:left="120" w:right="140"/>
        <w:spacing w:after="0" w:line="229" w:lineRule="auto"/>
        <w:rPr>
          <w:sz w:val="20"/>
          <w:szCs w:val="20"/>
          <w:color w:val="auto"/>
        </w:rPr>
      </w:pPr>
      <w:r>
        <w:rPr>
          <w:rFonts w:ascii="Arial" w:cs="Arial" w:eastAsia="Arial" w:hAnsi="Arial"/>
          <w:sz w:val="14"/>
          <w:szCs w:val="14"/>
          <w:color w:val="auto"/>
        </w:rPr>
        <w:t>any time or from time to time at the redemption price discussed under the caption “</w:t>
      </w:r>
      <w:r>
        <w:rPr>
          <w:rFonts w:ascii="Arial" w:cs="Arial" w:eastAsia="Arial" w:hAnsi="Arial"/>
          <w:sz w:val="14"/>
          <w:szCs w:val="14"/>
          <w:i w:val="1"/>
          <w:iCs w:val="1"/>
          <w:color w:val="auto"/>
        </w:rPr>
        <w:t>Description of the Notes—Optional redemption</w:t>
      </w:r>
      <w:r>
        <w:rPr>
          <w:rFonts w:ascii="Arial" w:cs="Arial" w:eastAsia="Arial" w:hAnsi="Arial"/>
          <w:sz w:val="14"/>
          <w:szCs w:val="14"/>
          <w:color w:val="auto"/>
        </w:rPr>
        <w:t>”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w:t>
      </w:r>
    </w:p>
    <w:p>
      <w:pPr>
        <w:spacing w:after="0" w:line="76" w:lineRule="exact"/>
        <w:rPr>
          <w:sz w:val="24"/>
          <w:szCs w:val="24"/>
          <w:color w:val="auto"/>
        </w:rPr>
      </w:pPr>
    </w:p>
    <w:p>
      <w:pPr>
        <w:ind w:left="120" w:right="40"/>
        <w:spacing w:after="0" w:line="244" w:lineRule="auto"/>
        <w:rPr>
          <w:sz w:val="20"/>
          <w:szCs w:val="20"/>
          <w:color w:val="auto"/>
        </w:rPr>
      </w:pPr>
      <w:r>
        <w:rPr>
          <w:rFonts w:ascii="Arial" w:cs="Arial" w:eastAsia="Arial" w:hAnsi="Arial"/>
          <w:sz w:val="13"/>
          <w:szCs w:val="13"/>
          <w:color w:val="auto"/>
        </w:rPr>
        <w:t xml:space="preserve">The Notes will be our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current and future unsecured unsubordinated indebtedness issued by PennantPark Investment Corporation.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Investment Corporation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June 30, 2021, we had approximately $514.3 million of debt outstanding, of which approximately $236.3 million was unsecured and unsubordinated indebtedness, approximately $214.5 million was indebtedness secured by substantially all of our assets (excluding assets held by our consolidated subsidiary, PennantPark SBIC II LP, or SBIC II) and $63.5 million was indebtedness secured by all the investment portfolio assets of SBIC II. None of our current indebtedness will be subordinated to the Notes. Currently, there is no public market for the Notes. We do not intend to list the Notes on any securities exchange or automated dealer quotation system.</w:t>
      </w:r>
    </w:p>
    <w:p>
      <w:pPr>
        <w:spacing w:after="0" w:line="77" w:lineRule="exact"/>
        <w:rPr>
          <w:sz w:val="24"/>
          <w:szCs w:val="24"/>
          <w:color w:val="auto"/>
        </w:rPr>
      </w:pPr>
    </w:p>
    <w:p>
      <w:pPr>
        <w:ind w:left="120" w:right="60"/>
        <w:spacing w:after="0" w:line="227"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78" w:lineRule="exact"/>
        <w:rPr>
          <w:sz w:val="24"/>
          <w:szCs w:val="24"/>
          <w:color w:val="auto"/>
        </w:rPr>
      </w:pPr>
    </w:p>
    <w:p>
      <w:pPr>
        <w:ind w:left="120" w:right="40"/>
        <w:spacing w:after="0" w:line="247" w:lineRule="auto"/>
        <w:rPr>
          <w:sz w:val="20"/>
          <w:szCs w:val="20"/>
          <w:color w:val="auto"/>
        </w:rPr>
      </w:pPr>
      <w:r>
        <w:rPr>
          <w:rFonts w:ascii="Arial" w:cs="Arial" w:eastAsia="Arial" w:hAnsi="Arial"/>
          <w:sz w:val="13"/>
          <w:szCs w:val="13"/>
          <w:color w:val="auto"/>
        </w:rPr>
        <w:t>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w:t>
      </w:r>
      <w:r>
        <w:rPr>
          <w:rFonts w:ascii="Arial" w:cs="Arial" w:eastAsia="Arial" w:hAnsi="Arial"/>
          <w:sz w:val="11"/>
          <w:szCs w:val="11"/>
          <w:color w:val="auto"/>
        </w:rPr>
        <w:t>th</w:t>
      </w:r>
      <w:r>
        <w:rPr>
          <w:rFonts w:ascii="Arial" w:cs="Arial" w:eastAsia="Arial" w:hAnsi="Arial"/>
          <w:sz w:val="13"/>
          <w:szCs w:val="13"/>
          <w:color w:val="auto"/>
        </w:rPr>
        <w:t xml:space="preserve"> Floor, New York, NY 10022, by calling us collect at (212) 905-1000 or by visiting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such information free of charge.</w:t>
      </w:r>
    </w:p>
    <w:p>
      <w:pPr>
        <w:spacing w:after="0" w:line="67" w:lineRule="exact"/>
        <w:rPr>
          <w:sz w:val="24"/>
          <w:szCs w:val="24"/>
          <w:color w:val="auto"/>
        </w:rPr>
      </w:pPr>
    </w:p>
    <w:p>
      <w:pPr>
        <w:jc w:val="both"/>
        <w:ind w:left="120" w:right="1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a high degree of risk, including the risk of leverage. Before buying any of the Notes, you should read the discussion of the material risks of investing in us in “</w:t>
      </w:r>
      <w:hyperlink w:anchor="page14">
        <w:r>
          <w:rPr>
            <w:rFonts w:ascii="Arial" w:cs="Arial" w:eastAsia="Arial" w:hAnsi="Arial"/>
            <w:sz w:val="14"/>
            <w:szCs w:val="14"/>
            <w:b w:val="1"/>
            <w:bCs w:val="1"/>
            <w:i w:val="1"/>
            <w:iCs w:val="1"/>
            <w:u w:val="single" w:color="auto"/>
            <w:color w:val="0000EE"/>
          </w:rPr>
          <w:t>Risk Factors</w:t>
        </w:r>
      </w:hyperlink>
      <w:r>
        <w:rPr>
          <w:rFonts w:ascii="Arial" w:cs="Arial" w:eastAsia="Arial" w:hAnsi="Arial"/>
          <w:sz w:val="14"/>
          <w:szCs w:val="14"/>
          <w:b w:val="1"/>
          <w:bCs w:val="1"/>
          <w:color w:val="auto"/>
        </w:rPr>
        <w:t>” beginning on page S-12 of this prospectus supplement and page 7 of the accompanying prospectus, in our most recent Annual Report on Form 10-K, in any subsequent Quarterly Reports on Form 10-Q and in any of our other filings incorporated by reference herein.</w:t>
      </w:r>
    </w:p>
    <w:p>
      <w:pPr>
        <w:spacing w:after="0" w:line="71" w:lineRule="exact"/>
        <w:rPr>
          <w:sz w:val="24"/>
          <w:szCs w:val="24"/>
          <w:color w:val="auto"/>
        </w:rPr>
      </w:pPr>
    </w:p>
    <w:p>
      <w:pPr>
        <w:ind w:left="120" w:right="18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9" w:lineRule="exact"/>
        <w:rPr>
          <w:sz w:val="24"/>
          <w:szCs w:val="24"/>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72"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0"/>
              </w:rPr>
              <w:t>Per Note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96"/>
        </w:trPr>
        <w:tc>
          <w:tcPr>
            <w:tcW w:w="67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22"/>
                <w:szCs w:val="22"/>
                <w:color w:val="auto"/>
                <w:vertAlign w:val="superscript"/>
              </w:rPr>
              <w:t>(1)</w:t>
            </w: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4"/>
              </w:rPr>
              <w:t>%</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7240" w:type="dxa"/>
            <w:vAlign w:val="bottom"/>
            <w:gridSpan w:val="2"/>
          </w:tcPr>
          <w:p>
            <w:pPr>
              <w:spacing w:after="0"/>
              <w:rPr>
                <w:sz w:val="20"/>
                <w:szCs w:val="20"/>
                <w:color w:val="auto"/>
              </w:rPr>
            </w:pPr>
            <w:r>
              <w:rPr>
                <w:rFonts w:ascii="Arial" w:cs="Arial" w:eastAsia="Arial" w:hAnsi="Arial"/>
                <w:sz w:val="16"/>
                <w:szCs w:val="16"/>
                <w:color w:val="auto"/>
              </w:rPr>
              <w:t>Underwriting discount (sales load)</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w w:val="84"/>
              </w:rPr>
              <w:t>%</w:t>
            </w: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Proceeds, before expenses, to us</w:t>
            </w:r>
            <w:r>
              <w:rPr>
                <w:rFonts w:ascii="Arial" w:cs="Arial" w:eastAsia="Arial" w:hAnsi="Arial"/>
                <w:sz w:val="23"/>
                <w:szCs w:val="23"/>
                <w:color w:val="auto"/>
                <w:vertAlign w:val="superscript"/>
              </w:rPr>
              <w:t>(2)</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4"/>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jc w:val="right"/>
              <w:ind w:right="68"/>
              <w:spacing w:after="0"/>
              <w:rPr>
                <w:sz w:val="20"/>
                <w:szCs w:val="20"/>
                <w:color w:val="auto"/>
              </w:rPr>
            </w:pPr>
            <w:r>
              <w:rPr>
                <w:rFonts w:ascii="Arial" w:cs="Arial" w:eastAsia="Arial" w:hAnsi="Arial"/>
                <w:sz w:val="14"/>
                <w:szCs w:val="14"/>
                <w:color w:val="auto"/>
                <w:w w:val="81"/>
              </w:rPr>
              <w:t>(1)</w:t>
            </w:r>
          </w:p>
        </w:tc>
        <w:tc>
          <w:tcPr>
            <w:tcW w:w="10400" w:type="dxa"/>
            <w:vAlign w:val="bottom"/>
            <w:gridSpan w:val="2"/>
          </w:tcPr>
          <w:p>
            <w:pPr>
              <w:ind w:left="120"/>
              <w:spacing w:after="0"/>
              <w:rPr>
                <w:sz w:val="20"/>
                <w:szCs w:val="20"/>
                <w:color w:val="auto"/>
              </w:rPr>
            </w:pPr>
            <w:r>
              <w:rPr>
                <w:rFonts w:ascii="Arial" w:cs="Arial" w:eastAsia="Arial" w:hAnsi="Arial"/>
                <w:sz w:val="14"/>
                <w:szCs w:val="14"/>
                <w:color w:val="auto"/>
                <w:w w:val="93"/>
              </w:rPr>
              <w:t>The public offering price set forth above does not include accrued interest, if any. Interest on the Notes will accrue from October   , 2021 and must be paid by the purchaser if the</w:t>
            </w:r>
          </w:p>
        </w:tc>
      </w:tr>
      <w:tr>
        <w:trPr>
          <w:trHeight w:val="148"/>
        </w:trPr>
        <w:tc>
          <w:tcPr>
            <w:tcW w:w="30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Notes are delivered after October   , 2021.</w:t>
            </w:r>
          </w:p>
        </w:tc>
        <w:tc>
          <w:tcPr>
            <w:tcW w:w="4020" w:type="dxa"/>
            <w:vAlign w:val="bottom"/>
          </w:tcPr>
          <w:p>
            <w:pPr>
              <w:spacing w:after="0"/>
              <w:rPr>
                <w:sz w:val="12"/>
                <w:szCs w:val="12"/>
                <w:color w:val="auto"/>
              </w:rPr>
            </w:pPr>
          </w:p>
        </w:tc>
      </w:tr>
      <w:tr>
        <w:trPr>
          <w:trHeight w:val="182"/>
        </w:trPr>
        <w:tc>
          <w:tcPr>
            <w:tcW w:w="300" w:type="dxa"/>
            <w:vAlign w:val="bottom"/>
          </w:tcPr>
          <w:p>
            <w:pPr>
              <w:jc w:val="right"/>
              <w:ind w:right="68"/>
              <w:spacing w:after="0"/>
              <w:rPr>
                <w:sz w:val="20"/>
                <w:szCs w:val="20"/>
                <w:color w:val="auto"/>
              </w:rPr>
            </w:pPr>
            <w:r>
              <w:rPr>
                <w:rFonts w:ascii="Arial" w:cs="Arial" w:eastAsia="Arial" w:hAnsi="Arial"/>
                <w:sz w:val="14"/>
                <w:szCs w:val="14"/>
                <w:color w:val="auto"/>
                <w:w w:val="81"/>
              </w:rPr>
              <w:t>(2)</w:t>
            </w:r>
          </w:p>
        </w:tc>
        <w:tc>
          <w:tcPr>
            <w:tcW w:w="6380" w:type="dxa"/>
            <w:vAlign w:val="bottom"/>
          </w:tcPr>
          <w:p>
            <w:pPr>
              <w:ind w:left="120"/>
              <w:spacing w:after="0"/>
              <w:rPr>
                <w:sz w:val="20"/>
                <w:szCs w:val="20"/>
                <w:color w:val="auto"/>
              </w:rPr>
            </w:pPr>
            <w:r>
              <w:rPr>
                <w:rFonts w:ascii="Arial" w:cs="Arial" w:eastAsia="Arial" w:hAnsi="Arial"/>
                <w:sz w:val="14"/>
                <w:szCs w:val="14"/>
                <w:color w:val="auto"/>
                <w:w w:val="97"/>
              </w:rPr>
              <w:t>Total expenses of the offering payable by us, excluding the underwriting discount, are estimated to be $</w:t>
            </w:r>
          </w:p>
        </w:tc>
        <w:tc>
          <w:tcPr>
            <w:tcW w:w="4020" w:type="dxa"/>
            <w:vAlign w:val="bottom"/>
          </w:tcPr>
          <w:p>
            <w:pPr>
              <w:ind w:left="320"/>
              <w:spacing w:after="0"/>
              <w:rPr>
                <w:sz w:val="20"/>
                <w:szCs w:val="20"/>
                <w:color w:val="auto"/>
              </w:rPr>
            </w:pPr>
            <w:r>
              <w:rPr>
                <w:rFonts w:ascii="Arial" w:cs="Arial" w:eastAsia="Arial" w:hAnsi="Arial"/>
                <w:sz w:val="14"/>
                <w:szCs w:val="14"/>
                <w:color w:val="auto"/>
              </w:rPr>
              <w:t>. See “</w:t>
            </w:r>
            <w:r>
              <w:rPr>
                <w:rFonts w:ascii="Arial" w:cs="Arial" w:eastAsia="Arial" w:hAnsi="Arial"/>
                <w:sz w:val="14"/>
                <w:szCs w:val="14"/>
                <w:i w:val="1"/>
                <w:iCs w:val="1"/>
                <w:color w:val="auto"/>
              </w:rPr>
              <w:t>Underwriting</w:t>
            </w:r>
            <w:r>
              <w:rPr>
                <w:rFonts w:ascii="Arial" w:cs="Arial" w:eastAsia="Arial" w:hAnsi="Arial"/>
                <w:sz w:val="14"/>
                <w:szCs w:val="14"/>
                <w:color w:val="auto"/>
              </w:rPr>
              <w:t>” in this prospectus supplement.</w:t>
            </w:r>
          </w:p>
        </w:tc>
      </w:tr>
    </w:tbl>
    <w:p>
      <w:pPr>
        <w:spacing w:after="0" w:line="74" w:lineRule="exact"/>
        <w:rPr>
          <w:sz w:val="24"/>
          <w:szCs w:val="24"/>
          <w:color w:val="auto"/>
        </w:rPr>
      </w:pPr>
    </w:p>
    <w:p>
      <w:pPr>
        <w:ind w:left="120"/>
        <w:spacing w:after="0"/>
        <w:tabs>
          <w:tab w:leader="none" w:pos="7540" w:val="left"/>
        </w:tabs>
        <w:rPr>
          <w:sz w:val="20"/>
          <w:szCs w:val="20"/>
          <w:color w:val="auto"/>
        </w:rPr>
      </w:pPr>
      <w:r>
        <w:rPr>
          <w:rFonts w:ascii="Arial" w:cs="Arial" w:eastAsia="Arial" w:hAnsi="Arial"/>
          <w:sz w:val="14"/>
          <w:szCs w:val="14"/>
          <w:color w:val="auto"/>
        </w:rPr>
        <w:t>Delivery of the Notes in book-entry form through The Depository Trust Company, or DTC, will be made on or about October</w:t>
      </w:r>
      <w:r>
        <w:rPr>
          <w:sz w:val="20"/>
          <w:szCs w:val="20"/>
          <w:color w:val="auto"/>
        </w:rPr>
        <w:tab/>
      </w:r>
      <w:r>
        <w:rPr>
          <w:rFonts w:ascii="Arial" w:cs="Arial" w:eastAsia="Arial" w:hAnsi="Arial"/>
          <w:sz w:val="13"/>
          <w:szCs w:val="13"/>
          <w:color w:val="auto"/>
        </w:rPr>
        <w:t>, 2021.</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136" w:lineRule="exact"/>
        <w:rPr>
          <w:sz w:val="24"/>
          <w:szCs w:val="24"/>
          <w:color w:val="auto"/>
        </w:rPr>
      </w:pPr>
    </w:p>
    <w:p>
      <w:pPr>
        <w:ind w:left="820"/>
        <w:spacing w:after="0"/>
        <w:tabs>
          <w:tab w:leader="none" w:pos="3260" w:val="left"/>
          <w:tab w:leader="none" w:pos="6420" w:val="left"/>
          <w:tab w:leader="none" w:pos="9380" w:val="left"/>
        </w:tabs>
        <w:rPr>
          <w:sz w:val="20"/>
          <w:szCs w:val="20"/>
          <w:color w:val="auto"/>
        </w:rPr>
      </w:pPr>
      <w:r>
        <w:rPr>
          <w:rFonts w:ascii="Arial" w:cs="Arial" w:eastAsia="Arial" w:hAnsi="Arial"/>
          <w:sz w:val="16"/>
          <w:szCs w:val="16"/>
          <w:b w:val="1"/>
          <w:bCs w:val="1"/>
          <w:color w:val="auto"/>
        </w:rPr>
        <w:t>Raymond James</w:t>
      </w:r>
      <w:r>
        <w:rPr>
          <w:sz w:val="20"/>
          <w:szCs w:val="20"/>
          <w:color w:val="auto"/>
        </w:rPr>
        <w:tab/>
      </w:r>
      <w:r>
        <w:rPr>
          <w:rFonts w:ascii="Arial" w:cs="Arial" w:eastAsia="Arial" w:hAnsi="Arial"/>
          <w:sz w:val="16"/>
          <w:szCs w:val="16"/>
          <w:b w:val="1"/>
          <w:bCs w:val="1"/>
          <w:color w:val="auto"/>
        </w:rPr>
        <w:t>Keefe, Bruyette &amp; Woods</w:t>
      </w:r>
      <w:r>
        <w:rPr>
          <w:sz w:val="20"/>
          <w:szCs w:val="20"/>
          <w:color w:val="auto"/>
        </w:rPr>
        <w:tab/>
      </w:r>
      <w:r>
        <w:rPr>
          <w:rFonts w:ascii="Arial" w:cs="Arial" w:eastAsia="Arial" w:hAnsi="Arial"/>
          <w:sz w:val="16"/>
          <w:szCs w:val="16"/>
          <w:b w:val="1"/>
          <w:bCs w:val="1"/>
          <w:color w:val="auto"/>
        </w:rPr>
        <w:t>Truist Securities</w:t>
      </w:r>
      <w:r>
        <w:rPr>
          <w:sz w:val="20"/>
          <w:szCs w:val="20"/>
          <w:color w:val="auto"/>
        </w:rPr>
        <w:tab/>
      </w:r>
      <w:r>
        <w:rPr>
          <w:rFonts w:ascii="Arial" w:cs="Arial" w:eastAsia="Arial" w:hAnsi="Arial"/>
          <w:sz w:val="14"/>
          <w:szCs w:val="14"/>
          <w:b w:val="1"/>
          <w:bCs w:val="1"/>
          <w:color w:val="auto"/>
        </w:rPr>
        <w:t>J.P. Morgan</w:t>
      </w:r>
    </w:p>
    <w:p>
      <w:pPr>
        <w:spacing w:after="0" w:line="26" w:lineRule="exact"/>
        <w:rPr>
          <w:sz w:val="24"/>
          <w:szCs w:val="24"/>
          <w:color w:val="auto"/>
        </w:rPr>
      </w:pPr>
    </w:p>
    <w:p>
      <w:pPr>
        <w:ind w:left="3900"/>
        <w:spacing w:after="0"/>
        <w:rPr>
          <w:sz w:val="20"/>
          <w:szCs w:val="20"/>
          <w:color w:val="auto"/>
        </w:rPr>
      </w:pPr>
      <w:r>
        <w:rPr>
          <w:rFonts w:ascii="Arial" w:cs="Arial" w:eastAsia="Arial" w:hAnsi="Arial"/>
          <w:sz w:val="16"/>
          <w:szCs w:val="16"/>
          <w:i w:val="1"/>
          <w:iCs w:val="1"/>
          <w:color w:val="auto"/>
        </w:rPr>
        <w:t>A Stifel Company</w:t>
      </w:r>
    </w:p>
    <w:p>
      <w:pPr>
        <w:sectPr>
          <w:pgSz w:w="11900" w:h="16838" w:orient="portrait"/>
          <w:cols w:equalWidth="0" w:num="1">
            <w:col w:w="11140"/>
          </w:cols>
          <w:pgMar w:left="320" w:top="230" w:right="439" w:bottom="1440" w:gutter="0" w:footer="0" w:header="0"/>
        </w:sectPr>
      </w:pPr>
    </w:p>
    <w:p>
      <w:pPr>
        <w:spacing w:after="0" w:line="245" w:lineRule="exact"/>
        <w:rPr>
          <w:sz w:val="24"/>
          <w:szCs w:val="24"/>
          <w:color w:val="auto"/>
        </w:rPr>
      </w:pPr>
    </w:p>
    <w:p>
      <w:pPr>
        <w:jc w:val="center"/>
        <w:ind w:right="-99"/>
        <w:spacing w:after="0"/>
        <w:tabs>
          <w:tab w:leader="none" w:pos="160" w:val="left"/>
        </w:tabs>
        <w:rPr>
          <w:sz w:val="20"/>
          <w:szCs w:val="20"/>
          <w:color w:val="auto"/>
        </w:rPr>
      </w:pPr>
      <w:r>
        <w:rPr>
          <w:rFonts w:ascii="Arial" w:cs="Arial" w:eastAsia="Arial" w:hAnsi="Arial"/>
          <w:sz w:val="14"/>
          <w:szCs w:val="14"/>
          <w:b w:val="1"/>
          <w:bCs w:val="1"/>
          <w:color w:val="auto"/>
        </w:rPr>
        <w:t>The date of this prospectus supplement is October</w:t>
      </w:r>
      <w:r>
        <w:rPr>
          <w:sz w:val="20"/>
          <w:szCs w:val="20"/>
          <w:color w:val="auto"/>
        </w:rPr>
        <w:tab/>
      </w:r>
      <w:r>
        <w:rPr>
          <w:rFonts w:ascii="Arial" w:cs="Arial" w:eastAsia="Arial" w:hAnsi="Arial"/>
          <w:sz w:val="12"/>
          <w:szCs w:val="12"/>
          <w:b w:val="1"/>
          <w:bCs w:val="1"/>
          <w:color w:val="auto"/>
        </w:rPr>
        <w:t>, 2021.</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060" w:type="dxa"/>
            <w:vAlign w:val="bottom"/>
            <w:gridSpan w:val="3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8"/>
              </w:rPr>
              <w:t>TABLE OF CONTENTS</w:t>
            </w:r>
          </w:p>
        </w:tc>
        <w:tc>
          <w:tcPr>
            <w:tcW w:w="40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7"/>
          </w:tcPr>
          <w:p>
            <w:pPr>
              <w:jc w:val="center"/>
              <w:ind w:left="110"/>
              <w:spacing w:after="0"/>
              <w:rPr>
                <w:sz w:val="20"/>
                <w:szCs w:val="20"/>
                <w:color w:val="auto"/>
              </w:rPr>
            </w:pPr>
            <w:r>
              <w:rPr>
                <w:rFonts w:ascii="Arial" w:cs="Arial" w:eastAsia="Arial" w:hAnsi="Arial"/>
                <w:sz w:val="18"/>
                <w:szCs w:val="18"/>
                <w:b w:val="1"/>
                <w:bCs w:val="1"/>
                <w:color w:val="auto"/>
                <w:w w:val="97"/>
              </w:rPr>
              <w:t>PROSPECTUS SUPPLEMENT</w:t>
            </w:r>
          </w:p>
        </w:tc>
        <w:tc>
          <w:tcPr>
            <w:tcW w:w="40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3500" w:type="dxa"/>
            <w:vAlign w:val="bottom"/>
            <w:gridSpan w:val="9"/>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THE OFFERING</w:t>
              </w:r>
            </w:hyperlink>
          </w:p>
        </w:tc>
        <w:tc>
          <w:tcPr>
            <w:tcW w:w="5660" w:type="dxa"/>
            <w:vAlign w:val="bottom"/>
            <w:gridSpan w:val="2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FORWARD-LOOKING STATEMENTS</w:t>
              </w:r>
            </w:hyperlink>
          </w:p>
        </w:tc>
        <w:tc>
          <w:tcPr>
            <w:tcW w:w="3660" w:type="dxa"/>
            <w:vAlign w:val="bottom"/>
            <w:gridSpan w:val="11"/>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02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USE OF PROCEEDS</w:t>
              </w:r>
            </w:hyperlink>
          </w:p>
        </w:tc>
        <w:tc>
          <w:tcPr>
            <w:tcW w:w="5360" w:type="dxa"/>
            <w:vAlign w:val="bottom"/>
            <w:gridSpan w:val="2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SENIOR SECURITIES</w:t>
              </w:r>
            </w:hyperlink>
          </w:p>
        </w:tc>
        <w:tc>
          <w:tcPr>
            <w:tcW w:w="5220" w:type="dxa"/>
            <w:vAlign w:val="bottom"/>
            <w:gridSpan w:val="2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CAPITALIZATION</w:t>
              </w:r>
            </w:hyperlink>
          </w:p>
        </w:tc>
        <w:tc>
          <w:tcPr>
            <w:tcW w:w="5460" w:type="dxa"/>
            <w:vAlign w:val="bottom"/>
            <w:gridSpan w:val="2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DESCRIPTION OF THE NOTES</w:t>
              </w:r>
            </w:hyperlink>
          </w:p>
        </w:tc>
        <w:tc>
          <w:tcPr>
            <w:tcW w:w="4480" w:type="dxa"/>
            <w:vAlign w:val="bottom"/>
            <w:gridSpan w:val="1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U.S. FEDERAL INCOME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S-36</w:t>
            </w:r>
          </w:p>
        </w:tc>
      </w:tr>
      <w:tr>
        <w:trPr>
          <w:trHeight w:val="196"/>
        </w:trPr>
        <w:tc>
          <w:tcPr>
            <w:tcW w:w="120" w:type="dxa"/>
            <w:vAlign w:val="bottom"/>
          </w:tcPr>
          <w:p>
            <w:pPr>
              <w:spacing w:after="0"/>
              <w:rPr>
                <w:sz w:val="17"/>
                <w:szCs w:val="17"/>
                <w:color w:val="auto"/>
              </w:rPr>
            </w:pPr>
          </w:p>
        </w:tc>
        <w:tc>
          <w:tcPr>
            <w:tcW w:w="4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UNDERWRITING</w:t>
              </w:r>
            </w:hyperlink>
          </w:p>
        </w:tc>
        <w:tc>
          <w:tcPr>
            <w:tcW w:w="2240" w:type="dxa"/>
            <w:vAlign w:val="bottom"/>
            <w:gridSpan w:val="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S-40</w:t>
            </w:r>
          </w:p>
        </w:tc>
      </w:tr>
      <w:tr>
        <w:trPr>
          <w:trHeight w:val="20"/>
        </w:trPr>
        <w:tc>
          <w:tcPr>
            <w:tcW w:w="120" w:type="dxa"/>
            <w:vAlign w:val="bottom"/>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LEGAL MATTERS</w:t>
              </w:r>
            </w:hyperlink>
          </w:p>
        </w:tc>
        <w:tc>
          <w:tcPr>
            <w:tcW w:w="5480" w:type="dxa"/>
            <w:vAlign w:val="bottom"/>
            <w:gridSpan w:val="2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S-47</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INDEPENDENT REGISTERED PUBLIC ACCOUNTING FIRM</w:t>
              </w:r>
            </w:hyperlink>
          </w:p>
        </w:tc>
        <w:tc>
          <w:tcPr>
            <w:tcW w:w="2140" w:type="dxa"/>
            <w:vAlign w:val="bottom"/>
            <w:gridSpan w:val="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S-47</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INCORPORATION BY REFERENCE</w:t>
              </w:r>
            </w:hyperlink>
          </w:p>
        </w:tc>
        <w:tc>
          <w:tcPr>
            <w:tcW w:w="410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S-47</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S-48</w:t>
            </w:r>
          </w:p>
        </w:tc>
      </w:tr>
      <w:tr>
        <w:trPr>
          <w:trHeight w:val="668"/>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6"/>
              </w:rPr>
              <w:t>PROSPECTUS</w:t>
            </w:r>
          </w:p>
        </w:tc>
        <w:tc>
          <w:tcPr>
            <w:tcW w:w="40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PROSPECTUS SUMMARY</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FEES AND EXPENSES</w:t>
              </w:r>
            </w:hyperlink>
          </w:p>
        </w:tc>
        <w:tc>
          <w:tcPr>
            <w:tcW w:w="4860" w:type="dxa"/>
            <w:vAlign w:val="bottom"/>
            <w:gridSpan w:val="21"/>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5160" w:type="dxa"/>
            <w:vAlign w:val="bottom"/>
            <w:gridSpan w:val="2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FORWARD-LOOKING STATEMENTS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2"/>
          </w:tcPr>
          <w:p>
            <w:pPr>
              <w:spacing w:after="0"/>
              <w:rPr>
                <w:sz w:val="17"/>
                <w:szCs w:val="17"/>
                <w:color w:val="auto"/>
              </w:rPr>
            </w:pPr>
          </w:p>
        </w:tc>
        <w:tc>
          <w:tcPr>
            <w:tcW w:w="402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SENIOR SECURITIES</w:t>
              </w:r>
            </w:hyperlink>
          </w:p>
        </w:tc>
        <w:tc>
          <w:tcPr>
            <w:tcW w:w="5220" w:type="dxa"/>
            <w:vAlign w:val="bottom"/>
            <w:gridSpan w:val="2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PRICE RANGE OF COMMON STOCK</w:t>
              </w:r>
            </w:hyperlink>
          </w:p>
        </w:tc>
        <w:tc>
          <w:tcPr>
            <w:tcW w:w="3980" w:type="dxa"/>
            <w:vAlign w:val="bottom"/>
            <w:gridSpan w:val="1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SALES OF COMMON STOCK BELOW NET ASSET VALUE</w:t>
              </w:r>
            </w:hyperlink>
          </w:p>
        </w:tc>
        <w:tc>
          <w:tcPr>
            <w:tcW w:w="2300" w:type="dxa"/>
            <w:vAlign w:val="bottom"/>
            <w:gridSpan w:val="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DISTRIBUTIONS</w:t>
              </w:r>
            </w:hyperlink>
          </w:p>
        </w:tc>
        <w:tc>
          <w:tcPr>
            <w:tcW w:w="5560" w:type="dxa"/>
            <w:vAlign w:val="bottom"/>
            <w:gridSpan w:val="28"/>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PORTFOLIO COMPANIES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PORTFOLIO MANAGEMENT</w:t>
              </w:r>
            </w:hyperlink>
          </w:p>
        </w:tc>
        <w:tc>
          <w:tcPr>
            <w:tcW w:w="4620" w:type="dxa"/>
            <w:vAlign w:val="bottom"/>
            <w:gridSpan w:val="1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DETERMINATION OF NET ASSET VALUE</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DIVIDEND REINVESTMENT PLAN</w:t>
              </w:r>
            </w:hyperlink>
          </w:p>
        </w:tc>
        <w:tc>
          <w:tcPr>
            <w:tcW w:w="540" w:type="dxa"/>
            <w:vAlign w:val="bottom"/>
            <w:tcBorders>
              <w:top w:val="single" w:sz="8" w:color="0000EE"/>
            </w:tcBorders>
            <w:gridSpan w:val="6"/>
          </w:tcPr>
          <w:p>
            <w:pPr>
              <w:spacing w:after="0"/>
              <w:rPr>
                <w:sz w:val="17"/>
                <w:szCs w:val="17"/>
                <w:color w:val="auto"/>
              </w:rPr>
            </w:pPr>
          </w:p>
        </w:tc>
        <w:tc>
          <w:tcPr>
            <w:tcW w:w="3580" w:type="dxa"/>
            <w:vAlign w:val="bottom"/>
            <w:gridSpan w:val="10"/>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OUR CAPITAL STOCK</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OUR PREFERRED STOCK</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35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OUR WARRANTS</w:t>
              </w:r>
            </w:hyperlink>
          </w:p>
        </w:tc>
        <w:tc>
          <w:tcPr>
            <w:tcW w:w="3380" w:type="dxa"/>
            <w:vAlign w:val="bottom"/>
            <w:gridSpan w:val="8"/>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SUBSCRIPTION RIGHTS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DEBT SECURITIES</w:t>
              </w:r>
            </w:hyperlink>
          </w:p>
        </w:tc>
        <w:tc>
          <w:tcPr>
            <w:tcW w:w="3060" w:type="dxa"/>
            <w:vAlign w:val="bottom"/>
            <w:gridSpan w:val="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DESCRIPTION OF OUR UNITS</w:t>
              </w:r>
            </w:hyperlink>
          </w:p>
        </w:tc>
        <w:tc>
          <w:tcPr>
            <w:tcW w:w="3500" w:type="dxa"/>
            <w:vAlign w:val="bottom"/>
            <w:gridSpan w:val="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8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BROKERAGE ALLOCATIONS AND OTHER PRACTICES</w:t>
              </w:r>
            </w:hyperlink>
          </w:p>
        </w:tc>
        <w:tc>
          <w:tcPr>
            <w:tcW w:w="2460" w:type="dxa"/>
            <w:vAlign w:val="bottom"/>
            <w:gridSpan w:val="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MATERIAL U.S. FEDERAL INCOME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20" w:type="dxa"/>
            <w:vAlign w:val="bottom"/>
          </w:tcPr>
          <w:p>
            <w:pPr>
              <w:spacing w:after="0"/>
              <w:rPr>
                <w:sz w:val="17"/>
                <w:szCs w:val="17"/>
                <w:color w:val="auto"/>
              </w:rPr>
            </w:pPr>
          </w:p>
        </w:tc>
        <w:tc>
          <w:tcPr>
            <w:tcW w:w="48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PLAN OF DISTRIBUTION</w:t>
              </w:r>
            </w:hyperlink>
          </w:p>
        </w:tc>
        <w:tc>
          <w:tcPr>
            <w:tcW w:w="2080" w:type="dxa"/>
            <w:vAlign w:val="bottom"/>
            <w:gridSpan w:val="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80" w:type="dxa"/>
            <w:vAlign w:val="bottom"/>
            <w:gridSpan w:val="1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SUB-ADMINISTRATOR, CUSTODIAN, TRANSFER AGENT AND TRUSTEE</w:t>
              </w:r>
            </w:hyperlink>
          </w:p>
        </w:tc>
        <w:tc>
          <w:tcPr>
            <w:tcW w:w="1000" w:type="dxa"/>
            <w:vAlign w:val="bottom"/>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LEGAL MATTERS</w:t>
              </w:r>
            </w:hyperlink>
          </w:p>
        </w:tc>
        <w:tc>
          <w:tcPr>
            <w:tcW w:w="5480" w:type="dxa"/>
            <w:vAlign w:val="bottom"/>
            <w:gridSpan w:val="2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94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INDEPENDENT REGISTERED PUBLIC ACCOUNTING FIRM/INDEPENDENT AUDITOR</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INCORPORATION BY REFERENCE</w:t>
              </w:r>
            </w:hyperlink>
          </w:p>
        </w:tc>
        <w:tc>
          <w:tcPr>
            <w:tcW w:w="410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AVAILABLE INFORMATION</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will control. Generally, when we refer to this “prospectus”, we are referring to both this prospectus supplement and the accompanying prospectus combined, together with any free writing prospectus that we have authorized for use in connection with this offering and any documents incorporated by reference. Please carefully read this prospectus supplement and the accompanying prospectus together with any free writing prospectus that we have authorized for use in connection with this offering and any documents incorporated by reference before you make an investment decision.</w:t>
      </w:r>
    </w:p>
    <w:p>
      <w:pPr>
        <w:spacing w:after="0" w:line="178"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IS ACCURATE ONLY AS OF THEIR RESPECTIVE DATES,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This section outlines the specific legal and financial terms of the Notes. You should read this section together with the more general description of the Notes under the heading “</w:t>
      </w:r>
      <w:r>
        <w:rPr>
          <w:rFonts w:ascii="Arial" w:cs="Arial" w:eastAsia="Arial" w:hAnsi="Arial"/>
          <w:sz w:val="16"/>
          <w:szCs w:val="16"/>
          <w:i w:val="1"/>
          <w:iCs w:val="1"/>
          <w:color w:val="auto"/>
        </w:rPr>
        <w:t>Description of the Notes</w:t>
      </w:r>
      <w:r>
        <w:rPr>
          <w:rFonts w:ascii="Arial" w:cs="Arial" w:eastAsia="Arial" w:hAnsi="Arial"/>
          <w:sz w:val="16"/>
          <w:szCs w:val="16"/>
          <w:color w:val="auto"/>
        </w:rPr>
        <w:t>” in this prospectus supplement and under the heading “</w:t>
      </w:r>
      <w:r>
        <w:rPr>
          <w:rFonts w:ascii="Arial" w:cs="Arial" w:eastAsia="Arial" w:hAnsi="Arial"/>
          <w:sz w:val="16"/>
          <w:szCs w:val="16"/>
          <w:i w:val="1"/>
          <w:iCs w:val="1"/>
          <w:color w:val="auto"/>
        </w:rPr>
        <w:t>Description of Our Debt</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in the accompanying prospectus before investing in the Notes. Capitalized terms used in this prospectus supplement and not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will have the meanings ascribed to them in the accompanying prospectus or in the indenture governing the Notes.</w:t>
      </w:r>
    </w:p>
    <w:p>
      <w:pPr>
        <w:sectPr>
          <w:pgSz w:w="11900" w:h="16838" w:orient="portrait"/>
          <w:cols w:equalWidth="0" w:num="1">
            <w:col w:w="11120"/>
          </w:cols>
          <w:pgMar w:left="320" w:top="459" w:right="459" w:bottom="1440" w:gutter="0" w:footer="0" w:header="0"/>
        </w:sectPr>
      </w:pPr>
    </w:p>
    <w:p>
      <w:pPr>
        <w:spacing w:after="0" w:line="18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160"/>
        <w:spacing w:after="0"/>
        <w:rPr>
          <w:sz w:val="20"/>
          <w:szCs w:val="20"/>
          <w:color w:val="auto"/>
        </w:rPr>
      </w:pPr>
      <w:r>
        <w:rPr>
          <w:rFonts w:ascii="Arial" w:cs="Arial" w:eastAsia="Arial" w:hAnsi="Arial"/>
          <w:sz w:val="16"/>
          <w:szCs w:val="16"/>
          <w:color w:val="auto"/>
        </w:rPr>
        <w:t>PennantPark Investment Corporation</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Notes due</w:t>
      </w:r>
    </w:p>
    <w:p>
      <w:pPr>
        <w:spacing w:after="0" w:line="200" w:lineRule="exact"/>
        <w:rPr>
          <w:sz w:val="20"/>
          <w:szCs w:val="20"/>
          <w:color w:val="auto"/>
        </w:rPr>
      </w:pPr>
    </w:p>
    <w:p>
      <w:pPr>
        <w:sectPr>
          <w:pgSz w:w="11900" w:h="16838" w:orient="portrait"/>
          <w:cols w:equalWidth="0" w:num="2">
            <w:col w:w="3760" w:space="720"/>
            <w:col w:w="664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Initial aggregate principal amount being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Issue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of the aggregate principal amount</w:t>
      </w:r>
    </w:p>
    <w:p>
      <w:pPr>
        <w:spacing w:after="0" w:line="200" w:lineRule="exact"/>
        <w:rPr>
          <w:sz w:val="20"/>
          <w:szCs w:val="20"/>
          <w:color w:val="auto"/>
        </w:rPr>
      </w:pPr>
    </w:p>
    <w:p>
      <w:pPr>
        <w:sectPr>
          <w:pgSz w:w="11900" w:h="16838" w:orient="portrait"/>
          <w:cols w:equalWidth="0" w:num="2">
            <w:col w:w="3760" w:space="720"/>
            <w:col w:w="664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Principal payable at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100% of the aggregate principal amount; the principal amount of each Note will be payable on its stated maturity date at the office of the paying agent, registrar and transfer agent for the Notes or at such other office in New York City as we may designate.</w:t>
      </w:r>
    </w:p>
    <w:p>
      <w:pPr>
        <w:spacing w:after="0" w:line="192"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Type of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Fixed-rate note</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established trading market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do not intend to list the Notes on any securities exchange or automated dealer quotation system. Although the underwriters have informed us that they intend to make a market in the Notes, they are not obligated to do so, and may discontinue any such market at any time without notice. Accordingly, we cannot assure you that a liquid market for the Notes will develop or be maintained.</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per year</w:t>
      </w:r>
    </w:p>
    <w:p>
      <w:pPr>
        <w:spacing w:after="0" w:line="200" w:lineRule="exact"/>
        <w:rPr>
          <w:sz w:val="20"/>
          <w:szCs w:val="20"/>
          <w:color w:val="auto"/>
        </w:rPr>
      </w:pPr>
    </w:p>
    <w:p>
      <w:pPr>
        <w:sectPr>
          <w:pgSz w:w="11900" w:h="16838" w:orient="portrait"/>
          <w:cols w:equalWidth="0" w:num="2">
            <w:col w:w="3760" w:space="720"/>
            <w:col w:w="664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760" w:space="720"/>
            <w:col w:w="6640"/>
          </w:cols>
          <w:pgMar w:left="320" w:top="459"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Day count basis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360-day year of twelve 30-day months</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00" w:lineRule="exact"/>
        <w:rPr>
          <w:sz w:val="20"/>
          <w:szCs w:val="20"/>
          <w:color w:val="auto"/>
        </w:rPr>
      </w:pPr>
    </w:p>
    <w:p>
      <w:pPr>
        <w:sectPr>
          <w:pgSz w:w="11900" w:h="16838" w:orient="portrait"/>
          <w:cols w:equalWidth="0" w:num="2">
            <w:col w:w="4480" w:space="720"/>
            <w:col w:w="59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Stated maturity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2">
            <w:col w:w="4480" w:space="720"/>
            <w:col w:w="59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interest starts accruing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00" w:lineRule="exact"/>
        <w:rPr>
          <w:sz w:val="20"/>
          <w:szCs w:val="20"/>
          <w:color w:val="auto"/>
        </w:rPr>
      </w:pPr>
    </w:p>
    <w:p>
      <w:pPr>
        <w:sectPr>
          <w:pgSz w:w="11900" w:h="16838" w:orient="portrait"/>
          <w:cols w:equalWidth="0" w:num="2">
            <w:col w:w="4480" w:space="720"/>
            <w:col w:w="59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tabs>
          <w:tab w:leader="none" w:pos="3720" w:val="left"/>
          <w:tab w:leader="none" w:pos="4840" w:val="left"/>
        </w:tabs>
        <w:rPr>
          <w:sz w:val="20"/>
          <w:szCs w:val="20"/>
          <w:color w:val="auto"/>
        </w:rPr>
      </w:pPr>
      <w:r>
        <w:rPr>
          <w:rFonts w:ascii="Arial" w:cs="Arial" w:eastAsia="Arial" w:hAnsi="Arial"/>
          <w:sz w:val="18"/>
          <w:szCs w:val="18"/>
          <w:color w:val="auto"/>
        </w:rPr>
        <w:t>Payable semi-annually in arrears every</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commencing</w:t>
      </w:r>
    </w:p>
    <w:p>
      <w:pPr>
        <w:spacing w:after="0" w:line="23"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ind w:left="4300" w:right="220" w:firstLine="901"/>
        <w:spacing w:after="0" w:line="255" w:lineRule="auto"/>
        <w:tabs>
          <w:tab w:leader="none" w:pos="529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2022. If an interest payment date is a non-business day, the applicable interest payment will be made on the next business day, and no additional interest will accrue as a result of such delayed payment.</w:t>
      </w:r>
    </w:p>
    <w:p>
      <w:pPr>
        <w:sectPr>
          <w:pgSz w:w="11900" w:h="16838" w:orient="portrait"/>
          <w:cols w:equalWidth="0" w:num="1">
            <w:col w:w="11120"/>
          </w:cols>
          <w:pgMar w:left="320" w:top="459" w:right="459" w:bottom="1440" w:gutter="0" w:footer="0" w:header="0"/>
          <w:type w:val="continuous"/>
        </w:sect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periods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initial interest period will be the period from and including including, the initial interest payment date,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2021, to, but not</w:t>
      </w:r>
    </w:p>
    <w:p>
      <w:pPr>
        <w:spacing w:after="0" w:line="396" w:lineRule="exact"/>
        <w:rPr>
          <w:sz w:val="20"/>
          <w:szCs w:val="20"/>
          <w:color w:val="auto"/>
        </w:rPr>
      </w:pPr>
    </w:p>
    <w:p>
      <w:pPr>
        <w:sectPr>
          <w:pgSz w:w="11900" w:h="16838" w:orient="portrait"/>
          <w:cols w:equalWidth="0" w:num="3">
            <w:col w:w="3580" w:space="720"/>
            <w:col w:w="4600" w:space="720"/>
            <w:col w:w="150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120"/>
          </w:cols>
          <w:pgMar w:left="320" w:top="459" w:right="4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7720" w:type="dxa"/>
            <w:vAlign w:val="bottom"/>
            <w:gridSpan w:val="4"/>
          </w:tcPr>
          <w:p>
            <w:pPr>
              <w:ind w:left="940"/>
              <w:spacing w:after="0"/>
              <w:rPr>
                <w:sz w:val="20"/>
                <w:szCs w:val="20"/>
                <w:color w:val="auto"/>
              </w:rPr>
            </w:pPr>
            <w:r>
              <w:rPr>
                <w:rFonts w:ascii="Arial" w:cs="Arial" w:eastAsia="Arial" w:hAnsi="Arial"/>
                <w:sz w:val="18"/>
                <w:szCs w:val="18"/>
                <w:color w:val="auto"/>
                <w:w w:val="90"/>
              </w:rPr>
              <w:t>and the subsequent interest periods will be the periods from and including an interest payment</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20" w:type="dxa"/>
            <w:vAlign w:val="bottom"/>
            <w:gridSpan w:val="4"/>
          </w:tcPr>
          <w:p>
            <w:pPr>
              <w:ind w:left="940"/>
              <w:spacing w:after="0"/>
              <w:rPr>
                <w:sz w:val="20"/>
                <w:szCs w:val="20"/>
                <w:color w:val="auto"/>
              </w:rPr>
            </w:pPr>
            <w:r>
              <w:rPr>
                <w:rFonts w:ascii="Arial" w:cs="Arial" w:eastAsia="Arial" w:hAnsi="Arial"/>
                <w:sz w:val="18"/>
                <w:szCs w:val="18"/>
                <w:color w:val="auto"/>
                <w:w w:val="93"/>
              </w:rPr>
              <w:t>date to, but not including, the next interest payment date or the stated maturity date, as the</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40" w:type="dxa"/>
            <w:vAlign w:val="bottom"/>
          </w:tcPr>
          <w:p>
            <w:pPr>
              <w:ind w:left="940"/>
              <w:spacing w:after="0"/>
              <w:rPr>
                <w:sz w:val="20"/>
                <w:szCs w:val="20"/>
                <w:color w:val="auto"/>
              </w:rPr>
            </w:pPr>
            <w:r>
              <w:rPr>
                <w:rFonts w:ascii="Arial" w:cs="Arial" w:eastAsia="Arial" w:hAnsi="Arial"/>
                <w:sz w:val="18"/>
                <w:szCs w:val="18"/>
                <w:color w:val="auto"/>
              </w:rPr>
              <w:t>case may be.</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58"/>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Regular record dates for interest</w:t>
            </w:r>
          </w:p>
        </w:tc>
        <w:tc>
          <w:tcPr>
            <w:tcW w:w="2140" w:type="dxa"/>
            <w:vAlign w:val="bottom"/>
          </w:tcPr>
          <w:p>
            <w:pPr>
              <w:ind w:left="940"/>
              <w:spacing w:after="0"/>
              <w:rPr>
                <w:sz w:val="20"/>
                <w:szCs w:val="20"/>
                <w:color w:val="auto"/>
              </w:rPr>
            </w:pPr>
            <w:r>
              <w:rPr>
                <w:rFonts w:ascii="Arial" w:cs="Arial" w:eastAsia="Arial" w:hAnsi="Arial"/>
                <w:sz w:val="18"/>
                <w:szCs w:val="18"/>
                <w:color w:val="auto"/>
              </w:rPr>
              <w:t>Every</w:t>
            </w:r>
          </w:p>
        </w:tc>
        <w:tc>
          <w:tcPr>
            <w:tcW w:w="1000" w:type="dxa"/>
            <w:vAlign w:val="bottom"/>
          </w:tcPr>
          <w:p>
            <w:pPr>
              <w:ind w:left="180"/>
              <w:spacing w:after="0"/>
              <w:rPr>
                <w:sz w:val="20"/>
                <w:szCs w:val="20"/>
                <w:color w:val="auto"/>
              </w:rPr>
            </w:pPr>
            <w:r>
              <w:rPr>
                <w:rFonts w:ascii="Arial" w:cs="Arial" w:eastAsia="Arial" w:hAnsi="Arial"/>
                <w:sz w:val="18"/>
                <w:szCs w:val="18"/>
                <w:color w:val="auto"/>
              </w:rPr>
              <w:t>, and</w:t>
            </w:r>
          </w:p>
        </w:tc>
        <w:tc>
          <w:tcPr>
            <w:tcW w:w="1880" w:type="dxa"/>
            <w:vAlign w:val="bottom"/>
          </w:tcPr>
          <w:p>
            <w:pPr>
              <w:ind w:left="460"/>
              <w:spacing w:after="0"/>
              <w:rPr>
                <w:sz w:val="20"/>
                <w:szCs w:val="20"/>
                <w:color w:val="auto"/>
              </w:rPr>
            </w:pPr>
            <w:r>
              <w:rPr>
                <w:rFonts w:ascii="Arial" w:cs="Arial" w:eastAsia="Arial" w:hAnsi="Arial"/>
                <w:sz w:val="18"/>
                <w:szCs w:val="18"/>
                <w:color w:val="auto"/>
              </w:rPr>
              <w:t>, commencing</w:t>
            </w:r>
          </w:p>
        </w:tc>
        <w:tc>
          <w:tcPr>
            <w:tcW w:w="2700" w:type="dxa"/>
            <w:vAlign w:val="bottom"/>
          </w:tcPr>
          <w:p>
            <w:pPr>
              <w:ind w:left="380"/>
              <w:spacing w:after="0"/>
              <w:rPr>
                <w:sz w:val="20"/>
                <w:szCs w:val="20"/>
                <w:color w:val="auto"/>
              </w:rPr>
            </w:pPr>
            <w:r>
              <w:rPr>
                <w:rFonts w:ascii="Arial" w:cs="Arial" w:eastAsia="Arial" w:hAnsi="Arial"/>
                <w:sz w:val="18"/>
                <w:szCs w:val="18"/>
                <w:color w:val="auto"/>
              </w:rPr>
              <w:t>, 2022 (whether or not a</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40" w:type="dxa"/>
            <w:vAlign w:val="bottom"/>
          </w:tcPr>
          <w:p>
            <w:pPr>
              <w:ind w:left="940"/>
              <w:spacing w:after="0"/>
              <w:rPr>
                <w:sz w:val="20"/>
                <w:szCs w:val="20"/>
                <w:color w:val="auto"/>
              </w:rPr>
            </w:pPr>
            <w:r>
              <w:rPr>
                <w:rFonts w:ascii="Arial" w:cs="Arial" w:eastAsia="Arial" w:hAnsi="Arial"/>
                <w:sz w:val="18"/>
                <w:szCs w:val="18"/>
                <w:color w:val="auto"/>
              </w:rPr>
              <w:t>business day).</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59"/>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Specified currency</w:t>
            </w:r>
          </w:p>
        </w:tc>
        <w:tc>
          <w:tcPr>
            <w:tcW w:w="2140" w:type="dxa"/>
            <w:vAlign w:val="bottom"/>
          </w:tcPr>
          <w:p>
            <w:pPr>
              <w:ind w:left="940"/>
              <w:spacing w:after="0"/>
              <w:rPr>
                <w:sz w:val="20"/>
                <w:szCs w:val="20"/>
                <w:color w:val="auto"/>
              </w:rPr>
            </w:pPr>
            <w:r>
              <w:rPr>
                <w:rFonts w:ascii="Arial" w:cs="Arial" w:eastAsia="Arial" w:hAnsi="Arial"/>
                <w:sz w:val="18"/>
                <w:szCs w:val="18"/>
                <w:color w:val="auto"/>
              </w:rPr>
              <w:t>U.S. Dollars</w:t>
            </w: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7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Place of payment</w:t>
            </w:r>
          </w:p>
        </w:tc>
        <w:tc>
          <w:tcPr>
            <w:tcW w:w="3140" w:type="dxa"/>
            <w:vAlign w:val="bottom"/>
            <w:gridSpan w:val="2"/>
          </w:tcPr>
          <w:p>
            <w:pPr>
              <w:ind w:left="940"/>
              <w:spacing w:after="0"/>
              <w:rPr>
                <w:sz w:val="20"/>
                <w:szCs w:val="20"/>
                <w:color w:val="auto"/>
              </w:rPr>
            </w:pPr>
            <w:r>
              <w:rPr>
                <w:rFonts w:ascii="Arial" w:cs="Arial" w:eastAsia="Arial" w:hAnsi="Arial"/>
                <w:sz w:val="18"/>
                <w:szCs w:val="18"/>
                <w:color w:val="auto"/>
              </w:rPr>
              <w:t>The City of New York</w:t>
            </w:r>
          </w:p>
        </w:tc>
        <w:tc>
          <w:tcPr>
            <w:tcW w:w="18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72"/>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Ranking of Notes</w:t>
            </w:r>
          </w:p>
        </w:tc>
        <w:tc>
          <w:tcPr>
            <w:tcW w:w="7720" w:type="dxa"/>
            <w:vAlign w:val="bottom"/>
            <w:gridSpan w:val="4"/>
          </w:tcPr>
          <w:p>
            <w:pPr>
              <w:ind w:left="940"/>
              <w:spacing w:after="0"/>
              <w:rPr>
                <w:sz w:val="20"/>
                <w:szCs w:val="20"/>
                <w:color w:val="auto"/>
              </w:rPr>
            </w:pPr>
            <w:r>
              <w:rPr>
                <w:rFonts w:ascii="Arial" w:cs="Arial" w:eastAsia="Arial" w:hAnsi="Arial"/>
                <w:sz w:val="18"/>
                <w:szCs w:val="18"/>
                <w:color w:val="auto"/>
              </w:rPr>
              <w:t>The Notes will be our direct unsecured obligations and will rank:</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520" w:right="280" w:hanging="219"/>
        <w:spacing w:after="0" w:line="275" w:lineRule="auto"/>
        <w:tabs>
          <w:tab w:leader="none" w:pos="45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any existing and future unsecured unsubordinated</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including approximately $86.3 million in aggregate principal amount outstanding under our 5.50% Notes due 2024, or the 2024 Notes, and $150.0 million in aggregate principal amount outstanding under our 4.50% Notes due 2026, or the 2026 Notes, each as of June 30, 2021;</w:t>
      </w:r>
    </w:p>
    <w:p>
      <w:pPr>
        <w:spacing w:after="0" w:line="81" w:lineRule="exact"/>
        <w:rPr>
          <w:rFonts w:ascii="Arial" w:cs="Arial" w:eastAsia="Arial" w:hAnsi="Arial"/>
          <w:sz w:val="17"/>
          <w:szCs w:val="17"/>
          <w:color w:val="auto"/>
        </w:rPr>
      </w:pPr>
    </w:p>
    <w:p>
      <w:pPr>
        <w:ind w:left="4520" w:right="180" w:hanging="219"/>
        <w:spacing w:after="0" w:line="277" w:lineRule="auto"/>
        <w:tabs>
          <w:tab w:leader="none" w:pos="4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75" w:lineRule="exact"/>
        <w:rPr>
          <w:rFonts w:ascii="Arial" w:cs="Arial" w:eastAsia="Arial" w:hAnsi="Arial"/>
          <w:sz w:val="18"/>
          <w:szCs w:val="18"/>
          <w:color w:val="auto"/>
        </w:rPr>
      </w:pPr>
    </w:p>
    <w:p>
      <w:pPr>
        <w:ind w:left="4520" w:hanging="219"/>
        <w:spacing w:after="0"/>
        <w:tabs>
          <w:tab w:leader="none" w:pos="4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4520" w:hanging="219"/>
        <w:spacing w:after="0" w:line="272" w:lineRule="auto"/>
        <w:tabs>
          <w:tab w:leader="none" w:pos="4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including approximately $214.5 million of borrowings outstanding under our multi-currency, senior secured revolving credit facility with Truist Bank (formerly SunTrust Bank), as amended and restated, or the Truist Credit Facility, to the extent of the value of the assets securing the Truist Credit Facility, as of June 30, 2021; and</w:t>
      </w:r>
    </w:p>
    <w:p>
      <w:pPr>
        <w:spacing w:after="0" w:line="82" w:lineRule="exact"/>
        <w:rPr>
          <w:rFonts w:ascii="Arial" w:cs="Arial" w:eastAsia="Arial" w:hAnsi="Arial"/>
          <w:sz w:val="17"/>
          <w:szCs w:val="17"/>
          <w:color w:val="auto"/>
        </w:rPr>
      </w:pPr>
    </w:p>
    <w:p>
      <w:pPr>
        <w:ind w:left="4520" w:right="20" w:hanging="219"/>
        <w:spacing w:after="0" w:line="259" w:lineRule="auto"/>
        <w:tabs>
          <w:tab w:leader="none" w:pos="4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 financing vehicles or similar facilities, including $63.5 million of indebtedness outstanding under our Small Business Administration, or SBA, debentures as of June 30, 2021.</w:t>
      </w:r>
    </w:p>
    <w:p>
      <w:pPr>
        <w:sectPr>
          <w:pgSz w:w="11900" w:h="16838" w:orient="portrait"/>
          <w:cols w:equalWidth="0" w:num="1">
            <w:col w:w="11080"/>
          </w:cols>
          <w:pgMar w:left="320" w:top="446" w:right="499" w:bottom="1440" w:gutter="0" w:footer="0" w:header="0"/>
        </w:sect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issue the Notes in denominations of $2,000 and integral multiples of $1,000 in excess thereof.</w:t>
      </w:r>
    </w:p>
    <w:p>
      <w:pPr>
        <w:spacing w:after="0" w:line="197" w:lineRule="exact"/>
        <w:rPr>
          <w:sz w:val="20"/>
          <w:szCs w:val="20"/>
          <w:color w:val="auto"/>
        </w:rPr>
      </w:pPr>
    </w:p>
    <w:p>
      <w:pPr>
        <w:sectPr>
          <w:pgSz w:w="11900" w:h="16838" w:orient="portrait"/>
          <w:cols w:equalWidth="0" w:num="2">
            <w:col w:w="3580" w:space="720"/>
            <w:col w:w="6780"/>
          </w:cols>
          <w:pgMar w:left="320" w:top="446" w:right="49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Business day</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color w:val="auto"/>
        </w:rPr>
        <w:t>Any day other than a Saturday, a Sunday or a day on which banking institutions in New York or the city in which the corporate trust office of the trustee is located are authorized or obligated by law or executive order to close.</w:t>
      </w:r>
    </w:p>
    <w:p>
      <w:pPr>
        <w:spacing w:after="0" w:line="200" w:lineRule="exact"/>
        <w:rPr>
          <w:sz w:val="20"/>
          <w:szCs w:val="20"/>
          <w:color w:val="auto"/>
        </w:rPr>
      </w:pPr>
    </w:p>
    <w:p>
      <w:pPr>
        <w:sectPr>
          <w:pgSz w:w="11900" w:h="16838" w:orient="portrait"/>
          <w:cols w:equalWidth="0" w:num="2">
            <w:col w:w="3580" w:space="720"/>
            <w:col w:w="6780"/>
          </w:cols>
          <w:pgMar w:left="320" w:top="446" w:right="499" w:bottom="1440" w:gutter="0" w:footer="0" w:header="0"/>
          <w:type w:val="continuous"/>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jc w:val="both"/>
        <w:ind w:right="60"/>
        <w:spacing w:after="0" w:line="311" w:lineRule="auto"/>
        <w:rPr>
          <w:sz w:val="20"/>
          <w:szCs w:val="20"/>
          <w:color w:val="auto"/>
        </w:rPr>
      </w:pPr>
      <w:r>
        <w:rPr>
          <w:rFonts w:ascii="Arial" w:cs="Arial" w:eastAsia="Arial" w:hAnsi="Arial"/>
          <w:sz w:val="16"/>
          <w:szCs w:val="16"/>
          <w:color w:val="auto"/>
        </w:rPr>
        <w:t>We may redeem some or all of the Notes at any time, or from time to time, upon not less than 30 days’ nor more than 60 days’ written notice prior to the date fixed for redemption thereof, at a redemption price equal to the greater of (1) 100% of the principal amount of the</w:t>
      </w:r>
    </w:p>
    <w:p>
      <w:pPr>
        <w:spacing w:after="0" w:line="81" w:lineRule="exact"/>
        <w:rPr>
          <w:sz w:val="20"/>
          <w:szCs w:val="20"/>
          <w:color w:val="auto"/>
        </w:rPr>
      </w:pPr>
    </w:p>
    <w:p>
      <w:pPr>
        <w:sectPr>
          <w:pgSz w:w="11900" w:h="16838" w:orient="portrait"/>
          <w:cols w:equalWidth="0" w:num="2">
            <w:col w:w="3580" w:space="720"/>
            <w:col w:w="6780"/>
          </w:cols>
          <w:pgMar w:left="320" w:top="446" w:right="499" w:bottom="1440" w:gutter="0" w:footer="0" w:header="0"/>
          <w:type w:val="continuous"/>
        </w:sectPr>
      </w:pPr>
    </w:p>
    <w:p>
      <w:pPr>
        <w:jc w:val="center"/>
        <w:ind w:right="-15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080"/>
          </w:cols>
          <w:pgMar w:left="320" w:top="446" w:right="4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300" w:right="40"/>
        <w:spacing w:after="0" w:line="285" w:lineRule="auto"/>
        <w:rPr>
          <w:sz w:val="20"/>
          <w:szCs w:val="20"/>
          <w:color w:val="auto"/>
        </w:rPr>
      </w:pPr>
      <w:r>
        <w:rPr>
          <w:rFonts w:ascii="Arial" w:cs="Arial" w:eastAsia="Arial" w:hAnsi="Arial"/>
          <w:sz w:val="16"/>
          <w:szCs w:val="16"/>
          <w:color w:val="auto"/>
        </w:rPr>
        <w:t>Notes to be redeemed or (2) 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basis points, plus, in each case, accrued and unpaid interest to, but</w:t>
      </w:r>
    </w:p>
    <w:tbl>
      <w:tblPr>
        <w:tblLayout w:type="fixed"/>
        <w:tblInd w:w="12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7020" w:type="dxa"/>
            <w:vAlign w:val="bottom"/>
            <w:gridSpan w:val="3"/>
          </w:tcPr>
          <w:p>
            <w:pPr>
              <w:ind w:left="200"/>
              <w:spacing w:after="0" w:line="204" w:lineRule="exact"/>
              <w:rPr>
                <w:sz w:val="20"/>
                <w:szCs w:val="20"/>
                <w:color w:val="auto"/>
              </w:rPr>
            </w:pPr>
            <w:r>
              <w:rPr>
                <w:rFonts w:ascii="Arial" w:cs="Arial" w:eastAsia="Arial" w:hAnsi="Arial"/>
                <w:sz w:val="18"/>
                <w:szCs w:val="18"/>
                <w:color w:val="auto"/>
                <w:w w:val="90"/>
              </w:rPr>
              <w:t xml:space="preserve">not including, the redemption date;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w:t>
            </w:r>
            <w:r>
              <w:rPr>
                <w:rFonts w:ascii="Arial" w:cs="Arial" w:eastAsia="Arial" w:hAnsi="Arial"/>
                <w:sz w:val="18"/>
                <w:szCs w:val="18"/>
                <w:i w:val="1"/>
                <w:iCs w:val="1"/>
                <w:color w:val="auto"/>
                <w:w w:val="90"/>
              </w:rPr>
              <w:t>however</w:t>
            </w:r>
            <w:r>
              <w:rPr>
                <w:rFonts w:ascii="Arial" w:cs="Arial" w:eastAsia="Arial" w:hAnsi="Arial"/>
                <w:sz w:val="18"/>
                <w:szCs w:val="18"/>
                <w:color w:val="auto"/>
                <w:w w:val="90"/>
              </w:rPr>
              <w:t>, that if we redeem any Notes on or after</w:t>
            </w:r>
          </w:p>
        </w:tc>
      </w:tr>
      <w:tr>
        <w:trPr>
          <w:trHeight w:val="216"/>
        </w:trPr>
        <w:tc>
          <w:tcPr>
            <w:tcW w:w="3980" w:type="dxa"/>
            <w:vAlign w:val="bottom"/>
          </w:tcPr>
          <w:p>
            <w:pPr>
              <w:spacing w:after="0"/>
              <w:rPr>
                <w:sz w:val="18"/>
                <w:szCs w:val="18"/>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rPr>
              <w:t>,</w:t>
            </w:r>
          </w:p>
        </w:tc>
        <w:tc>
          <w:tcPr>
            <w:tcW w:w="1780" w:type="dxa"/>
            <w:vAlign w:val="bottom"/>
          </w:tcPr>
          <w:p>
            <w:pPr>
              <w:ind w:left="320"/>
              <w:spacing w:after="0"/>
              <w:rPr>
                <w:sz w:val="20"/>
                <w:szCs w:val="20"/>
                <w:color w:val="auto"/>
              </w:rPr>
            </w:pPr>
            <w:r>
              <w:rPr>
                <w:rFonts w:ascii="Arial" w:cs="Arial" w:eastAsia="Arial" w:hAnsi="Arial"/>
                <w:sz w:val="18"/>
                <w:szCs w:val="18"/>
                <w:color w:val="auto"/>
              </w:rPr>
              <w:t>(the date falling</w:t>
            </w:r>
          </w:p>
        </w:tc>
        <w:tc>
          <w:tcPr>
            <w:tcW w:w="3960" w:type="dxa"/>
            <w:vAlign w:val="bottom"/>
          </w:tcPr>
          <w:p>
            <w:pPr>
              <w:ind w:left="120"/>
              <w:spacing w:after="0"/>
              <w:rPr>
                <w:sz w:val="20"/>
                <w:szCs w:val="20"/>
                <w:color w:val="auto"/>
              </w:rPr>
            </w:pPr>
            <w:r>
              <w:rPr>
                <w:rFonts w:ascii="Arial" w:cs="Arial" w:eastAsia="Arial" w:hAnsi="Arial"/>
                <w:sz w:val="18"/>
                <w:szCs w:val="18"/>
                <w:color w:val="auto"/>
                <w:w w:val="94"/>
              </w:rPr>
              <w:t>months prior to the maturity date of the Notes), the</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3"/>
              </w:rPr>
              <w:t>redemption price for the Notes will be equal to 100% of the principal amount of the Notes to</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8"/>
              </w:rPr>
              <w:t>be redeemed, plus accrued and unpaid interest, if any, to, but not including, the date of</w:t>
            </w:r>
          </w:p>
        </w:tc>
      </w:tr>
      <w:tr>
        <w:trPr>
          <w:trHeight w:val="230"/>
        </w:trPr>
        <w:tc>
          <w:tcPr>
            <w:tcW w:w="398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redemption.</w:t>
            </w:r>
          </w:p>
        </w:tc>
        <w:tc>
          <w:tcPr>
            <w:tcW w:w="178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58"/>
        </w:trPr>
        <w:tc>
          <w:tcPr>
            <w:tcW w:w="3980" w:type="dxa"/>
            <w:vAlign w:val="bottom"/>
          </w:tcPr>
          <w:p>
            <w:pPr>
              <w:spacing w:after="0"/>
              <w:rPr>
                <w:sz w:val="24"/>
                <w:szCs w:val="24"/>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2"/>
              </w:rPr>
              <w:t>Any exercise of our option to redeem the Notes will be done in compliance with the 1940 Act</w:t>
            </w:r>
          </w:p>
        </w:tc>
      </w:tr>
      <w:tr>
        <w:trPr>
          <w:trHeight w:val="230"/>
        </w:trPr>
        <w:tc>
          <w:tcPr>
            <w:tcW w:w="3980" w:type="dxa"/>
            <w:vAlign w:val="bottom"/>
          </w:tcPr>
          <w:p>
            <w:pPr>
              <w:spacing w:after="0"/>
              <w:rPr>
                <w:sz w:val="20"/>
                <w:szCs w:val="20"/>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rPr>
              <w:t>and the related rules, regulations and interpretations, to the extent applicable.</w:t>
            </w:r>
          </w:p>
        </w:tc>
      </w:tr>
      <w:tr>
        <w:trPr>
          <w:trHeight w:val="445"/>
        </w:trPr>
        <w:tc>
          <w:tcPr>
            <w:tcW w:w="3980" w:type="dxa"/>
            <w:vAlign w:val="bottom"/>
          </w:tcPr>
          <w:p>
            <w:pPr>
              <w:spacing w:after="0"/>
              <w:rPr>
                <w:sz w:val="24"/>
                <w:szCs w:val="24"/>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4"/>
              </w:rPr>
              <w:t>If we redeem only some of the Notes, the trustee or DTC, as applicable, will determine the</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1"/>
              </w:rPr>
              <w:t>method for selection of the particular Notes to be redeemed, in accordance with the 1940 Act,</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3"/>
              </w:rPr>
              <w:t>to the extent applicable. Unless we default in payment of the redemption price, on and after</w:t>
            </w:r>
          </w:p>
        </w:tc>
      </w:tr>
      <w:tr>
        <w:trPr>
          <w:trHeight w:val="230"/>
        </w:trPr>
        <w:tc>
          <w:tcPr>
            <w:tcW w:w="3980" w:type="dxa"/>
            <w:vAlign w:val="bottom"/>
          </w:tcPr>
          <w:p>
            <w:pPr>
              <w:spacing w:after="0"/>
              <w:rPr>
                <w:sz w:val="20"/>
                <w:szCs w:val="20"/>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8"/>
              </w:rPr>
              <w:t>the date of redemption interest will cease to accrue on the Notes called for redemption.</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Sinking fund</w:t>
            </w: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rPr>
              <w:t>The Notes will not be subject to any sinking fund.</w:t>
            </w:r>
          </w:p>
        </w:tc>
      </w:tr>
      <w:tr>
        <w:trPr>
          <w:trHeight w:val="458"/>
        </w:trPr>
        <w:tc>
          <w:tcPr>
            <w:tcW w:w="3980" w:type="dxa"/>
            <w:vAlign w:val="bottom"/>
          </w:tcPr>
          <w:p>
            <w:pPr>
              <w:spacing w:after="0"/>
              <w:rPr>
                <w:sz w:val="20"/>
                <w:szCs w:val="20"/>
                <w:color w:val="auto"/>
              </w:rPr>
            </w:pPr>
            <w:r>
              <w:rPr>
                <w:rFonts w:ascii="Arial" w:cs="Arial" w:eastAsia="Arial" w:hAnsi="Arial"/>
                <w:sz w:val="18"/>
                <w:szCs w:val="18"/>
                <w:color w:val="auto"/>
              </w:rPr>
              <w:t>Offer to Repurchase upon a Change of Control</w:t>
            </w: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2"/>
              </w:rPr>
              <w:t>If a Change of Control Repurchase Event occurs prior to maturity, unless we have exercised</w:t>
            </w:r>
          </w:p>
        </w:tc>
      </w:tr>
      <w:tr>
        <w:trPr>
          <w:trHeight w:val="216"/>
        </w:trPr>
        <w:tc>
          <w:tcPr>
            <w:tcW w:w="3980" w:type="dxa"/>
            <w:vAlign w:val="bottom"/>
          </w:tcPr>
          <w:p>
            <w:pPr>
              <w:ind w:left="80"/>
              <w:spacing w:after="0"/>
              <w:rPr>
                <w:sz w:val="20"/>
                <w:szCs w:val="20"/>
                <w:color w:val="auto"/>
              </w:rPr>
            </w:pPr>
            <w:r>
              <w:rPr>
                <w:rFonts w:ascii="Arial" w:cs="Arial" w:eastAsia="Arial" w:hAnsi="Arial"/>
                <w:sz w:val="18"/>
                <w:szCs w:val="18"/>
                <w:color w:val="auto"/>
              </w:rPr>
              <w:t>Repurchase Event</w:t>
            </w: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1"/>
              </w:rPr>
              <w:t>our right to redeem the Notes in full, holders of the Notes will have the right, at their option, to</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0"/>
              </w:rPr>
              <w:t>require us to repurchase for cash some or all of the Notes at a repurchase price equal to 100%</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2"/>
              </w:rPr>
              <w:t>of the principal amount of the Notes being repurchased, plus accrued and unpaid interest to,</w:t>
            </w:r>
          </w:p>
        </w:tc>
      </w:tr>
      <w:tr>
        <w:trPr>
          <w:trHeight w:val="230"/>
        </w:trPr>
        <w:tc>
          <w:tcPr>
            <w:tcW w:w="3980" w:type="dxa"/>
            <w:vAlign w:val="bottom"/>
          </w:tcPr>
          <w:p>
            <w:pPr>
              <w:spacing w:after="0"/>
              <w:rPr>
                <w:sz w:val="20"/>
                <w:szCs w:val="20"/>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2"/>
              </w:rPr>
              <w:t>but not including, the repurchase date.</w:t>
            </w:r>
          </w:p>
        </w:tc>
        <w:tc>
          <w:tcPr>
            <w:tcW w:w="3960" w:type="dxa"/>
            <w:vAlign w:val="bottom"/>
          </w:tcPr>
          <w:p>
            <w:pPr>
              <w:spacing w:after="0"/>
              <w:rPr>
                <w:sz w:val="20"/>
                <w:szCs w:val="20"/>
                <w:color w:val="auto"/>
              </w:rPr>
            </w:pP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Defeasance</w:t>
            </w: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rPr>
              <w:t>The Notes are subject to defeasance by us.</w:t>
            </w:r>
          </w:p>
        </w:tc>
      </w:tr>
      <w:tr>
        <w:trPr>
          <w:trHeight w:val="473"/>
        </w:trPr>
        <w:tc>
          <w:tcPr>
            <w:tcW w:w="3980" w:type="dxa"/>
            <w:vAlign w:val="bottom"/>
          </w:tcPr>
          <w:p>
            <w:pPr>
              <w:spacing w:after="0"/>
              <w:rPr>
                <w:sz w:val="20"/>
                <w:szCs w:val="20"/>
                <w:color w:val="auto"/>
              </w:rPr>
            </w:pPr>
            <w:r>
              <w:rPr>
                <w:rFonts w:ascii="Arial" w:cs="Arial" w:eastAsia="Arial" w:hAnsi="Arial"/>
                <w:sz w:val="18"/>
                <w:szCs w:val="18"/>
                <w:color w:val="auto"/>
              </w:rPr>
              <w:t>Covenant defeasance</w:t>
            </w: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rPr>
              <w:t>The Notes are subject to covenant defeasance by us.</w:t>
            </w:r>
          </w:p>
        </w:tc>
      </w:tr>
      <w:tr>
        <w:trPr>
          <w:trHeight w:val="458"/>
        </w:trPr>
        <w:tc>
          <w:tcPr>
            <w:tcW w:w="3980" w:type="dxa"/>
            <w:vAlign w:val="bottom"/>
          </w:tcPr>
          <w:p>
            <w:pPr>
              <w:spacing w:after="0"/>
              <w:rPr>
                <w:sz w:val="20"/>
                <w:szCs w:val="20"/>
                <w:color w:val="auto"/>
              </w:rPr>
            </w:pPr>
            <w:r>
              <w:rPr>
                <w:rFonts w:ascii="Arial" w:cs="Arial" w:eastAsia="Arial" w:hAnsi="Arial"/>
                <w:sz w:val="18"/>
                <w:szCs w:val="18"/>
                <w:color w:val="auto"/>
              </w:rPr>
              <w:t>Form of Notes</w:t>
            </w: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1"/>
              </w:rPr>
              <w:t>The Notes will be represented by global securities that will be deposited and registered in the</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4"/>
              </w:rPr>
              <w:t>name of DTC or its nominee. This means that, except in limited circumstances, you will not</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1"/>
              </w:rPr>
              <w:t>receive certificates for the Notes. Beneficial interests in the Notes will be represented through</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5"/>
              </w:rPr>
              <w:t>book-entry accounts of financial institutions acting on behalf of beneficial owners as direct</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5"/>
              </w:rPr>
              <w:t>and indirect participants in DTC. Investors may elect to hold interests in the Notes through</w:t>
            </w:r>
          </w:p>
        </w:tc>
      </w:tr>
      <w:tr>
        <w:trPr>
          <w:trHeight w:val="216"/>
        </w:trPr>
        <w:tc>
          <w:tcPr>
            <w:tcW w:w="3980" w:type="dxa"/>
            <w:vAlign w:val="bottom"/>
          </w:tcPr>
          <w:p>
            <w:pPr>
              <w:spacing w:after="0"/>
              <w:rPr>
                <w:sz w:val="18"/>
                <w:szCs w:val="18"/>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w w:val="91"/>
              </w:rPr>
              <w:t>either DTC, if they are a participant, or indirectly through organizations that are participants in</w:t>
            </w:r>
          </w:p>
        </w:tc>
      </w:tr>
      <w:tr>
        <w:trPr>
          <w:trHeight w:val="230"/>
        </w:trPr>
        <w:tc>
          <w:tcPr>
            <w:tcW w:w="398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DTC.</w:t>
            </w:r>
          </w:p>
        </w:tc>
        <w:tc>
          <w:tcPr>
            <w:tcW w:w="178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w w:val="94"/>
              </w:rPr>
              <w:t>Trustee, Paying Agent, Registrar and Transfer Agent</w:t>
            </w: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rPr>
              <w:t>American Stock Transfer &amp; Trust Company, LLC</w:t>
            </w:r>
          </w:p>
        </w:tc>
      </w:tr>
      <w:tr>
        <w:trPr>
          <w:trHeight w:val="378"/>
        </w:trPr>
        <w:tc>
          <w:tcPr>
            <w:tcW w:w="3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S-4</w:t>
            </w:r>
          </w:p>
        </w:tc>
        <w:tc>
          <w:tcPr>
            <w:tcW w:w="39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4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519"/>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Other covenants</w:t>
            </w: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20" w:type="dxa"/>
            <w:vAlign w:val="bottom"/>
          </w:tcPr>
          <w:p>
            <w:pPr>
              <w:ind w:left="480"/>
              <w:spacing w:after="0"/>
              <w:rPr>
                <w:sz w:val="20"/>
                <w:szCs w:val="20"/>
                <w:color w:val="auto"/>
              </w:rPr>
            </w:pPr>
            <w:r>
              <w:rPr>
                <w:rFonts w:ascii="Arial" w:cs="Arial" w:eastAsia="Arial" w:hAnsi="Arial"/>
                <w:sz w:val="18"/>
                <w:szCs w:val="18"/>
                <w:color w:val="auto"/>
              </w:rPr>
              <w:t>supplement, the following covenants will apply to the Notes:</w:t>
            </w:r>
          </w:p>
        </w:tc>
        <w:tc>
          <w:tcPr>
            <w:tcW w:w="1660" w:type="dxa"/>
            <w:vAlign w:val="bottom"/>
          </w:tcPr>
          <w:p>
            <w:pPr>
              <w:spacing w:after="0"/>
              <w:rPr>
                <w:sz w:val="20"/>
                <w:szCs w:val="20"/>
                <w:color w:val="auto"/>
              </w:rPr>
            </w:pPr>
          </w:p>
        </w:tc>
      </w:tr>
      <w:tr>
        <w:trPr>
          <w:trHeight w:val="323"/>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2"/>
              </w:rPr>
              <w:t>violate Section 18(a)(1)(A) of the 1940 Act, as modified by Section 61(a)(1) and (2) of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89"/>
              </w:rPr>
              <w:t>1940 Act or any successor provisions, as such obligations may be amended or superseded,</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w w:val="99"/>
              </w:rPr>
              <w:t>giving effect to any exemptive relief granted to us by the SEC.</w:t>
            </w:r>
          </w:p>
        </w:tc>
        <w:tc>
          <w:tcPr>
            <w:tcW w:w="1660" w:type="dxa"/>
            <w:vAlign w:val="bottom"/>
          </w:tcPr>
          <w:p>
            <w:pPr>
              <w:spacing w:after="0"/>
              <w:rPr>
                <w:sz w:val="20"/>
                <w:szCs w:val="20"/>
                <w:color w:val="auto"/>
              </w:rPr>
            </w:pPr>
          </w:p>
        </w:tc>
      </w:tr>
      <w:tr>
        <w:trPr>
          <w:trHeight w:val="323"/>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3"/>
              </w:rPr>
              <w:t>•  If, at any time, we are not subject to the reporting requirements of Sections 13 or 15(d) of</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0"/>
              </w:rPr>
              <w:t>the Securities Exchange Act of 1934, as amended, or the Exchange Act, to file any periodic</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3"/>
              </w:rPr>
              <w:t>reports with the SEC, we agree to publish on our website and to furnish to holders of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3"/>
              </w:rPr>
              <w:t>Notes and the trustee, for the period of time during which the Notes are outstanding, our</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0"/>
              </w:rPr>
              <w:t>audited annual consolidated financial statements, within 90 days of our fiscal year end, and</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4"/>
              </w:rPr>
              <w:t>unaudited interim consolidated financial statements, within 45 days of our fiscal quarter</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2"/>
              </w:rPr>
              <w:t>end (other than our fourth fiscal quarter). All such financial statements will be prepared, in</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4"/>
              </w:rPr>
              <w:t>all material respects, in accordance with applicable U.S. generally accepted accounting</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principles, or GAAP.</w:t>
            </w:r>
          </w:p>
        </w:tc>
        <w:tc>
          <w:tcPr>
            <w:tcW w:w="1660" w:type="dxa"/>
            <w:vAlign w:val="bottom"/>
          </w:tcPr>
          <w:p>
            <w:pPr>
              <w:spacing w:after="0"/>
              <w:rPr>
                <w:sz w:val="20"/>
                <w:szCs w:val="20"/>
                <w:color w:val="auto"/>
              </w:rPr>
            </w:pPr>
          </w:p>
        </w:tc>
      </w:tr>
      <w:tr>
        <w:trPr>
          <w:trHeight w:val="338"/>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rPr>
              <w:t>•  The lien covenant included in the form of indenture will not apply to the Notes.</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Events of Default</w:t>
            </w: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1"/>
              </w:rPr>
              <w:t>If an event of default (as described under “</w:t>
            </w:r>
            <w:r>
              <w:rPr>
                <w:rFonts w:ascii="Arial" w:cs="Arial" w:eastAsia="Arial" w:hAnsi="Arial"/>
                <w:sz w:val="18"/>
                <w:szCs w:val="18"/>
                <w:i w:val="1"/>
                <w:iCs w:val="1"/>
                <w:color w:val="auto"/>
                <w:w w:val="91"/>
              </w:rPr>
              <w:t>Description of the Notes</w:t>
            </w:r>
            <w:r>
              <w:rPr>
                <w:rFonts w:ascii="Arial" w:cs="Arial" w:eastAsia="Arial" w:hAnsi="Arial"/>
                <w:sz w:val="18"/>
                <w:szCs w:val="18"/>
                <w:color w:val="auto"/>
                <w:w w:val="91"/>
              </w:rPr>
              <w:t>”) on the Notes occurs,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0"/>
              </w:rPr>
              <w:t>principal amount of the Notes, plus accrued and unpaid interest, may be declared immediately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0"/>
              </w:rPr>
              <w:t>due and payable, subject to conditions set forth in the indenture. These amounts automatically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6"/>
              </w:rPr>
              <w:t>become due and payable in the case of certain types of bankruptcy or insolvency events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20" w:type="dxa"/>
            <w:vAlign w:val="bottom"/>
          </w:tcPr>
          <w:p>
            <w:pPr>
              <w:ind w:left="480"/>
              <w:spacing w:after="0"/>
              <w:rPr>
                <w:sz w:val="20"/>
                <w:szCs w:val="20"/>
                <w:color w:val="auto"/>
              </w:rPr>
            </w:pPr>
            <w:r>
              <w:rPr>
                <w:rFonts w:ascii="Arial" w:cs="Arial" w:eastAsia="Arial" w:hAnsi="Arial"/>
                <w:sz w:val="18"/>
                <w:szCs w:val="18"/>
                <w:color w:val="auto"/>
              </w:rPr>
              <w:t>involving the Company.</w:t>
            </w:r>
          </w:p>
        </w:tc>
        <w:tc>
          <w:tcPr>
            <w:tcW w:w="1660" w:type="dxa"/>
            <w:vAlign w:val="bottom"/>
          </w:tcPr>
          <w:p>
            <w:pPr>
              <w:spacing w:after="0"/>
              <w:rPr>
                <w:sz w:val="20"/>
                <w:szCs w:val="20"/>
                <w:color w:val="auto"/>
              </w:rPr>
            </w:pP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Further Issuances</w:t>
            </w: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1"/>
              </w:rPr>
              <w:t>We have the ability to issue additional debt securities under the indenture with terms different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4"/>
              </w:rPr>
              <w:t>from the Notes and, without consent of the holders thereof, to issue additional Notes. If we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5"/>
              </w:rPr>
              <w:t>issue additional debt securities, these additional debt securities could have a lien or other</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1"/>
              </w:rPr>
              <w:t>security interest greater than that accorded to the holders of the Notes, which are unsecured.</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Global Clearance and Settlement Procedures</w:t>
            </w: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2"/>
              </w:rPr>
              <w:t>permitted secondary market trading activity in such Notes will, therefore, be required by DTC</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2"/>
              </w:rPr>
              <w:t>to be settled in immediately available funds. None of the Company, the trustee or the paying</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4"/>
              </w:rPr>
              <w:t>agent will have any responsibility for the performance by DTC or its participants or indirect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5"/>
              </w:rPr>
              <w:t>participants of their respective obligations under the rules and procedures governing their</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20" w:type="dxa"/>
            <w:vAlign w:val="bottom"/>
          </w:tcPr>
          <w:p>
            <w:pPr>
              <w:ind w:left="480"/>
              <w:spacing w:after="0"/>
              <w:rPr>
                <w:sz w:val="20"/>
                <w:szCs w:val="20"/>
                <w:color w:val="auto"/>
              </w:rPr>
            </w:pPr>
            <w:r>
              <w:rPr>
                <w:rFonts w:ascii="Arial" w:cs="Arial" w:eastAsia="Arial" w:hAnsi="Arial"/>
                <w:sz w:val="18"/>
                <w:szCs w:val="18"/>
                <w:color w:val="auto"/>
              </w:rPr>
              <w:t>operations.</w:t>
            </w:r>
          </w:p>
        </w:tc>
        <w:tc>
          <w:tcPr>
            <w:tcW w:w="1660" w:type="dxa"/>
            <w:vAlign w:val="bottom"/>
          </w:tcPr>
          <w:p>
            <w:pPr>
              <w:spacing w:after="0"/>
              <w:rPr>
                <w:sz w:val="20"/>
                <w:szCs w:val="20"/>
                <w:color w:val="auto"/>
              </w:rPr>
            </w:pP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Use of Proceeds</w:t>
            </w:r>
          </w:p>
        </w:tc>
        <w:tc>
          <w:tcPr>
            <w:tcW w:w="5620" w:type="dxa"/>
            <w:vAlign w:val="bottom"/>
          </w:tcPr>
          <w:p>
            <w:pPr>
              <w:ind w:left="480"/>
              <w:spacing w:after="0"/>
              <w:rPr>
                <w:sz w:val="20"/>
                <w:szCs w:val="20"/>
                <w:color w:val="auto"/>
              </w:rPr>
            </w:pPr>
            <w:r>
              <w:rPr>
                <w:rFonts w:ascii="Arial" w:cs="Arial" w:eastAsia="Arial" w:hAnsi="Arial"/>
                <w:sz w:val="18"/>
                <w:szCs w:val="18"/>
                <w:color w:val="auto"/>
                <w:w w:val="94"/>
              </w:rPr>
              <w:t>We estimate that net proceeds we will receive from the sale of the $</w:t>
            </w:r>
          </w:p>
        </w:tc>
        <w:tc>
          <w:tcPr>
            <w:tcW w:w="1660" w:type="dxa"/>
            <w:vAlign w:val="bottom"/>
          </w:tcPr>
          <w:p>
            <w:pPr>
              <w:ind w:left="140"/>
              <w:spacing w:after="0"/>
              <w:rPr>
                <w:sz w:val="20"/>
                <w:szCs w:val="20"/>
                <w:color w:val="auto"/>
              </w:rPr>
            </w:pPr>
            <w:r>
              <w:rPr>
                <w:rFonts w:ascii="Arial" w:cs="Arial" w:eastAsia="Arial" w:hAnsi="Arial"/>
                <w:sz w:val="18"/>
                <w:szCs w:val="18"/>
                <w:color w:val="auto"/>
              </w:rPr>
              <w:t>million aggregate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20" w:type="dxa"/>
            <w:vAlign w:val="bottom"/>
          </w:tcPr>
          <w:p>
            <w:pPr>
              <w:ind w:left="480"/>
              <w:spacing w:after="0"/>
              <w:rPr>
                <w:sz w:val="20"/>
                <w:szCs w:val="20"/>
                <w:color w:val="auto"/>
              </w:rPr>
            </w:pPr>
            <w:r>
              <w:rPr>
                <w:rFonts w:ascii="Arial" w:cs="Arial" w:eastAsia="Arial" w:hAnsi="Arial"/>
                <w:sz w:val="18"/>
                <w:szCs w:val="18"/>
                <w:color w:val="auto"/>
                <w:w w:val="95"/>
              </w:rPr>
              <w:t>principal amount of the Notes in this offering will be approximately $</w:t>
            </w:r>
          </w:p>
        </w:tc>
        <w:tc>
          <w:tcPr>
            <w:tcW w:w="1660" w:type="dxa"/>
            <w:vAlign w:val="bottom"/>
          </w:tcPr>
          <w:p>
            <w:pPr>
              <w:ind w:left="280"/>
              <w:spacing w:after="0"/>
              <w:rPr>
                <w:sz w:val="20"/>
                <w:szCs w:val="20"/>
                <w:color w:val="auto"/>
              </w:rPr>
            </w:pPr>
            <w:r>
              <w:rPr>
                <w:rFonts w:ascii="Arial" w:cs="Arial" w:eastAsia="Arial" w:hAnsi="Arial"/>
                <w:sz w:val="18"/>
                <w:szCs w:val="18"/>
                <w:color w:val="auto"/>
              </w:rPr>
              <w:t>million based on</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20" w:type="dxa"/>
            <w:vAlign w:val="bottom"/>
          </w:tcPr>
          <w:p>
            <w:pPr>
              <w:ind w:left="480"/>
              <w:spacing w:after="0"/>
              <w:rPr>
                <w:sz w:val="20"/>
                <w:szCs w:val="20"/>
                <w:color w:val="auto"/>
              </w:rPr>
            </w:pPr>
            <w:r>
              <w:rPr>
                <w:rFonts w:ascii="Arial" w:cs="Arial" w:eastAsia="Arial" w:hAnsi="Arial"/>
                <w:sz w:val="18"/>
                <w:szCs w:val="18"/>
                <w:color w:val="auto"/>
              </w:rPr>
              <w:t>the public</w:t>
            </w:r>
          </w:p>
        </w:tc>
        <w:tc>
          <w:tcPr>
            <w:tcW w:w="166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20" w:type="dxa"/>
            <w:vAlign w:val="bottom"/>
          </w:tcPr>
          <w:p>
            <w:pPr>
              <w:ind w:left="1680"/>
              <w:spacing w:after="0"/>
              <w:rPr>
                <w:sz w:val="20"/>
                <w:szCs w:val="20"/>
                <w:color w:val="auto"/>
              </w:rPr>
            </w:pPr>
            <w:r>
              <w:rPr>
                <w:rFonts w:ascii="Arial" w:cs="Arial" w:eastAsia="Arial" w:hAnsi="Arial"/>
                <w:sz w:val="18"/>
                <w:szCs w:val="18"/>
                <w:color w:val="auto"/>
              </w:rPr>
              <w:t>S-5</w:t>
            </w:r>
          </w:p>
        </w:tc>
        <w:tc>
          <w:tcPr>
            <w:tcW w:w="1660" w:type="dxa"/>
            <w:vAlign w:val="bottom"/>
          </w:tcPr>
          <w:p>
            <w:pPr>
              <w:spacing w:after="0"/>
              <w:rPr>
                <w:sz w:val="24"/>
                <w:szCs w:val="24"/>
                <w:color w:val="auto"/>
              </w:rPr>
            </w:pPr>
          </w:p>
        </w:tc>
      </w:tr>
    </w:tbl>
    <w:p>
      <w:pPr>
        <w:sectPr>
          <w:pgSz w:w="11900" w:h="16838" w:orient="portrait"/>
          <w:cols w:equalWidth="0" w:num="1">
            <w:col w:w="11100"/>
          </w:cols>
          <w:pgMar w:left="320" w:top="446" w:right="47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5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519"/>
        </w:trPr>
        <w:tc>
          <w:tcPr>
            <w:tcW w:w="1360" w:type="dxa"/>
            <w:vAlign w:val="bottom"/>
          </w:tcPr>
          <w:p>
            <w:pPr>
              <w:spacing w:after="0"/>
              <w:rPr>
                <w:sz w:val="24"/>
                <w:szCs w:val="24"/>
                <w:color w:val="auto"/>
              </w:rPr>
            </w:pPr>
          </w:p>
        </w:tc>
        <w:tc>
          <w:tcPr>
            <w:tcW w:w="9760" w:type="dxa"/>
            <w:vAlign w:val="bottom"/>
            <w:gridSpan w:val="3"/>
          </w:tcPr>
          <w:p>
            <w:pPr>
              <w:ind w:left="2940"/>
              <w:spacing w:after="0"/>
              <w:rPr>
                <w:sz w:val="20"/>
                <w:szCs w:val="20"/>
                <w:color w:val="auto"/>
              </w:rPr>
            </w:pPr>
            <w:r>
              <w:rPr>
                <w:rFonts w:ascii="Arial" w:cs="Arial" w:eastAsia="Arial" w:hAnsi="Arial"/>
                <w:sz w:val="18"/>
                <w:szCs w:val="18"/>
                <w:color w:val="auto"/>
                <w:w w:val="99"/>
              </w:rPr>
              <w:t>offering price of   % of the aggregate principal amount after deducting the underwriting</w:t>
            </w:r>
          </w:p>
        </w:tc>
      </w:tr>
      <w:tr>
        <w:trPr>
          <w:trHeight w:val="216"/>
        </w:trPr>
        <w:tc>
          <w:tcPr>
            <w:tcW w:w="1360" w:type="dxa"/>
            <w:vAlign w:val="bottom"/>
          </w:tcPr>
          <w:p>
            <w:pPr>
              <w:spacing w:after="0"/>
              <w:rPr>
                <w:sz w:val="18"/>
                <w:szCs w:val="18"/>
                <w:color w:val="auto"/>
              </w:rPr>
            </w:pPr>
          </w:p>
        </w:tc>
        <w:tc>
          <w:tcPr>
            <w:tcW w:w="6520" w:type="dxa"/>
            <w:vAlign w:val="bottom"/>
            <w:gridSpan w:val="2"/>
          </w:tcPr>
          <w:p>
            <w:pPr>
              <w:ind w:left="2940"/>
              <w:spacing w:after="0"/>
              <w:rPr>
                <w:sz w:val="20"/>
                <w:szCs w:val="20"/>
                <w:color w:val="auto"/>
              </w:rPr>
            </w:pPr>
            <w:r>
              <w:rPr>
                <w:rFonts w:ascii="Arial" w:cs="Arial" w:eastAsia="Arial" w:hAnsi="Arial"/>
                <w:sz w:val="18"/>
                <w:szCs w:val="18"/>
                <w:color w:val="auto"/>
                <w:w w:val="95"/>
              </w:rPr>
              <w:t>discounts and commissions of approximately $</w:t>
            </w:r>
          </w:p>
        </w:tc>
        <w:tc>
          <w:tcPr>
            <w:tcW w:w="3240" w:type="dxa"/>
            <w:vAlign w:val="bottom"/>
          </w:tcPr>
          <w:p>
            <w:pPr>
              <w:ind w:left="200"/>
              <w:spacing w:after="0"/>
              <w:rPr>
                <w:sz w:val="20"/>
                <w:szCs w:val="20"/>
                <w:color w:val="auto"/>
              </w:rPr>
            </w:pPr>
            <w:r>
              <w:rPr>
                <w:rFonts w:ascii="Arial" w:cs="Arial" w:eastAsia="Arial" w:hAnsi="Arial"/>
                <w:sz w:val="18"/>
                <w:szCs w:val="18"/>
                <w:color w:val="auto"/>
              </w:rPr>
              <w:t>million payable by us and estimated</w:t>
            </w:r>
          </w:p>
        </w:tc>
      </w:tr>
      <w:tr>
        <w:trPr>
          <w:trHeight w:val="216"/>
        </w:trPr>
        <w:tc>
          <w:tcPr>
            <w:tcW w:w="1360" w:type="dxa"/>
            <w:vAlign w:val="bottom"/>
          </w:tcPr>
          <w:p>
            <w:pPr>
              <w:spacing w:after="0"/>
              <w:rPr>
                <w:sz w:val="18"/>
                <w:szCs w:val="18"/>
                <w:color w:val="auto"/>
              </w:rPr>
            </w:pPr>
          </w:p>
        </w:tc>
        <w:tc>
          <w:tcPr>
            <w:tcW w:w="5860" w:type="dxa"/>
            <w:vAlign w:val="bottom"/>
          </w:tcPr>
          <w:p>
            <w:pPr>
              <w:ind w:left="2940"/>
              <w:spacing w:after="0"/>
              <w:rPr>
                <w:sz w:val="20"/>
                <w:szCs w:val="20"/>
                <w:color w:val="auto"/>
              </w:rPr>
            </w:pPr>
            <w:r>
              <w:rPr>
                <w:rFonts w:ascii="Arial" w:cs="Arial" w:eastAsia="Arial" w:hAnsi="Arial"/>
                <w:sz w:val="18"/>
                <w:szCs w:val="18"/>
                <w:color w:val="auto"/>
                <w:w w:val="98"/>
              </w:rPr>
              <w:t>offering expenses of approximately $</w:t>
            </w: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w w:val="90"/>
              </w:rPr>
              <w:t>million payable by us. We intend to use a portion of</w:t>
            </w:r>
          </w:p>
        </w:tc>
      </w:tr>
      <w:tr>
        <w:trPr>
          <w:trHeight w:val="216"/>
        </w:trPr>
        <w:tc>
          <w:tcPr>
            <w:tcW w:w="1360" w:type="dxa"/>
            <w:vAlign w:val="bottom"/>
          </w:tcPr>
          <w:p>
            <w:pPr>
              <w:spacing w:after="0"/>
              <w:rPr>
                <w:sz w:val="18"/>
                <w:szCs w:val="18"/>
                <w:color w:val="auto"/>
              </w:rPr>
            </w:pPr>
          </w:p>
        </w:tc>
        <w:tc>
          <w:tcPr>
            <w:tcW w:w="9760" w:type="dxa"/>
            <w:vAlign w:val="bottom"/>
            <w:gridSpan w:val="3"/>
          </w:tcPr>
          <w:p>
            <w:pPr>
              <w:ind w:left="2940"/>
              <w:spacing w:after="0"/>
              <w:rPr>
                <w:sz w:val="20"/>
                <w:szCs w:val="20"/>
                <w:color w:val="auto"/>
              </w:rPr>
            </w:pPr>
            <w:r>
              <w:rPr>
                <w:rFonts w:ascii="Arial" w:cs="Arial" w:eastAsia="Arial" w:hAnsi="Arial"/>
                <w:sz w:val="18"/>
                <w:szCs w:val="18"/>
                <w:color w:val="auto"/>
                <w:w w:val="98"/>
              </w:rPr>
              <w:t>the net proceeds from this offering to redeem all of the outstanding 2024 Notes and the</w:t>
            </w:r>
          </w:p>
        </w:tc>
      </w:tr>
      <w:tr>
        <w:trPr>
          <w:trHeight w:val="216"/>
        </w:trPr>
        <w:tc>
          <w:tcPr>
            <w:tcW w:w="1360" w:type="dxa"/>
            <w:vAlign w:val="bottom"/>
          </w:tcPr>
          <w:p>
            <w:pPr>
              <w:spacing w:after="0"/>
              <w:rPr>
                <w:sz w:val="18"/>
                <w:szCs w:val="18"/>
                <w:color w:val="auto"/>
              </w:rPr>
            </w:pPr>
          </w:p>
        </w:tc>
        <w:tc>
          <w:tcPr>
            <w:tcW w:w="9760" w:type="dxa"/>
            <w:vAlign w:val="bottom"/>
            <w:gridSpan w:val="3"/>
          </w:tcPr>
          <w:p>
            <w:pPr>
              <w:ind w:left="2940"/>
              <w:spacing w:after="0"/>
              <w:rPr>
                <w:sz w:val="20"/>
                <w:szCs w:val="20"/>
                <w:color w:val="auto"/>
              </w:rPr>
            </w:pPr>
            <w:r>
              <w:rPr>
                <w:rFonts w:ascii="Arial" w:cs="Arial" w:eastAsia="Arial" w:hAnsi="Arial"/>
                <w:sz w:val="18"/>
                <w:szCs w:val="18"/>
                <w:color w:val="auto"/>
                <w:w w:val="94"/>
              </w:rPr>
              <w:t>remaining net proceeds to invest in new or existing portfolio companies or for other general</w:t>
            </w:r>
          </w:p>
        </w:tc>
      </w:tr>
      <w:tr>
        <w:trPr>
          <w:trHeight w:val="216"/>
        </w:trPr>
        <w:tc>
          <w:tcPr>
            <w:tcW w:w="1360" w:type="dxa"/>
            <w:vAlign w:val="bottom"/>
          </w:tcPr>
          <w:p>
            <w:pPr>
              <w:spacing w:after="0"/>
              <w:rPr>
                <w:sz w:val="18"/>
                <w:szCs w:val="18"/>
                <w:color w:val="auto"/>
              </w:rPr>
            </w:pPr>
          </w:p>
        </w:tc>
        <w:tc>
          <w:tcPr>
            <w:tcW w:w="9760" w:type="dxa"/>
            <w:vAlign w:val="bottom"/>
            <w:gridSpan w:val="3"/>
          </w:tcPr>
          <w:p>
            <w:pPr>
              <w:ind w:left="2940"/>
              <w:spacing w:after="0"/>
              <w:rPr>
                <w:sz w:val="20"/>
                <w:szCs w:val="20"/>
                <w:color w:val="auto"/>
              </w:rPr>
            </w:pPr>
            <w:r>
              <w:rPr>
                <w:rFonts w:ascii="Arial" w:cs="Arial" w:eastAsia="Arial" w:hAnsi="Arial"/>
                <w:sz w:val="18"/>
                <w:szCs w:val="18"/>
                <w:color w:val="auto"/>
                <w:w w:val="96"/>
              </w:rPr>
              <w:t>corporate or strategic purposes, including repaying amounts outstanding under our other</w:t>
            </w:r>
          </w:p>
        </w:tc>
      </w:tr>
      <w:tr>
        <w:trPr>
          <w:trHeight w:val="230"/>
        </w:trPr>
        <w:tc>
          <w:tcPr>
            <w:tcW w:w="1360" w:type="dxa"/>
            <w:vAlign w:val="bottom"/>
          </w:tcPr>
          <w:p>
            <w:pPr>
              <w:spacing w:after="0"/>
              <w:rPr>
                <w:sz w:val="20"/>
                <w:szCs w:val="20"/>
                <w:color w:val="auto"/>
              </w:rPr>
            </w:pPr>
          </w:p>
        </w:tc>
        <w:tc>
          <w:tcPr>
            <w:tcW w:w="5860" w:type="dxa"/>
            <w:vAlign w:val="bottom"/>
          </w:tcPr>
          <w:p>
            <w:pPr>
              <w:ind w:left="2940"/>
              <w:spacing w:after="0"/>
              <w:rPr>
                <w:sz w:val="20"/>
                <w:szCs w:val="20"/>
                <w:color w:val="auto"/>
              </w:rPr>
            </w:pPr>
            <w:r>
              <w:rPr>
                <w:rFonts w:ascii="Arial" w:cs="Arial" w:eastAsia="Arial" w:hAnsi="Arial"/>
                <w:sz w:val="18"/>
                <w:szCs w:val="18"/>
                <w:color w:val="auto"/>
              </w:rPr>
              <w:t>existing indebtedness.</w:t>
            </w: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58"/>
        </w:trPr>
        <w:tc>
          <w:tcPr>
            <w:tcW w:w="13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9760" w:type="dxa"/>
            <w:vAlign w:val="bottom"/>
            <w:gridSpan w:val="3"/>
          </w:tcPr>
          <w:p>
            <w:pPr>
              <w:ind w:left="2940"/>
              <w:spacing w:after="0"/>
              <w:rPr>
                <w:sz w:val="20"/>
                <w:szCs w:val="20"/>
                <w:color w:val="auto"/>
              </w:rPr>
            </w:pPr>
            <w:r>
              <w:rPr>
                <w:rFonts w:ascii="Arial" w:cs="Arial" w:eastAsia="Arial" w:hAnsi="Arial"/>
                <w:sz w:val="18"/>
                <w:szCs w:val="18"/>
                <w:color w:val="auto"/>
                <w:w w:val="92"/>
              </w:rPr>
              <w:t>See “</w:t>
            </w:r>
            <w:r>
              <w:rPr>
                <w:rFonts w:ascii="Arial" w:cs="Arial" w:eastAsia="Arial" w:hAnsi="Arial"/>
                <w:sz w:val="18"/>
                <w:szCs w:val="18"/>
                <w:i w:val="1"/>
                <w:iCs w:val="1"/>
                <w:color w:val="auto"/>
                <w:w w:val="92"/>
              </w:rPr>
              <w:t>Risk Factors</w:t>
            </w:r>
            <w:r>
              <w:rPr>
                <w:rFonts w:ascii="Arial" w:cs="Arial" w:eastAsia="Arial" w:hAnsi="Arial"/>
                <w:sz w:val="18"/>
                <w:szCs w:val="18"/>
                <w:color w:val="auto"/>
                <w:w w:val="92"/>
              </w:rPr>
              <w:t>” beginning on page S-12 of this prospectus supplement and beginning on</w:t>
            </w:r>
          </w:p>
        </w:tc>
      </w:tr>
      <w:tr>
        <w:trPr>
          <w:trHeight w:val="216"/>
        </w:trPr>
        <w:tc>
          <w:tcPr>
            <w:tcW w:w="1360" w:type="dxa"/>
            <w:vAlign w:val="bottom"/>
          </w:tcPr>
          <w:p>
            <w:pPr>
              <w:spacing w:after="0"/>
              <w:rPr>
                <w:sz w:val="18"/>
                <w:szCs w:val="18"/>
                <w:color w:val="auto"/>
              </w:rPr>
            </w:pPr>
          </w:p>
        </w:tc>
        <w:tc>
          <w:tcPr>
            <w:tcW w:w="9760" w:type="dxa"/>
            <w:vAlign w:val="bottom"/>
            <w:gridSpan w:val="3"/>
          </w:tcPr>
          <w:p>
            <w:pPr>
              <w:ind w:left="2940"/>
              <w:spacing w:after="0"/>
              <w:rPr>
                <w:sz w:val="20"/>
                <w:szCs w:val="20"/>
                <w:color w:val="auto"/>
              </w:rPr>
            </w:pPr>
            <w:r>
              <w:rPr>
                <w:rFonts w:ascii="Arial" w:cs="Arial" w:eastAsia="Arial" w:hAnsi="Arial"/>
                <w:sz w:val="18"/>
                <w:szCs w:val="18"/>
                <w:color w:val="auto"/>
                <w:w w:val="90"/>
              </w:rPr>
              <w:t>page 7 of the accompanying prospectus for a discussion of risks you should carefully consider</w:t>
            </w:r>
          </w:p>
        </w:tc>
      </w:tr>
      <w:tr>
        <w:trPr>
          <w:trHeight w:val="230"/>
        </w:trPr>
        <w:tc>
          <w:tcPr>
            <w:tcW w:w="1360" w:type="dxa"/>
            <w:vAlign w:val="bottom"/>
          </w:tcPr>
          <w:p>
            <w:pPr>
              <w:spacing w:after="0"/>
              <w:rPr>
                <w:sz w:val="20"/>
                <w:szCs w:val="20"/>
                <w:color w:val="auto"/>
              </w:rPr>
            </w:pPr>
          </w:p>
        </w:tc>
        <w:tc>
          <w:tcPr>
            <w:tcW w:w="5860" w:type="dxa"/>
            <w:vAlign w:val="bottom"/>
          </w:tcPr>
          <w:p>
            <w:pPr>
              <w:ind w:left="2940"/>
              <w:spacing w:after="0"/>
              <w:rPr>
                <w:sz w:val="20"/>
                <w:szCs w:val="20"/>
                <w:color w:val="auto"/>
              </w:rPr>
            </w:pPr>
            <w:r>
              <w:rPr>
                <w:rFonts w:ascii="Arial" w:cs="Arial" w:eastAsia="Arial" w:hAnsi="Arial"/>
                <w:sz w:val="18"/>
                <w:szCs w:val="18"/>
                <w:color w:val="auto"/>
                <w:w w:val="96"/>
              </w:rPr>
              <w:t>before deciding to invest in the Notes.</w:t>
            </w: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64"/>
        </w:trPr>
        <w:tc>
          <w:tcPr>
            <w:tcW w:w="1360" w:type="dxa"/>
            <w:vAlign w:val="bottom"/>
          </w:tcPr>
          <w:p>
            <w:pPr>
              <w:spacing w:after="0"/>
              <w:rPr>
                <w:sz w:val="24"/>
                <w:szCs w:val="24"/>
                <w:color w:val="auto"/>
              </w:rPr>
            </w:pPr>
          </w:p>
        </w:tc>
        <w:tc>
          <w:tcPr>
            <w:tcW w:w="5860" w:type="dxa"/>
            <w:vAlign w:val="bottom"/>
          </w:tcPr>
          <w:p>
            <w:pPr>
              <w:ind w:left="4140"/>
              <w:spacing w:after="0"/>
              <w:rPr>
                <w:sz w:val="20"/>
                <w:szCs w:val="20"/>
                <w:color w:val="auto"/>
              </w:rPr>
            </w:pPr>
            <w:r>
              <w:rPr>
                <w:rFonts w:ascii="Arial" w:cs="Arial" w:eastAsia="Arial" w:hAnsi="Arial"/>
                <w:sz w:val="18"/>
                <w:szCs w:val="18"/>
                <w:color w:val="auto"/>
              </w:rPr>
              <w:t>S-6</w:t>
            </w:r>
          </w:p>
        </w:tc>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120"/>
          </w:cols>
          <w:pgMar w:left="320" w:top="44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i w:val="1"/>
          <w:iCs w:val="1"/>
          <w:color w:val="auto"/>
        </w:rPr>
        <w:t>In this prospectus supplement and the accompanying prospectus, except where the context suggests otherwise, the terms “Company,” “we,” “our” or “us” refers to PennantPark Investment Corporation and its consolidated subsidiaries; “PennantPark Investment” refers to only PennantPark Investment Corporation; SBIC II refers to our consolidated subsidiary, PennantPark SBIC II LP; “Funding I” refers to PennantPark Investment Funding I, LLC, a wholly-owned subsidiary prior to deconsolidation on July 31, 2020; “Taxable Subsidiaries” refers to PNNT CI (Galls) Prime Investment Holdings, LLC, and PNNT Investment Holdings, LLC; “PSLF” refers to PennantPark Senior Loan Fund, LLC, an unconsolidated joint venture; “Investment Adviser” refers to our investment adviser, PennantPark Investment Advisers, LLC; “Administrator” refers to our administrator,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“BDC” refers to a business development company under the Investment Company Act of 1940, as amended, or the “1940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to a lesser extent, equity investments.</w:t>
      </w:r>
    </w:p>
    <w:p>
      <w:pPr>
        <w:spacing w:after="0" w:line="18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Certain biographical information about our directors and officers is set forth in our proxy statement on Schedule 14A filed with the SEC on December 8, 2020, which is incorporated by reference herein. In addition, Samuel Katz, one of our independent directors, serves as the Chief Executive Officer and director of TZP Strategies Acquisition Corp. (Nasdaq: TZPS), a special purpose acquisition company incorporated in the Cayman Islands.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and our common stock trades on the Nasdaq Global Select Market under the symbol “PNNT”.</w:t>
      </w:r>
    </w:p>
    <w:p>
      <w:pPr>
        <w:spacing w:after="0" w:line="161"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July 31, 2020, we and certain entities and managed accounts of the private credit investment manager of Pantheon Ventures (UK) LLP entered into a limited liability company agreement to co-manage PSLF, a newly formed unconsolidated joint venture. PSLF invests primarily in middle-market and other corporate debt securities consistent with our strategy.</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utilize the investing experience and contacts of our Investment Adviser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$13.1 billion in 566 companies with approximately 195 different financial sponsors through its managed funds.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Structure—There are significant potential conflicts of interest which could impact our investment returns</w:t>
      </w:r>
      <w:r>
        <w:rPr>
          <w:rFonts w:ascii="Arial" w:cs="Arial" w:eastAsia="Arial" w:hAnsi="Arial"/>
          <w:sz w:val="18"/>
          <w:szCs w:val="18"/>
          <w:color w:val="auto"/>
        </w:rPr>
        <w:t>” in our most recent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more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administrative and principal executive offices are located at 590 Madison Avenue, 15</w:t>
      </w:r>
      <w:r>
        <w:rPr>
          <w:rFonts w:ascii="Arial" w:cs="Arial" w:eastAsia="Arial" w:hAnsi="Arial"/>
          <w:sz w:val="14"/>
          <w:szCs w:val="14"/>
          <w:color w:val="auto"/>
        </w:rPr>
        <w:t>th</w:t>
      </w:r>
      <w:r>
        <w:rPr>
          <w:rFonts w:ascii="Arial" w:cs="Arial" w:eastAsia="Arial" w:hAnsi="Arial"/>
          <w:sz w:val="17"/>
          <w:szCs w:val="17"/>
          <w:color w:val="auto"/>
        </w:rPr>
        <w:t xml:space="preserve"> Floor, New York, NY 10022. Our common stock and 2024 Notes are quoted on The Nasdaq Global Select Market under the symbols “PNNT” and “PNNTG”, respectively.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us,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100"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 or any worsening thereof;</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effectively manage our business due to the significant disruptions caused by the current COVID-19 pandemic or any worsening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(commonly known as “Brexit”) and other world economic and political issues.</w:t>
      </w:r>
    </w:p>
    <w:p>
      <w:pPr>
        <w:spacing w:after="0" w:line="170"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supplement and the accompanying prospectus, in the documents incorporated by reference, and elsewhere in this prospectus supplement and the accompanying prospectus.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any subsequent Quarterly Reports on Form 10-Q or any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forth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the Notes may decline, and you may lose all or part of your investment.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16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June 30, 2021, we had approximately $214.5 million in outstanding borrowings under the Truist Credit Facility. The Truist Credit Facility is secured by substantially all of our assets excluding assets held by SBIC II. The indebtedness under the Truist Credit Facility is therefore effectively senior to the Notes to the extent of the value of such assets.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22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Notes are obligations exclusively of PennantPark Investment Corporation and not of any of our subsidiaries. None of our subsidiaries is or acts as a guarantor of the Notes, and the Notes are not required to be guaranteed by any subsidiaries we may acquire or create in the future. Our secured indebtedness with respect to the SBA debentures is held through SBIC II. The assets of any such subsidiaries are not directly available to satisfy the claims of our creditors, including holders of the Notes.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subsidiaries) will have priority over our equity interests in such subsidiaries (and therefore the claims of our creditors, including holders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with respect to the assets of such subsidiaries. Even if we are recognized as a creditor of one or more of our subsidiaries, our claims would still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 subordinated to any security interests in the assets of any such subsidiary and to any indebtedness or other liabilities of any such subsidiary senior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claims. Consequently, the Notes will be structurally subordinated to all indebtedness and other liabilities (including trade payables)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subsidiaries and any subsidiaries that we may in the future acquire or establish as financing vehicles or otherwise. As of June 30, 2021, SBIC II had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$63.5 million of indebtedness outstanding under the SBA debentures. All of such indebtedness would be structurally senior to the Notes. In addition,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 may incur substantial additional indebtedness in the future, all of which would be structurally senior to the Notes.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229"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080" w:hanging="424"/>
        <w:spacing w:after="0" w:line="28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w:t>
      </w:r>
    </w:p>
    <w:p>
      <w:pPr>
        <w:spacing w:after="0" w:line="2" w:lineRule="exact"/>
        <w:rPr>
          <w:rFonts w:ascii="Arial" w:cs="Arial" w:eastAsia="Arial" w:hAnsi="Arial"/>
          <w:sz w:val="16"/>
          <w:szCs w:val="16"/>
          <w:color w:val="auto"/>
        </w:rPr>
      </w:pPr>
    </w:p>
    <w:p>
      <w:pPr>
        <w:ind w:left="1080" w:right="440"/>
        <w:spacing w:after="0" w:line="260" w:lineRule="auto"/>
        <w:rPr>
          <w:rFonts w:ascii="Arial" w:cs="Arial" w:eastAsia="Arial" w:hAnsi="Arial"/>
          <w:sz w:val="16"/>
          <w:szCs w:val="16"/>
          <w:color w:val="auto"/>
        </w:rPr>
      </w:pPr>
      <w:r>
        <w:rPr>
          <w:rFonts w:ascii="Arial" w:cs="Arial" w:eastAsia="Arial" w:hAnsi="Arial"/>
          <w:sz w:val="18"/>
          <w:szCs w:val="18"/>
          <w:color w:val="auto"/>
        </w:rPr>
        <w:t>(A) of the 1940 Act, as modified by Section 61(a)(1) and (2) of the 1940 Act or any successor provisions, as such obligations may be amended or superseded, giving effect to any exemptive relief granted to us by the SEC;</w:t>
      </w:r>
    </w:p>
    <w:p>
      <w:pPr>
        <w:spacing w:after="0" w:line="90"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other than in connection with a Change of Control Repurchase Event.</w:t>
      </w:r>
    </w:p>
    <w:p>
      <w:pPr>
        <w:spacing w:after="0" w:line="17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and the Notes. See “</w:t>
      </w:r>
      <w:r>
        <w:rPr>
          <w:rFonts w:ascii="Arial" w:cs="Arial" w:eastAsia="Arial" w:hAnsi="Arial"/>
          <w:sz w:val="17"/>
          <w:szCs w:val="17"/>
          <w:i w:val="1"/>
          <w:iCs w:val="1"/>
          <w:color w:val="auto"/>
        </w:rPr>
        <w:t>Risk Factors—Risks Relating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and Structure</w:t>
      </w:r>
      <w:r>
        <w:rPr>
          <w:rFonts w:ascii="Arial" w:cs="Arial" w:eastAsia="Arial" w:hAnsi="Arial"/>
          <w:sz w:val="17"/>
          <w:szCs w:val="17"/>
          <w:color w:val="auto"/>
        </w:rPr>
        <w:t>” including “</w:t>
      </w:r>
      <w:r>
        <w:rPr>
          <w:rFonts w:ascii="Arial" w:cs="Arial" w:eastAsia="Arial" w:hAnsi="Arial"/>
          <w:sz w:val="17"/>
          <w:szCs w:val="17"/>
          <w:i w:val="1"/>
          <w:iCs w:val="1"/>
          <w:color w:val="auto"/>
        </w:rPr>
        <w:t>Risk Factors—Risks Relating to Our Business and Structure—We are subject to various covenants under our Credit Facility which, if not complied with, could result in reduced availability and/or mandatory prepayments under our Credit Facility and SBA debentures</w:t>
      </w:r>
      <w:r>
        <w:rPr>
          <w:rFonts w:ascii="Arial" w:cs="Arial" w:eastAsia="Arial" w:hAnsi="Arial"/>
          <w:sz w:val="17"/>
          <w:szCs w:val="17"/>
          <w:color w:val="auto"/>
        </w:rPr>
        <w:t>” in our most recent Annual Report on Form 10-K for more information. In addition, other debt we issue or incur in the future could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4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Notes will be redeemable in whole or in part upon certain conditions at any time, or from time to time, at our option, as described in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the Notes—Optional Redemption</w:t>
      </w:r>
      <w:r>
        <w:rPr>
          <w:rFonts w:ascii="Arial" w:cs="Arial" w:eastAsia="Arial" w:hAnsi="Arial"/>
          <w:sz w:val="18"/>
          <w:szCs w:val="18"/>
          <w:color w:val="auto"/>
        </w:rPr>
        <w:t>.” We may choose to redeem the Notes at times when prevailing interest rates are lower than the interest rate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In this circumstance, you may not be able to reinvest the redemption proceeds in a comparable security at an effective interest rate as high as the Notes being redeemed.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not be able to repurchase the Notes upon a Change of Control Repurchase Event.</w:t>
      </w:r>
    </w:p>
    <w:p>
      <w:pPr>
        <w:spacing w:after="0" w:line="22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Upon the occurrence of a Change of Control Repurchase Event, as defined in the indenture that governs the Notes,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Before making any such repurchase of Notes, we may have to comply with certain requirements under our then existing financing arrangements, such as the Truist Credit Facility, the 2024 Notes, the 2026</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Notes and the SBA debentures. Our future debt instruments may also contain similar restrictions and provisions. If the holders of the Notes exercise their right to require us to repurchase the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w:t>
      </w:r>
      <w:r>
        <w:rPr>
          <w:rFonts w:ascii="Arial" w:cs="Arial" w:eastAsia="Arial" w:hAnsi="Arial"/>
          <w:sz w:val="17"/>
          <w:szCs w:val="17"/>
          <w:i w:val="1"/>
          <w:iCs w:val="1"/>
          <w:color w:val="auto"/>
        </w:rPr>
        <w:t>Description of the Notes—Offer to Repurchase Upon a Change of Control Repurchase Event</w:t>
      </w:r>
      <w:r>
        <w:rPr>
          <w:rFonts w:ascii="Arial" w:cs="Arial" w:eastAsia="Arial" w:hAnsi="Arial"/>
          <w:sz w:val="17"/>
          <w:szCs w:val="17"/>
          <w:color w:val="auto"/>
        </w:rPr>
        <w: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There is no active trading market for the Notes. If an active trading market does not develop for the Notes, you may not be able to sell them.</w:t>
      </w:r>
    </w:p>
    <w:p>
      <w:pPr>
        <w:spacing w:after="0" w:line="2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including the impact of COVID-19,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r>
        <w:rPr>
          <w:rFonts w:ascii="Arial" w:cs="Arial" w:eastAsia="Arial" w:hAnsi="Arial"/>
          <w:sz w:val="17"/>
          <w:szCs w:val="17"/>
          <w:b w:val="1"/>
          <w:bCs w:val="1"/>
          <w:color w:val="auto"/>
        </w:rPr>
        <w: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22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the Truist Credit Facility, the 2024 Notes, the 2026 Notes, the SBA debentures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the Truist Credit Facility, the 2024 Notes, the 2026 Notes, the SBA debentures or other debt we may incur in the future could elect to terminate their commitments, cease making further loans and institute foreclosure proceedings against our assets, and we could be forced into bankruptcy or liquidation.</w:t>
      </w:r>
    </w:p>
    <w:p>
      <w:pPr>
        <w:spacing w:after="0" w:line="17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If our operating performance declines, we may in the future need to seek to obtain waivers from the required lenders or holders under the agreements relating to the Truist Credit Facility, the 2024 Notes, the 2026 Notes, the SBA debentures or other debt that we may incur in the future to avoid being in default. If we breach our covenants under the Truist Credit Facility, the 2024 Notes, the 2026 Notes, the SBA debentures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having secured obligations, including the lenders under the Truist Credit Facility and the SBA debentures, could proceed against the collateral securing such debt. Because the Truist Credit Facility, the 2024 Notes, the 2026 Notes and the SBA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debentures have, and any future debt will likely have, customary cross-default provisions, if the indebtedness thereunder or under any future credit facility is accelerated, we may be unable to repay or finance the amounts due.</w:t>
      </w:r>
    </w:p>
    <w:p>
      <w:pPr>
        <w:spacing w:after="0" w:line="166"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or change in the debt markets could cause the liquidity or market value of the Notes to decline significantly.</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the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the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534"/>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60" w:type="dxa"/>
            <w:vAlign w:val="bottom"/>
            <w:gridSpan w:val="2"/>
          </w:tcPr>
          <w:p>
            <w:pPr>
              <w:ind w:left="900"/>
              <w:spacing w:after="0"/>
              <w:rPr>
                <w:sz w:val="20"/>
                <w:szCs w:val="20"/>
                <w:color w:val="auto"/>
              </w:rPr>
            </w:pPr>
            <w:r>
              <w:rPr>
                <w:rFonts w:ascii="Arial" w:cs="Arial" w:eastAsia="Arial" w:hAnsi="Arial"/>
                <w:sz w:val="18"/>
                <w:szCs w:val="18"/>
                <w:b w:val="1"/>
                <w:bCs w:val="1"/>
                <w:color w:val="auto"/>
              </w:rPr>
              <w:t>USE OF PROCEEDS</w:t>
            </w:r>
          </w:p>
        </w:tc>
        <w:tc>
          <w:tcPr>
            <w:tcW w:w="1100" w:type="dxa"/>
            <w:vAlign w:val="bottom"/>
          </w:tcPr>
          <w:p>
            <w:pPr>
              <w:spacing w:after="0"/>
              <w:rPr>
                <w:sz w:val="24"/>
                <w:szCs w:val="24"/>
                <w:color w:val="auto"/>
              </w:rPr>
            </w:pPr>
          </w:p>
        </w:tc>
      </w:tr>
      <w:tr>
        <w:trPr>
          <w:trHeight w:val="418"/>
        </w:trPr>
        <w:tc>
          <w:tcPr>
            <w:tcW w:w="5520" w:type="dxa"/>
            <w:vAlign w:val="bottom"/>
            <w:gridSpan w:val="3"/>
          </w:tcPr>
          <w:p>
            <w:pPr>
              <w:ind w:left="120"/>
              <w:spacing w:after="0"/>
              <w:rPr>
                <w:sz w:val="20"/>
                <w:szCs w:val="20"/>
                <w:color w:val="auto"/>
              </w:rPr>
            </w:pPr>
            <w:r>
              <w:rPr>
                <w:rFonts w:ascii="Arial" w:cs="Arial" w:eastAsia="Arial" w:hAnsi="Arial"/>
                <w:sz w:val="18"/>
                <w:szCs w:val="18"/>
                <w:color w:val="auto"/>
                <w:w w:val="99"/>
              </w:rPr>
              <w:t>We estimate that the net proceeds we will receive from the sale of $</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w w:val="96"/>
              </w:rPr>
              <w:t>million aggregate principal amount of the Notes in this offering will be</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w w:val="95"/>
              </w:rPr>
              <w:t>approximately $</w:t>
            </w:r>
          </w:p>
        </w:tc>
        <w:tc>
          <w:tcPr>
            <w:tcW w:w="4160" w:type="dxa"/>
            <w:vAlign w:val="bottom"/>
            <w:gridSpan w:val="2"/>
          </w:tcPr>
          <w:p>
            <w:pPr>
              <w:ind w:left="700"/>
              <w:spacing w:after="0"/>
              <w:rPr>
                <w:sz w:val="20"/>
                <w:szCs w:val="20"/>
                <w:color w:val="auto"/>
              </w:rPr>
            </w:pPr>
            <w:r>
              <w:rPr>
                <w:rFonts w:ascii="Arial" w:cs="Arial" w:eastAsia="Arial" w:hAnsi="Arial"/>
                <w:sz w:val="18"/>
                <w:szCs w:val="18"/>
                <w:color w:val="auto"/>
                <w:w w:val="99"/>
              </w:rPr>
              <w:t>million, based on the public offering price of</w:t>
            </w:r>
          </w:p>
        </w:tc>
        <w:tc>
          <w:tcPr>
            <w:tcW w:w="5520" w:type="dxa"/>
            <w:vAlign w:val="bottom"/>
            <w:gridSpan w:val="2"/>
          </w:tcPr>
          <w:p>
            <w:pPr>
              <w:ind w:left="480"/>
              <w:spacing w:after="0"/>
              <w:rPr>
                <w:sz w:val="20"/>
                <w:szCs w:val="20"/>
                <w:color w:val="auto"/>
              </w:rPr>
            </w:pPr>
            <w:r>
              <w:rPr>
                <w:rFonts w:ascii="Arial" w:cs="Arial" w:eastAsia="Arial" w:hAnsi="Arial"/>
                <w:sz w:val="18"/>
                <w:szCs w:val="18"/>
                <w:color w:val="auto"/>
                <w:w w:val="91"/>
              </w:rPr>
              <w:t>% of the aggregate principal amount, after deducting the underwriting</w:t>
            </w:r>
          </w:p>
        </w:tc>
      </w:tr>
      <w:tr>
        <w:trPr>
          <w:trHeight w:val="216"/>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discounts and commissions of approximately $</w:t>
            </w:r>
          </w:p>
        </w:tc>
        <w:tc>
          <w:tcPr>
            <w:tcW w:w="6060" w:type="dxa"/>
            <w:vAlign w:val="bottom"/>
            <w:gridSpan w:val="2"/>
          </w:tcPr>
          <w:p>
            <w:pPr>
              <w:ind w:left="380"/>
              <w:spacing w:after="0"/>
              <w:rPr>
                <w:sz w:val="20"/>
                <w:szCs w:val="20"/>
                <w:color w:val="auto"/>
              </w:rPr>
            </w:pPr>
            <w:r>
              <w:rPr>
                <w:rFonts w:ascii="Arial" w:cs="Arial" w:eastAsia="Arial" w:hAnsi="Arial"/>
                <w:sz w:val="18"/>
                <w:szCs w:val="18"/>
                <w:color w:val="auto"/>
                <w:w w:val="96"/>
              </w:rPr>
              <w:t>million payable by us and estimated offering expenses of approximately $</w:t>
            </w:r>
          </w:p>
        </w:tc>
        <w:tc>
          <w:tcPr>
            <w:tcW w:w="1100" w:type="dxa"/>
            <w:vAlign w:val="bottom"/>
          </w:tcPr>
          <w:p>
            <w:pPr>
              <w:ind w:left="360"/>
              <w:spacing w:after="0"/>
              <w:rPr>
                <w:sz w:val="20"/>
                <w:szCs w:val="20"/>
                <w:color w:val="auto"/>
              </w:rPr>
            </w:pPr>
            <w:r>
              <w:rPr>
                <w:rFonts w:ascii="Arial" w:cs="Arial" w:eastAsia="Arial" w:hAnsi="Arial"/>
                <w:sz w:val="18"/>
                <w:szCs w:val="18"/>
                <w:color w:val="auto"/>
              </w:rPr>
              <w:t>million</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rPr>
              <w:t>payable by us.</w:t>
            </w:r>
          </w:p>
        </w:tc>
        <w:tc>
          <w:tcPr>
            <w:tcW w:w="2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line="257" w:lineRule="auto"/>
        <w:rPr>
          <w:sz w:val="20"/>
          <w:szCs w:val="20"/>
          <w:color w:val="auto"/>
        </w:rPr>
      </w:pPr>
      <w:r>
        <w:rPr>
          <w:rFonts w:ascii="Arial" w:cs="Arial" w:eastAsia="Arial" w:hAnsi="Arial"/>
          <w:sz w:val="18"/>
          <w:szCs w:val="18"/>
          <w:color w:val="auto"/>
        </w:rPr>
        <w:t>We intend to use a portion of the net proceeds from this offering to redeem all of the outstanding 2024 Notes and the remaining net proceeds to invest in new or existing portfolio companies or for other general corporate or strategic purposes, including repaying amounts outstanding under our other existing indebtedness. Affiliates of certain of the underwriters serve as lenders under the Truist Credit Facility. Accordingly, affiliates of certain of the underwriters are expected to receive proceeds from this offering if we use proceeds from this offering to reduce our outstanding obligations under the Truist Credit Facility.</w:t>
      </w:r>
    </w:p>
    <w:p>
      <w:pPr>
        <w:spacing w:after="0" w:line="188"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As of June 30, 2021, we had approximately $214.5 million in outstanding borrowings under the Truist Credit Facility, approximately $86.3 million outstanding under our 2024 Notes, $150.0 million outstanding under our 2026 Notes and $63.5 million outstanding under the SBA debentures. After completing this offering, we may continue to borrow under our existing financing arrangements to finance our investment objectives.</w:t>
      </w:r>
    </w:p>
    <w:p>
      <w:pPr>
        <w:spacing w:after="0" w:line="14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Truist Credit Facility had a weighted average interest rate of 2.5%, exclusive of the fee on undrawn commitments, as of June 30, 2021. The Truist Credit Facility has a stated maturity date of September 4, 2024, a one-year term-out period on September 4, 2023 and bear interest at an annual rate equal to LIBOR (or an alternative risk-free floating interest rate index) plus 225 basis points.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most recent Quarterly Report on Form 10-Q for more information.</w:t>
      </w:r>
    </w:p>
    <w:p>
      <w:pPr>
        <w:spacing w:after="0" w:line="17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may invest the net proceeds from this offering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Arial" w:cs="Arial" w:eastAsia="Arial" w:hAnsi="Arial"/>
          <w:sz w:val="17"/>
          <w:szCs w:val="17"/>
          <w:i w:val="1"/>
          <w:iCs w:val="1"/>
          <w:color w:val="auto"/>
        </w:rPr>
        <w:t>Business—Regulation—Temporary Investments</w:t>
      </w:r>
      <w:r>
        <w:rPr>
          <w:rFonts w:ascii="Arial" w:cs="Arial" w:eastAsia="Arial" w:hAnsi="Arial"/>
          <w:sz w:val="17"/>
          <w:szCs w:val="17"/>
          <w:color w:val="auto"/>
        </w:rPr>
        <w:t>” in our most recently filed Annual Report on Form 10- K for more information.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4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Information about our senior securities is shown in the following tables for the fiscal years ended September 30, 2020, 2019, 2018, 2017, 2016, 2015, 2014, 2013, 2012 and 2011. The annual information has been derived from our audited financial statements for each respective period, which have been audited by RSM US LLP, our independent registered public accounting firm. RSM US LLP’s report on the senior securities table as of September 30, 2020 is attached as Exhibit 99.5 to our Annual Report on Form 10-K for the fiscal year ended September 30, 2020. The information as of June 30, 2021 has been derived from our unaudited financial statements for such period and was not audited by RSM US LLP.</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Asset Coverage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334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88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13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800" w:type="dxa"/>
            <w:vAlign w:val="bottom"/>
          </w:tcPr>
          <w:p>
            <w:pPr>
              <w:spacing w:after="0"/>
              <w:rPr>
                <w:sz w:val="15"/>
                <w:szCs w:val="15"/>
                <w:color w:val="auto"/>
              </w:rPr>
            </w:pPr>
          </w:p>
        </w:tc>
        <w:tc>
          <w:tcPr>
            <w:tcW w:w="9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8"/>
              </w:rPr>
              <w:t>Per Unit</w:t>
            </w:r>
            <w:r>
              <w:rPr>
                <w:rFonts w:ascii="Arial" w:cs="Arial" w:eastAsia="Arial" w:hAnsi="Arial"/>
                <w:sz w:val="12"/>
                <w:szCs w:val="12"/>
                <w:b w:val="1"/>
                <w:bCs w:val="1"/>
                <w:color w:val="auto"/>
                <w:w w:val="98"/>
              </w:rPr>
              <w:t>(2), (3)</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90"/>
        </w:trPr>
        <w:tc>
          <w:tcPr>
            <w:tcW w:w="4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Truist Credit Facility</w:t>
            </w:r>
          </w:p>
        </w:tc>
        <w:tc>
          <w:tcPr>
            <w:tcW w:w="4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2021 (through June 30, 2021) (unaudited)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214,545</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388,252</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301,636</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80,520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79,393</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2,998</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50,340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136,864</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55,226</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145,500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240,900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BNP Credit Facility</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 Notes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2,919</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2021 (through June 30, 2021) (unaudited)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86,250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24.87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2025 Notes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71,250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24.68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25.13</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71,250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2026 Notes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2021 (through June 30, 2021) (unaudited)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180" w:hanging="424"/>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5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spacing w:after="0" w:line="1"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Arial" w:cs="Arial" w:eastAsia="Arial" w:hAnsi="Arial"/>
          <w:sz w:val="16"/>
          <w:szCs w:val="16"/>
          <w:color w:val="auto"/>
        </w:rPr>
      </w:pPr>
    </w:p>
    <w:p>
      <w:pPr>
        <w:ind w:left="540" w:hanging="424"/>
        <w:spacing w:after="0" w:line="255"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our cash and capitalization on June 30, 2021 (1) on an actual basis and (2) on an as-adjusted basis to reflect the effects of</w:t>
      </w:r>
    </w:p>
    <w:p>
      <w:pPr>
        <w:spacing w:after="0" w:line="46"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the sale of $ million aggregate principal amount of Notes in this offering based on the public offering price of % of the aggregate principal amount, after deducting the underwriting discounts and commissions of $ million payable by us and estimated offering expenses of approximately $ million payable by us. The as-adjusted information is illustrative only; our capitalization following the completion of this</w:t>
      </w:r>
    </w:p>
    <w:p>
      <w:pPr>
        <w:ind w:left="120" w:right="20"/>
        <w:spacing w:after="0" w:line="253" w:lineRule="auto"/>
        <w:rPr>
          <w:sz w:val="20"/>
          <w:szCs w:val="20"/>
          <w:color w:val="auto"/>
        </w:rPr>
      </w:pPr>
      <w:r>
        <w:rPr>
          <w:rFonts w:ascii="Arial" w:cs="Arial" w:eastAsia="Arial" w:hAnsi="Arial"/>
          <w:sz w:val="18"/>
          <w:szCs w:val="18"/>
          <w:color w:val="auto"/>
        </w:rPr>
        <w:t>offering is subject to further adjustments, such as the potential repayment of certain of our existing indebtedness. You should read this table together with “</w:t>
      </w:r>
      <w:r>
        <w:rPr>
          <w:rFonts w:ascii="Arial" w:cs="Arial" w:eastAsia="Arial" w:hAnsi="Arial"/>
          <w:sz w:val="18"/>
          <w:szCs w:val="18"/>
          <w:i w:val="1"/>
          <w:iCs w:val="1"/>
          <w:color w:val="auto"/>
        </w:rPr>
        <w:t>Use of Proceeds</w:t>
      </w:r>
      <w:r>
        <w:rPr>
          <w:rFonts w:ascii="Arial" w:cs="Arial" w:eastAsia="Arial" w:hAnsi="Arial"/>
          <w:sz w:val="18"/>
          <w:szCs w:val="18"/>
          <w:color w:val="auto"/>
        </w:rPr>
        <w:t>” set forth in this prospectus supplement. You should also read this table with our Consolidated Financial Statements and related notes thereto, in conjunction with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most recent Quarterly Report on Form 10-Q for more information.</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As of June 30, 2021</w:t>
            </w:r>
          </w:p>
        </w:tc>
      </w:tr>
      <w:tr>
        <w:trPr>
          <w:trHeight w:val="171"/>
        </w:trPr>
        <w:tc>
          <w:tcPr>
            <w:tcW w:w="1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r>
      <w:tr>
        <w:trPr>
          <w:trHeight w:val="142"/>
        </w:trPr>
        <w:tc>
          <w:tcPr>
            <w:tcW w:w="15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940"/>
              <w:spacing w:after="0" w:line="142" w:lineRule="exact"/>
              <w:rPr>
                <w:sz w:val="20"/>
                <w:szCs w:val="20"/>
                <w:color w:val="auto"/>
              </w:rPr>
            </w:pPr>
            <w:r>
              <w:rPr>
                <w:rFonts w:ascii="Arial" w:cs="Arial" w:eastAsia="Arial" w:hAnsi="Arial"/>
                <w:sz w:val="14"/>
                <w:szCs w:val="14"/>
                <w:b w:val="1"/>
                <w:bCs w:val="1"/>
                <w:color w:val="auto"/>
              </w:rPr>
              <w:t>Actual</w:t>
            </w:r>
          </w:p>
        </w:tc>
        <w:tc>
          <w:tcPr>
            <w:tcW w:w="10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As adjusted</w:t>
            </w:r>
          </w:p>
        </w:tc>
        <w:tc>
          <w:tcPr>
            <w:tcW w:w="60" w:type="dxa"/>
            <w:vAlign w:val="bottom"/>
          </w:tcPr>
          <w:p>
            <w:pPr>
              <w:spacing w:after="0"/>
              <w:rPr>
                <w:sz w:val="12"/>
                <w:szCs w:val="12"/>
                <w:color w:val="auto"/>
              </w:rPr>
            </w:pPr>
          </w:p>
        </w:tc>
      </w:tr>
      <w:tr>
        <w:trPr>
          <w:trHeight w:val="210"/>
        </w:trPr>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Cash and cash equivalents (cost—$14,207,092 and $ , respectively)</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14,212,253</w:t>
            </w:r>
          </w:p>
        </w:tc>
        <w:tc>
          <w:tcPr>
            <w:tcW w:w="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Credit Facility payable, at fair value (cost—$214,544,900)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213,489,240</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2024 Notes payable, net (par—$86,250,000)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84,336,685</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Notes payable, net (par—$150,000,000)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145,639,797</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SBA debentures payable, net (par—$63,500,000)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62,110,290</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Notes (par—$</w:t>
            </w:r>
          </w:p>
        </w:tc>
        <w:tc>
          <w:tcPr>
            <w:tcW w:w="3660" w:type="dxa"/>
            <w:vAlign w:val="bottom"/>
            <w:shd w:val="clear" w:color="auto" w:fill="CCEEFF"/>
          </w:tcPr>
          <w:p>
            <w:pPr>
              <w:jc w:val="right"/>
              <w:ind w:right="31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b w:val="1"/>
                <w:bCs w:val="1"/>
                <w:color w:val="auto"/>
              </w:rPr>
              <w:t>Net Asset Value</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5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67,045,105 shares issued and outstanding, Par value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$0.001 per share and 100,000,000 shares authorized</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67,045</w:t>
            </w: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Paid-in capital in excess of par value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787,625,031</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distributable net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(144,610,581)</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1560" w:type="dxa"/>
            <w:vAlign w:val="bottom"/>
          </w:tcPr>
          <w:p>
            <w:pPr>
              <w:spacing w:after="0"/>
              <w:rPr>
                <w:sz w:val="20"/>
                <w:szCs w:val="20"/>
                <w:color w:val="auto"/>
              </w:rPr>
            </w:pPr>
            <w:r>
              <w:rPr>
                <w:rFonts w:ascii="Arial" w:cs="Arial" w:eastAsia="Arial" w:hAnsi="Arial"/>
                <w:sz w:val="18"/>
                <w:szCs w:val="18"/>
                <w:color w:val="auto"/>
              </w:rPr>
              <w:t>Total net assets</w:t>
            </w:r>
          </w:p>
        </w:tc>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643,081,495</w:t>
            </w:r>
          </w:p>
        </w:tc>
        <w:tc>
          <w:tcPr>
            <w:tcW w:w="600" w:type="dxa"/>
            <w:vAlign w:val="bottom"/>
          </w:tcPr>
          <w:p>
            <w:pPr>
              <w:spacing w:after="0"/>
              <w:rPr>
                <w:sz w:val="19"/>
                <w:szCs w:val="19"/>
                <w:color w:val="auto"/>
              </w:rPr>
            </w:pPr>
          </w:p>
        </w:tc>
        <w:tc>
          <w:tcPr>
            <w:tcW w:w="108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r>
        <w:trPr>
          <w:trHeight w:val="364"/>
        </w:trPr>
        <w:tc>
          <w:tcPr>
            <w:tcW w:w="1560" w:type="dxa"/>
            <w:vAlign w:val="bottom"/>
          </w:tcPr>
          <w:p>
            <w:pPr>
              <w:spacing w:after="0"/>
              <w:rPr>
                <w:sz w:val="24"/>
                <w:szCs w:val="24"/>
                <w:color w:val="auto"/>
              </w:rPr>
            </w:pPr>
          </w:p>
        </w:tc>
        <w:tc>
          <w:tcPr>
            <w:tcW w:w="3660" w:type="dxa"/>
            <w:vAlign w:val="bottom"/>
          </w:tcPr>
          <w:p>
            <w:pPr>
              <w:jc w:val="right"/>
              <w:ind w:right="770"/>
              <w:spacing w:after="0"/>
              <w:rPr>
                <w:sz w:val="20"/>
                <w:szCs w:val="20"/>
                <w:color w:val="auto"/>
              </w:rPr>
            </w:pPr>
            <w:r>
              <w:rPr>
                <w:rFonts w:ascii="Arial" w:cs="Arial" w:eastAsia="Arial" w:hAnsi="Arial"/>
                <w:sz w:val="18"/>
                <w:szCs w:val="18"/>
                <w:color w:val="auto"/>
              </w:rPr>
              <w:t>S-20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320" w:top="459" w:right="5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We will issue the Notes under that certain base indenture, dated as of January 22, 2013, or the base indenture, as supplemented by the fifth supplemental indenture, or the supplemental indenture, to be dated as of the settlement date for the offering of the Notes.</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i w:val="1"/>
          <w:iCs w:val="1"/>
          <w:color w:val="auto"/>
        </w:rPr>
        <w:t>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w:t>
      </w:r>
    </w:p>
    <w:p>
      <w:pPr>
        <w:spacing w:after="0" w:line="18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For purposes of this description, references to the “Company,” “we,” “our” or “us” refer only to PennantPark Investment Corporation and not to any of its current or future subsidiaries and references to “subsidiaries” refer only to the Company’s consolidated subsidiaries and exclude any investments held by the Company in the ordinary course of business which are not, under GAAP, consolidated on the financial statements of the Company and its subsidiaries.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the Company’s direct, general, unsecured, unsubordinated obligations;</w:t>
      </w:r>
    </w:p>
    <w:p>
      <w:pPr>
        <w:spacing w:after="0" w:line="131" w:lineRule="exact"/>
        <w:rPr>
          <w:sz w:val="20"/>
          <w:szCs w:val="20"/>
          <w:color w:val="auto"/>
        </w:rPr>
      </w:pPr>
    </w:p>
    <w:p>
      <w:pPr>
        <w:ind w:left="660"/>
        <w:spacing w:after="0"/>
        <w:tabs>
          <w:tab w:leader="none" w:pos="106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initially be issued in an aggregate principal amount of $</w:t>
      </w:r>
      <w:r>
        <w:rPr>
          <w:sz w:val="20"/>
          <w:szCs w:val="20"/>
          <w:color w:val="auto"/>
        </w:rPr>
        <w:tab/>
      </w:r>
      <w:r>
        <w:rPr>
          <w:rFonts w:ascii="Arial" w:cs="Arial" w:eastAsia="Arial" w:hAnsi="Arial"/>
          <w:sz w:val="13"/>
          <w:szCs w:val="13"/>
          <w:color w:val="auto"/>
        </w:rPr>
        <w:t>;</w:t>
      </w:r>
    </w:p>
    <w:p>
      <w:pPr>
        <w:spacing w:after="0" w:line="131" w:lineRule="exact"/>
        <w:rPr>
          <w:sz w:val="20"/>
          <w:szCs w:val="20"/>
          <w:color w:val="auto"/>
        </w:rPr>
      </w:pPr>
    </w:p>
    <w:p>
      <w:pPr>
        <w:ind w:left="660"/>
        <w:spacing w:after="0"/>
        <w:tabs>
          <w:tab w:leader="none" w:pos="1060" w:val="left"/>
          <w:tab w:leader="none" w:pos="2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mature on</w:t>
      </w:r>
      <w:r>
        <w:rPr>
          <w:sz w:val="20"/>
          <w:szCs w:val="20"/>
          <w:color w:val="auto"/>
        </w:rPr>
        <w:tab/>
      </w:r>
      <w:r>
        <w:rPr>
          <w:rFonts w:ascii="Arial" w:cs="Arial" w:eastAsia="Arial" w:hAnsi="Arial"/>
          <w:sz w:val="15"/>
          <w:szCs w:val="15"/>
          <w:color w:val="auto"/>
        </w:rPr>
        <w:t>, unless earlier redeemed or repurchased, as discussed below;</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ind w:left="10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will bear cash interest from of each year, beginning 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60"/>
        <w:spacing w:after="0"/>
        <w:tabs>
          <w:tab w:leader="none" w:pos="2680" w:val="left"/>
          <w:tab w:leader="none" w:pos="6200" w:val="left"/>
        </w:tabs>
        <w:rPr>
          <w:sz w:val="20"/>
          <w:szCs w:val="20"/>
          <w:color w:val="auto"/>
        </w:rPr>
      </w:pPr>
      <w:r>
        <w:rPr>
          <w:rFonts w:ascii="Arial" w:cs="Arial" w:eastAsia="Arial" w:hAnsi="Arial"/>
          <w:sz w:val="18"/>
          <w:szCs w:val="18"/>
          <w:color w:val="auto"/>
        </w:rPr>
        <w:t>, 2021 at an annual rate of</w:t>
      </w:r>
      <w:r>
        <w:rPr>
          <w:sz w:val="20"/>
          <w:szCs w:val="20"/>
          <w:color w:val="auto"/>
        </w:rPr>
        <w:tab/>
      </w:r>
      <w:r>
        <w:rPr>
          <w:rFonts w:ascii="Arial" w:cs="Arial" w:eastAsia="Arial" w:hAnsi="Arial"/>
          <w:sz w:val="18"/>
          <w:szCs w:val="18"/>
          <w:color w:val="auto"/>
        </w:rPr>
        <w:t>% payable semi-annually in arrears on</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2022;</w:t>
      </w:r>
    </w:p>
    <w:p>
      <w:pPr>
        <w:spacing w:after="0" w:line="116" w:lineRule="exact"/>
        <w:rPr>
          <w:sz w:val="20"/>
          <w:szCs w:val="20"/>
          <w:color w:val="auto"/>
        </w:rPr>
      </w:pPr>
    </w:p>
    <w:p>
      <w:pPr>
        <w:sectPr>
          <w:pgSz w:w="11900" w:h="16838" w:orient="portrait"/>
          <w:cols w:equalWidth="0" w:num="2">
            <w:col w:w="3060" w:space="700"/>
            <w:col w:w="7360"/>
          </w:cols>
          <w:pgMar w:left="320" w:top="459" w:right="459" w:bottom="1440" w:gutter="0" w:footer="0" w:header="0"/>
          <w:type w:val="continuous"/>
        </w:sect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will be subject to redemption at the Company’s option as described under “ </w:t>
      </w: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will be subject to repurchase by the Company at the option of the holders following a Change of Control Repurchase Event (as defined below under “ </w:t>
      </w:r>
      <w:r>
        <w:rPr>
          <w:rFonts w:ascii="Arial" w:cs="Arial" w:eastAsia="Arial" w:hAnsi="Arial"/>
          <w:sz w:val="16"/>
          <w:szCs w:val="16"/>
          <w:i w:val="1"/>
          <w:iCs w:val="1"/>
          <w:color w:val="auto"/>
        </w:rPr>
        <w:t>—Offer to Repurchase Upon a Change of Control Repurchase Event</w:t>
      </w:r>
      <w:r>
        <w:rPr>
          <w:rFonts w:ascii="Arial" w:cs="Arial" w:eastAsia="Arial" w:hAnsi="Arial"/>
          <w:sz w:val="16"/>
          <w:szCs w:val="16"/>
          <w:color w:val="auto"/>
        </w:rPr>
        <w:t xml:space="preserve">”), at a repurchase price equal to 100% of the principal amount of the Notes to be repurchased,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to, but not including, the date of repurchase;</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will be represented by one or more registered Notes in global form, but in certain limited circumstances may be represented by Notes in definitive form. See “ </w:t>
      </w:r>
      <w:r>
        <w:rPr>
          <w:rFonts w:ascii="Arial" w:cs="Arial" w:eastAsia="Arial" w:hAnsi="Arial"/>
          <w:sz w:val="18"/>
          <w:szCs w:val="18"/>
          <w:i w:val="1"/>
          <w:iCs w:val="1"/>
          <w:color w:val="auto"/>
        </w:rPr>
        <w:t>—Book-Entry, Settlement and Clearance</w:t>
      </w:r>
      <w:r>
        <w:rPr>
          <w:rFonts w:ascii="Arial" w:cs="Arial" w:eastAsia="Arial" w:hAnsi="Arial"/>
          <w:sz w:val="18"/>
          <w:szCs w:val="18"/>
          <w:color w:val="auto"/>
        </w:rPr>
        <w:t>”.</w:t>
      </w:r>
    </w:p>
    <w:p>
      <w:pPr>
        <w:spacing w:after="0" w:line="17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The indenture does not limit the amount of debt that may be issued by the Company or its subsidiaries under the indenture or otherwise. The indenture does not contain any financial covenants and does not restrict us from paying dividends or issuing or repurchasing its other securities. Other than restrictions described under “ </w:t>
      </w:r>
      <w:r>
        <w:rPr>
          <w:rFonts w:ascii="Arial" w:cs="Arial" w:eastAsia="Arial" w:hAnsi="Arial"/>
          <w:sz w:val="16"/>
          <w:szCs w:val="16"/>
          <w:i w:val="1"/>
          <w:iCs w:val="1"/>
          <w:color w:val="auto"/>
        </w:rPr>
        <w:t>—Offer to Repurchase Upon a Change of Control Repurchase Event</w:t>
      </w:r>
      <w:r>
        <w:rPr>
          <w:rFonts w:ascii="Arial" w:cs="Arial" w:eastAsia="Arial" w:hAnsi="Arial"/>
          <w:sz w:val="16"/>
          <w:szCs w:val="16"/>
          <w:color w:val="auto"/>
        </w:rPr>
        <w:t xml:space="preserve">” and “ </w:t>
      </w:r>
      <w:r>
        <w:rPr>
          <w:rFonts w:ascii="Arial" w:cs="Arial" w:eastAsia="Arial" w:hAnsi="Arial"/>
          <w:sz w:val="16"/>
          <w:szCs w:val="16"/>
          <w:i w:val="1"/>
          <w:iCs w:val="1"/>
          <w:color w:val="auto"/>
        </w:rPr>
        <w:t>—Merger, Consolidation or Sale of Assets</w:t>
      </w:r>
      <w:r>
        <w:rPr>
          <w:rFonts w:ascii="Arial" w:cs="Arial" w:eastAsia="Arial" w:hAnsi="Arial"/>
          <w:sz w:val="16"/>
          <w:szCs w:val="16"/>
          <w:color w:val="auto"/>
        </w:rPr>
        <w:t xml:space="preserve">” below, the indenture does not contain any covenants or other provisions designed to afford holders of the Notes protection in the event of a highly leveraged transaction involving the Company or in the event of a decline in our credit rating as the result of a takeover, recapitalization, highly leveraged transaction or similar restructuring involving the Company that could adversely affect such holders. We may, without the consent of the holders, issue additional Notes under the indenture with the same terms (except that the offering price, the first payment date and the date from which interest may accrue may be different)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be part of the same issue as the Notes offered hereby for U.S. federal income tax purposes if represented by the same CUSIP number as the Notes offered hereby.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46"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will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Notes that are not in global form, at our option, payment of interest may be made by check mailed to the address of the person entitled thereto as such address will appear in the security register.</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transferor will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the Notes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ectPr>
          <w:pgSz w:w="11900" w:h="16838" w:orient="portrait"/>
          <w:cols w:equalWidth="0" w:num="1">
            <w:col w:w="11140"/>
          </w:cols>
          <w:pgMar w:left="320" w:top="459" w:right="439" w:bottom="1440" w:gutter="0" w:footer="0" w:header="0"/>
        </w:sectPr>
      </w:pP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Notes will bear cash interest at a rate of % per year until maturity. Interest on the Notes will accrue from recent date on which interest has been paid or duly provided for. Interest will be payable semi-annually in arrears on year, beginning on , 2022.</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188"/>
        <w:spacing w:after="0" w:line="277" w:lineRule="auto"/>
        <w:rPr>
          <w:sz w:val="20"/>
          <w:szCs w:val="20"/>
          <w:color w:val="auto"/>
        </w:rPr>
      </w:pPr>
      <w:r>
        <w:rPr>
          <w:rFonts w:ascii="Arial" w:cs="Arial" w:eastAsia="Arial" w:hAnsi="Arial"/>
          <w:sz w:val="18"/>
          <w:szCs w:val="18"/>
          <w:color w:val="auto"/>
        </w:rPr>
        <w:t>, 2021 or from the most and of each</w:t>
      </w:r>
    </w:p>
    <w:p>
      <w:pPr>
        <w:spacing w:after="0" w:line="386" w:lineRule="exact"/>
        <w:rPr>
          <w:sz w:val="20"/>
          <w:szCs w:val="20"/>
          <w:color w:val="auto"/>
        </w:rPr>
      </w:pPr>
    </w:p>
    <w:p>
      <w:pPr>
        <w:sectPr>
          <w:pgSz w:w="11900" w:h="16838" w:orient="portrait"/>
          <w:cols w:equalWidth="0" w:num="2">
            <w:col w:w="8660" w:space="580"/>
            <w:col w:w="1900"/>
          </w:cols>
          <w:pgMar w:left="320" w:top="459" w:right="439" w:bottom="1440" w:gutter="0" w:footer="0" w:header="0"/>
          <w:type w:val="continuous"/>
        </w:sectPr>
      </w:pPr>
    </w:p>
    <w:p>
      <w:pPr>
        <w:ind w:left="120" w:right="40"/>
        <w:spacing w:after="0" w:line="263" w:lineRule="auto"/>
        <w:rPr>
          <w:sz w:val="20"/>
          <w:szCs w:val="20"/>
          <w:color w:val="auto"/>
        </w:rPr>
      </w:pPr>
      <w:r>
        <w:rPr>
          <w:rFonts w:ascii="Arial" w:cs="Arial" w:eastAsia="Arial" w:hAnsi="Arial"/>
          <w:sz w:val="18"/>
          <w:szCs w:val="18"/>
          <w:color w:val="auto"/>
        </w:rPr>
        <w:t>Interest will be paid to the person in whose name the Notes is registered at 5:00 p.m. New York City time, or the close of business, on or (whether or not a business day), as the case may be, immediately preceding the relevant interest payment date. Interest on the Notes will be computed on the basis of a 360-day year composed of twelve 30-day months.</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the Company’s direct, general unsecured obligations that will rank:</w:t>
      </w:r>
    </w:p>
    <w:p>
      <w:pPr>
        <w:spacing w:after="0" w:line="131" w:lineRule="exact"/>
        <w:rPr>
          <w:sz w:val="20"/>
          <w:szCs w:val="20"/>
          <w:color w:val="auto"/>
        </w:rPr>
      </w:pPr>
    </w:p>
    <w:p>
      <w:pPr>
        <w:jc w:val="both"/>
        <w:ind w:left="1080" w:right="4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any existing and future unsecured unsubordinated indebtedness, including approximately $86.3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outstanding under our 2024 Notes and $150.0 million aggregate principal outstanding under our 2026 Notes, each as of June 30, 2021;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including approximately $214.5 million aggregate principal amount of borrowings outstanding under the Truist Credit Facility, to the extent of the value of the assets securing the Truist Credit Facility, as of June 30, 2021; and</w:t>
      </w:r>
    </w:p>
    <w:p>
      <w:pPr>
        <w:spacing w:after="0" w:line="92" w:lineRule="exact"/>
        <w:rPr>
          <w:rFonts w:ascii="Arial" w:cs="Arial" w:eastAsia="Arial" w:hAnsi="Arial"/>
          <w:sz w:val="18"/>
          <w:szCs w:val="18"/>
          <w:color w:val="auto"/>
        </w:rPr>
      </w:pPr>
    </w:p>
    <w:p>
      <w:pPr>
        <w:ind w:left="1080" w:right="42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structurally subordinated to all existing and future indebtedness and other obligations of any of our subsidiaries, financing vehicles or similar facilities, including $63.5 million of indebtedness outstanding under our SBA debentures as of June 30, 2021.</w:t>
      </w:r>
    </w:p>
    <w:p>
      <w:pPr>
        <w:spacing w:after="0" w:line="146"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As of June 30, 2021, we had approximately $514.3 million of debt outstanding, of which approximately $236.3 million was unsecured and unsubordinated indebtedness, approximately $214.5 million was indebtedness secured by substantially all of our assets (excluding assets held by SBIC II) and $63.5 million was indebtedness secured by all the investment portfolio assets of SBIC II. After giving effect to the issuance of the Notes,</w:t>
      </w:r>
    </w:p>
    <w:p>
      <w:pPr>
        <w:spacing w:after="0" w:line="2"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assuming no repayment of amounts owed under our existing indebtedness, our total indebtedness would have been approximately $ million aggregate principal amount outstanding as of June 30, 2021.</w:t>
      </w:r>
    </w:p>
    <w:p>
      <w:pPr>
        <w:spacing w:after="0" w:line="185"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As of September 30, 2021, at cost, we had approximately $315.6 million of borrowings outstanding under the Truist Credit Facility, approximately $86.3 million in aggregate principal amount outstanding under our 2024 Notes, $150.0 million in aggregate principal amount outstanding under our 2026 Notes and $63.5 million of indebtedness outstanding under the SBA debentures.</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may redeem some or all of the Notes at any time, or from time to time. If we choose to redeem any of the Notes prior to maturity, we will pay a redemption price equal to the greater of the following amounts, plus, in each case, accrued and unpaid interest to, but not including, the redemption date:</w:t>
      </w:r>
    </w:p>
    <w:p>
      <w:pPr>
        <w:spacing w:after="0" w:line="2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(exclusive of accrued and unpaid interest to the</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date of redemption) on the Notes to be redeemed, discounted to the redemption date on a semi-annual basis (assuming a 360-day year</w:t>
      </w:r>
    </w:p>
    <w:p>
      <w:pPr>
        <w:sectPr>
          <w:pgSz w:w="11900" w:h="16838" w:orient="portrait"/>
          <w:cols w:equalWidth="0" w:num="1">
            <w:col w:w="11120"/>
          </w:cols>
          <w:pgMar w:left="320" w:top="459" w:right="459" w:bottom="1440" w:gutter="0" w:footer="0" w:header="0"/>
        </w:sectPr>
      </w:pPr>
    </w:p>
    <w:p>
      <w:pPr>
        <w:spacing w:after="0" w:line="32" w:lineRule="exact"/>
        <w:rPr>
          <w:sz w:val="20"/>
          <w:szCs w:val="20"/>
          <w:color w:val="auto"/>
        </w:rPr>
      </w:pPr>
    </w:p>
    <w:p>
      <w:pPr>
        <w:ind w:left="1080"/>
        <w:spacing w:after="0"/>
        <w:tabs>
          <w:tab w:leader="none" w:pos="7340" w:val="left"/>
        </w:tabs>
        <w:rPr>
          <w:sz w:val="20"/>
          <w:szCs w:val="20"/>
          <w:color w:val="auto"/>
        </w:rPr>
      </w:pPr>
      <w:r>
        <w:rPr>
          <w:rFonts w:ascii="Arial" w:cs="Arial" w:eastAsia="Arial" w:hAnsi="Arial"/>
          <w:sz w:val="18"/>
          <w:szCs w:val="18"/>
          <w:color w:val="auto"/>
        </w:rPr>
        <w:t>consisting of twelve 30-day months) using the applicable Treasury Rate plus</w:t>
      </w:r>
      <w:r>
        <w:rPr>
          <w:sz w:val="20"/>
          <w:szCs w:val="20"/>
          <w:color w:val="auto"/>
        </w:rPr>
        <w:tab/>
      </w:r>
      <w:r>
        <w:rPr>
          <w:rFonts w:ascii="Arial" w:cs="Arial" w:eastAsia="Arial" w:hAnsi="Arial"/>
          <w:sz w:val="16"/>
          <w:szCs w:val="16"/>
          <w:color w:val="auto"/>
        </w:rPr>
        <w:t>basis points;</w:t>
      </w:r>
    </w:p>
    <w:p>
      <w:pPr>
        <w:sectPr>
          <w:pgSz w:w="11900" w:h="16838" w:orient="portrait"/>
          <w:cols w:equalWidth="0" w:num="1">
            <w:col w:w="11120"/>
          </w:cols>
          <w:pgMar w:left="320" w:top="459" w:right="459" w:bottom="1440" w:gutter="0" w:footer="0" w:header="0"/>
          <w:type w:val="continuous"/>
        </w:sectPr>
      </w:pPr>
    </w:p>
    <w:p>
      <w:pPr>
        <w:spacing w:after="0" w:line="211" w:lineRule="exact"/>
        <w:rPr>
          <w:sz w:val="20"/>
          <w:szCs w:val="20"/>
          <w:color w:val="auto"/>
        </w:rPr>
      </w:pPr>
    </w:p>
    <w:p>
      <w:pPr>
        <w:ind w:left="120"/>
        <w:spacing w:after="0"/>
        <w:tabs>
          <w:tab w:leader="none" w:pos="5560" w:val="left"/>
          <w:tab w:leader="none" w:pos="7460" w:val="left"/>
        </w:tabs>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we redeem any of the Notes on or after</w:t>
      </w:r>
      <w:r>
        <w:rPr>
          <w:sz w:val="20"/>
          <w:szCs w:val="20"/>
          <w:color w:val="auto"/>
        </w:rPr>
        <w:tab/>
      </w:r>
      <w:r>
        <w:rPr>
          <w:rFonts w:ascii="Arial" w:cs="Arial" w:eastAsia="Arial" w:hAnsi="Arial"/>
          <w:sz w:val="18"/>
          <w:szCs w:val="18"/>
          <w:color w:val="auto"/>
        </w:rPr>
        <w:t>(the date falling</w:t>
      </w:r>
      <w:r>
        <w:rPr>
          <w:sz w:val="20"/>
          <w:szCs w:val="20"/>
          <w:color w:val="auto"/>
        </w:rPr>
        <w:tab/>
      </w:r>
      <w:r>
        <w:rPr>
          <w:rFonts w:ascii="Arial" w:cs="Arial" w:eastAsia="Arial" w:hAnsi="Arial"/>
          <w:sz w:val="16"/>
          <w:szCs w:val="16"/>
          <w:color w:val="auto"/>
        </w:rPr>
        <w:t>months prior to the maturity date of the Notes),</w:t>
      </w:r>
    </w:p>
    <w:p>
      <w:pPr>
        <w:sectPr>
          <w:pgSz w:w="11900" w:h="16838" w:orient="portrait"/>
          <w:cols w:equalWidth="0" w:num="1">
            <w:col w:w="11120"/>
          </w:cols>
          <w:pgMar w:left="320" w:top="459" w:right="459" w:bottom="1440" w:gutter="0" w:footer="0" w:header="0"/>
          <w:type w:val="continuous"/>
        </w:sectPr>
      </w:pPr>
    </w:p>
    <w:p>
      <w:pPr>
        <w:spacing w:after="0" w:line="2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the redemption price for the Notes will be equal to 100% of the principal amount of the Notes to be redeemed, plus accrued and unpaid interest, if any, to, but not including, the date of redemption.</w:t>
      </w:r>
    </w:p>
    <w:p>
      <w:pPr>
        <w:spacing w:after="0" w:line="18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If we choose to redeem any of the Notes, we will deliver a notice of redemption to holders of the Notes not less than 30 nor more than 60 days before the redemption date. Any exercise of our option to redeem the Notes will be done in compliance with the 1940 Act. If we are redeeming less than all of the Notes, the particular Notes to be redeemed will be selected by the trustee on a pro rata basis to the extent practicable, or, if a pro rata basis is not practicable for any reason, by lot or in such other manner as the trustee deems fair and appropriate, and in any case in accordance with the applicable procedures of DTC and in accordance with the 1940 Act as directed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partial redemption will reduce the portion of the principal amount of the Notes not redeemed to less than $2,000. Unless we default in payment of the redemption price, on and after the redemption date, interest will cease to accrue on the Notes or portions of the Notes called for redemption.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“Reference Treasury Dealer” means each of (1) Raymond James &amp; Associates, Inc. or its affiliates which are primary U.S. government securities dealers, (2) a primary U.S. government securities dealer selected by Keefe, Bruyette &amp; Woods, Inc., (3) a primary U.S. government securities dealer selected by Truist Securities, Inc., and their respective successors; provided, however, that if any of the foregoing or its affiliates shall cease to be a primary U.S. government securities dealer in the United States, or a Primary Treasury Dealer, we shall select another Primary Treasury Dealer.</w:t>
      </w:r>
    </w:p>
    <w:p>
      <w:pPr>
        <w:spacing w:after="0" w:line="15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18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will,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its obligations under the Change of Control Repurchase Event provisions of the Notes by virtue of such conflict.</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its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w:t>
      </w:r>
      <w:r>
        <w:rPr>
          <w:rFonts w:ascii="Arial" w:cs="Arial" w:eastAsia="Arial" w:hAnsi="Arial"/>
          <w:sz w:val="16"/>
          <w:szCs w:val="16"/>
          <w:i w:val="1"/>
          <w:iCs w:val="1"/>
          <w:color w:val="auto"/>
        </w:rPr>
        <w:t>Ranking</w:t>
      </w:r>
      <w:r>
        <w:rPr>
          <w:rFonts w:ascii="Arial" w:cs="Arial" w:eastAsia="Arial" w:hAnsi="Arial"/>
          <w:sz w:val="16"/>
          <w:szCs w:val="16"/>
          <w:color w:val="auto"/>
        </w:rPr>
        <w:t>” above as well as the documents incorporated by reference herein for a general discussion of our indebtedness. Before making any such repurchase of Notes, we would also have to comply with certain requirements under the Truist Credit Facility, to the extent such requirements remain in effect at such time, or otherwise obtain consent from the lenders under the Truist Credit Facility. Our future debt instruments may contain similar restrictions and provisions. If the holders of the Notes exercise their right to require the Company to repurchase Notes upon a Change of Control Repurchase Event, the financial effect of this repurchase could cause a default under its existing or future debt instruments, even if the Change of Control Repurchase Event itself would not cause a default. It is possible that we will not have sufficient funds at the time of the Change of Control Repurchase Event to make the required repurchase of the Notes or its other debt. See “</w:t>
      </w:r>
      <w:r>
        <w:rPr>
          <w:rFonts w:ascii="Arial" w:cs="Arial" w:eastAsia="Arial" w:hAnsi="Arial"/>
          <w:sz w:val="16"/>
          <w:szCs w:val="16"/>
          <w:i w:val="1"/>
          <w:iCs w:val="1"/>
          <w:color w:val="auto"/>
        </w:rPr>
        <w:t>Risk Factors—Risks Relating to the Notes—We may not be able to repurchase the Notes upon a Change of Control Repurchase Event</w:t>
      </w:r>
      <w:r>
        <w:rPr>
          <w:rFonts w:ascii="Arial" w:cs="Arial" w:eastAsia="Arial" w:hAnsi="Arial"/>
          <w:sz w:val="16"/>
          <w:szCs w:val="16"/>
          <w:color w:val="auto"/>
        </w:rPr>
        <w:t>.”</w:t>
      </w:r>
    </w:p>
    <w:p>
      <w:pPr>
        <w:spacing w:after="0" w:line="17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our properties or assets and those of its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its assets and the assets of its subsidiaries taken as a whole to another person or group may be uncertain.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Notes:</w:t>
      </w:r>
    </w:p>
    <w:p>
      <w:pPr>
        <w:spacing w:after="0" w:line="22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(which period will be extended so long as the rating of the Notes is under publicly announced consideration for possible downgrade by the Rating Agency);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Below Investment Grade Rating Event otherwise arising by virtue of a particular reduction in rating will not be deemed to have occurred in respect of a particular Change of Control (and thus will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us in writing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75"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 pledge of assets pursuant to any secured debt instrument of the Company or its Controlled Subsidiaries will not be deemed to be any such sale, lease, transfer, conveyance or disposition;</w:t>
      </w:r>
    </w:p>
    <w:p>
      <w:pPr>
        <w:spacing w:after="0" w:line="81" w:lineRule="exact"/>
        <w:rPr>
          <w:rFonts w:ascii="Arial" w:cs="Arial" w:eastAsia="Arial" w:hAnsi="Arial"/>
          <w:sz w:val="17"/>
          <w:szCs w:val="17"/>
          <w:color w:val="auto"/>
        </w:rPr>
      </w:pPr>
    </w:p>
    <w:p>
      <w:pPr>
        <w:jc w:val="both"/>
        <w:ind w:left="1080" w:right="140" w:hanging="532"/>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by our stockholders of any plan or proposal relating to the liquidation or dissolution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“Egan-Jones” means Egan-Jones Ratings Company, Inc. or any successor thereto.</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 from any Rating Agency selected by us as a replacement Rating Agency).</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“Permitted Holders” means (i) the Company, (ii) one or more of the Company’s Controlled Subsidiaries and (iii) PennantPark Investment Advisers, LLC or any affiliate of the PennantPark Investment Advisers, LLC that is organized under the laws of a jurisdiction located in the United States of America and in the business of managing or advising clients.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Egan-Jones;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covenants will apply to the Notes.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indenture will provide that we will not merge or consolidate with or into any other person (other than a merger of a wholly owned subsidiary into the Company), or sell, transfer, lease, convey or otherwise dispose of all or substantially all our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a pledge of assets pursuant to any secured debt instrument of the Company or its subsidiaries will not be deemed to be any such sale, transfer, lease, conveyance or disposition;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covenant will not apply to any sale, transfer, lease, conveyance, or other disposition of all or substantially all of our property to a wholly owned subsidiary of the Company) in any one transaction or series of related transactions unless:</w:t>
      </w:r>
    </w:p>
    <w:p>
      <w:pPr>
        <w:spacing w:after="0" w:line="67" w:lineRule="exact"/>
        <w:rPr>
          <w:sz w:val="20"/>
          <w:szCs w:val="20"/>
          <w:color w:val="auto"/>
        </w:rPr>
      </w:pPr>
    </w:p>
    <w:p>
      <w:pPr>
        <w:ind w:left="1080" w:right="20" w:hanging="424"/>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is the surviving person, or the Surviving Person (if other than the Company), formed by such merger or consolidation or to which such sale, transfer, lease, conveyance or disposition is made will be a corporation or limited liability company or trust organized and existing under the laws of the United States of America or any state or territory thereof or the District of Columbia;</w:t>
      </w:r>
    </w:p>
    <w:p>
      <w:pPr>
        <w:spacing w:after="0" w:line="70"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be continuing; and</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will be deemed to be the transfer of all or substantially all of our property.</w:t>
      </w:r>
    </w:p>
    <w:p>
      <w:pPr>
        <w:spacing w:after="0" w:line="18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An assumption by any person of obligations under the Notes and the indenture might be deemed for U.S. federal income tax purposes to be an exchange of the Notes for new Notes by the beneficial owners thereof, potentially 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right="6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the Company is subject thereto, Section 18(a)(1)(A), as modified by Section 61(a) of the 1940 Act, or any successor provisions, but giving effect, in either case, to any exemptive relief granted to the Company by the SEC.</w:t>
      </w:r>
    </w:p>
    <w:p>
      <w:pPr>
        <w:spacing w:after="0" w:line="89"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will not constitute actual or constructive notice of any information contained therein or determinable from information contained therein, including our compliance with any of its covenants hereunder (as to which the trustee is entitled to rely exclusively on officers’ certificates).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the Notes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the accompanying prospectus or this prospectus supplement) or currency of payment on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modify or amend the indenture;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change affects only one series of the Notes, it must be approved by the holders of a majority in principal amount of the Notes.</w:t>
      </w:r>
    </w:p>
    <w:p>
      <w:pPr>
        <w:spacing w:after="0" w:line="142"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change affects more than one series of the Notes issued under the same indenture, it must be approved by the holders of a majority in aggregate principal amount of all of the Notes affected by the change, with all affected series voting together as one class for this purpose.</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w:t>
      </w:r>
      <w:r>
        <w:rPr>
          <w:rFonts w:ascii="Arial" w:cs="Arial" w:eastAsia="Arial" w:hAnsi="Arial"/>
          <w:sz w:val="18"/>
          <w:szCs w:val="18"/>
          <w:i w:val="1"/>
          <w:iCs w:val="1"/>
          <w:color w:val="auto"/>
        </w:rPr>
        <w:t>Changes Requiring Your Approval</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jc w:val="both"/>
        <w:ind w:left="120" w:right="2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w:t>
      </w:r>
      <w:r>
        <w:rPr>
          <w:rFonts w:ascii="Arial" w:cs="Arial" w:eastAsia="Arial" w:hAnsi="Arial"/>
          <w:sz w:val="16"/>
          <w:szCs w:val="16"/>
          <w:i w:val="1"/>
          <w:iCs w:val="1"/>
          <w:color w:val="auto"/>
        </w:rPr>
        <w:t>Defeasance—Legal Defeasance.</w:t>
      </w:r>
      <w:r>
        <w:rPr>
          <w:rFonts w:ascii="Arial" w:cs="Arial" w:eastAsia="Arial" w:hAnsi="Arial"/>
          <w:sz w:val="16"/>
          <w:szCs w:val="16"/>
          <w:color w:val="auto"/>
        </w:rPr>
        <w:t>”</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Notes when due and payable and the default continues for a period of 30 days;</w:t>
      </w:r>
    </w:p>
    <w:p>
      <w:pPr>
        <w:spacing w:after="0" w:line="142" w:lineRule="exact"/>
        <w:rPr>
          <w:rFonts w:ascii="Arial" w:cs="Arial" w:eastAsia="Arial" w:hAnsi="Arial"/>
          <w:sz w:val="17"/>
          <w:szCs w:val="17"/>
          <w:color w:val="auto"/>
        </w:rPr>
      </w:pPr>
    </w:p>
    <w:p>
      <w:pPr>
        <w:ind w:left="1080" w:right="3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default by the Company or any of its significant subsidiaries, as defined in Article 1, Rule 1-02 of Regulation S-X under the Exchange Act (as applicable to BDCs)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is hereafter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within a period of 30 calendar days after written notice of such failure is given to the Company by the trustee or to the Company and the trustee by the holders of at least 25% in aggregate principal amount of the Notes then outstanding;</w:t>
      </w:r>
    </w:p>
    <w:p>
      <w:pPr>
        <w:spacing w:after="0" w:line="76" w:lineRule="exact"/>
        <w:rPr>
          <w:sz w:val="20"/>
          <w:szCs w:val="20"/>
          <w:color w:val="auto"/>
        </w:rPr>
      </w:pPr>
    </w:p>
    <w:p>
      <w:pPr>
        <w:ind w:left="1080" w:right="40" w:hanging="532"/>
        <w:spacing w:after="0" w:line="28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Section 18(a)(1)(C)(ii) and Section 61 of the 1940 Act, or any successor provisions, on the last business day of each of 24 consecutive calendar months, any class of securities has an asset coverage (as such term is used in the 1940 Act) of less than 100%, giving effect to any amendments to such provisions of the 1940 Act or to any exemptive relief granted to us by the SEC; and</w:t>
      </w:r>
    </w:p>
    <w:p>
      <w:pPr>
        <w:spacing w:after="0" w:line="70"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the Company occur and remain undischarged or unstayed for a period of 90 days.</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will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 xml:space="preserve">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direction will not be in conflict with any rule of law or with this indenture, (ii) the trustee may take any other action deemed proper by the trustee that is not inconsistent with such direction and</w:t>
      </w:r>
    </w:p>
    <w:p>
      <w:pPr>
        <w:spacing w:after="0" w:line="4" w:lineRule="exact"/>
        <w:rPr>
          <w:sz w:val="20"/>
          <w:szCs w:val="20"/>
          <w:color w:val="auto"/>
        </w:rPr>
      </w:pPr>
    </w:p>
    <w:p>
      <w:pPr>
        <w:jc w:val="both"/>
        <w:ind w:left="120" w:right="20" w:hanging="4"/>
        <w:spacing w:after="0" w:line="255" w:lineRule="auto"/>
        <w:tabs>
          <w:tab w:leader="none" w:pos="4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90"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will cease to exist, and any event of default arising therefrom will be deemed to have been cured, for every purpose, but no such waiver will extend to any subsequent or other default or event of default or impair any right consequent thereto.</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whether, to the knowledge of the signers, we are in default in the performance of any of the terms, provisions or conditions of the indenture.</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 xml:space="preserve">Within 90 days after the occurrence of any default under the indenture with respect to the Notes, the trustee will transmit notice of such default actually known to a responsible officer of the trustee, unless such default has been cured or waived;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a default in the payment of the principal of (or premium, if any, on) or interest, if any, on any of the Notes, the trustee will be protected in withholding such notice if and so long as it in good faith determines that withholding of such notice is in the interest of the holders of the Notes.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satisfy and discharge its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covenant defeasance and legal defeasance.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 Defeasance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2" w:lineRule="exact"/>
        <w:rPr>
          <w:sz w:val="20"/>
          <w:szCs w:val="20"/>
          <w:color w:val="auto"/>
        </w:rPr>
      </w:pPr>
    </w:p>
    <w:p>
      <w:pPr>
        <w:jc w:val="both"/>
        <w:ind w:left="1080" w:right="140" w:hanging="424"/>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70"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2"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there is a change in U.S. federal tax law, as described below, the Company can legally release itself from all payment and other obligations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(called “defeasance” or “legal defeasance”) if we put in place the following other arrangements for you to be repaid:</w:t>
      </w:r>
    </w:p>
    <w:p>
      <w:pPr>
        <w:spacing w:after="0" w:line="116" w:lineRule="exact"/>
        <w:rPr>
          <w:sz w:val="20"/>
          <w:szCs w:val="20"/>
          <w:color w:val="auto"/>
        </w:rPr>
      </w:pPr>
    </w:p>
    <w:p>
      <w:pPr>
        <w:ind w:left="1080" w:right="100" w:hanging="424"/>
        <w:spacing w:after="0" w:line="286"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must 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70" w:lineRule="exact"/>
        <w:rPr>
          <w:rFonts w:ascii="Arial" w:cs="Arial" w:eastAsia="Arial" w:hAnsi="Arial"/>
          <w:sz w:val="17"/>
          <w:szCs w:val="17"/>
          <w:color w:val="auto"/>
        </w:rPr>
      </w:pPr>
    </w:p>
    <w:p>
      <w:pPr>
        <w:ind w:left="1080" w:right="80" w:hanging="424"/>
        <w:spacing w:after="0" w:line="254"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subject to customary limitations and exclusions, that there has been a change in current U.S. federal tax law or an Internal Revenue Service, or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10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but not limited to settlement amounts and any other information.</w:t>
      </w:r>
    </w:p>
    <w:p>
      <w:pPr>
        <w:spacing w:after="0" w:line="16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American Stock Transfer &amp; Trust Company, LLC also serves as transfer agent for our common stock and as trustee for the 2024 Notes and the 2026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The trustee may resign or be removed with respect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that under procedures established by DTC:</w:t>
      </w:r>
    </w:p>
    <w:p>
      <w:pPr>
        <w:spacing w:after="0" w:line="77" w:lineRule="exact"/>
        <w:rPr>
          <w:sz w:val="20"/>
          <w:szCs w:val="20"/>
          <w:color w:val="auto"/>
        </w:rPr>
      </w:pPr>
    </w:p>
    <w:p>
      <w:pPr>
        <w:ind w:left="1080" w:right="1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jc w:val="center"/>
        <w:ind w:left="340" w:right="100"/>
        <w:spacing w:after="0" w:line="449"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 S-33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None of the Company, the trustee nor any underwriter is responsible for those operations or procedures.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the Company that it is:</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78"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any proposed transfer outside the book entry only system, there will be provided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1080" w:right="1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12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following discussion is a general summary of certain U.S. federal income tax considerations (and, in the case of a non-U.S. holder (as defined below), certain U.S.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U.S. federal tax laws to you in light of your particular situation, as well as any consequences to you of purchasing, owning and disposing of the Notes under the laws of any other taxing jurisdiction.</w:t>
      </w:r>
    </w:p>
    <w:p>
      <w:pPr>
        <w:spacing w:after="0" w:line="17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For purposes of this discussion, the term “U.S. holder” means a beneficial owner of a Note that is, for U.S. federal income tax purposes, (i) an individual who is a citizen or resident of the United States, (ii) a corporation or other entity treated as a corporation for U.S. federal income tax purposes, created or organized in or under the laws of the United States or of any political subdivision thereof, (iii) a trust (a) subject to the control of one or more U.S. persons and the primary supervision of a court in the United States, or (b) that has a valid election (under applicable Treasury Regulations) to be treated as a U.S. person for U.S. federal income tax purposes, or (iv) an estate the income of which is subject to U.S.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U.S. federal income tax as if they were U.S. citizens.</w:t>
      </w:r>
    </w:p>
    <w:p>
      <w:pPr>
        <w:spacing w:after="0" w:line="172"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u w:val="single" w:color="auto"/>
          <w:color w:val="auto"/>
        </w:rPr>
        <w:t>Taxation of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or accruals of interest on a Note generally will be taxable to a U.S. holder as ordinary interest income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and this discussion assumes, that the Notes will not be treated as issued with original issue discount for U.S. federal income tax purposes.</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The distinction between capital gain or loss and ordinary income or loss is also important in other contexts, such as, for example, for purposes of the limitations on a U.S. holder’s ability to offset capital losses against ordinary income.</w:t>
      </w:r>
    </w:p>
    <w:p>
      <w:pPr>
        <w:spacing w:after="0" w:line="17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7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u w:val="single" w:color="auto"/>
          <w:color w:val="auto"/>
        </w:rPr>
        <w:t>Taxation of Non-U.S. Holders</w:t>
      </w:r>
      <w:r>
        <w:rPr>
          <w:rFonts w:ascii="Arial" w:cs="Arial" w:eastAsia="Arial" w:hAnsi="Arial"/>
          <w:sz w:val="16"/>
          <w:szCs w:val="16"/>
          <w:color w:val="auto"/>
        </w:rPr>
        <w:t>. A non-U.S. holder generally will not be subject to U.S. federal income or withholding taxes on payments of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U.S. person in compliance with applicable requirements, or satisfies documentary evidence requirements for establishing that it is a non-U.S. holder. A non-U.S. holder that is not exempt from tax under these rules generally will be subject to withholding of U.S. federal income tax on payments of interest on the Notes at a rate of 30% unless (i) the interest is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effectively connected with the conduct of a U.S. trade or business, in which case the interest will be subject to U.S.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U.S. trade or business, such income may also be subject to a branch profits tax (which is generally imposed on a non-U.S. corporation on the actual or deemed repatriation from the United States of earnings and profits attributable to a U.S. trade or business) at a 30% rate. The branch profits tax may not apply (or may apply at a reduced rate) if the non-U.S. holder is a qualified resident of a country with which the United States has an income tax treaty.</w:t>
      </w:r>
    </w:p>
    <w:p>
      <w:pPr>
        <w:spacing w:after="0" w:line="17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U.S. trade or business, the non-U.S. holder must timely provide the appropriate, properly executed IRS forms to the applicable withholding agent. These forms may be required to be periodically updated.</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Generally, a non-U.S. holder will not be subject to U.S. federal income or withholding taxes on any amount that constitutes capital gain upon the sale, exchange, redemption or retirement of a Note, provided that the gain is not effectively connected with the conduct of a trade or business in the United States by the non-U.S. holder (and, if required by an applicable income tax treaty, is not attributable to a U.S. “permanent establishment” maintained by the non-U.S. holder). Certain other exceptions may be applicable, and a non-U.S. holder should consult its tax advisor in this regard.</w:t>
      </w:r>
    </w:p>
    <w:p>
      <w:pPr>
        <w:spacing w:after="0" w:line="15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w:t>
      </w:r>
    </w:p>
    <w:p>
      <w:pPr>
        <w:spacing w:after="0" w:line="2"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Section 871(h)(3) of the Code and the Treasury Regulations thereunder or (ii) such individual’s interest in the Notes is effectively connected with the individual’s conduct of a U.S. trade or business.</w:t>
      </w:r>
    </w:p>
    <w:p>
      <w:pPr>
        <w:spacing w:after="0" w:line="185"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Information Reporting and Backup Withholding. A U.S. holder (other than an “exempt recipient,” including a corporation and certain other persons who, 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6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that the required information is timely furnished to the IRS.</w:t>
      </w:r>
    </w:p>
    <w:p>
      <w:pPr>
        <w:spacing w:after="0" w:line="18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FATCA Withholding on Payments to Certain Foreign Entities. Sections 1471 through 1474 of the Code (provisions commonly referred to as “FATCA”) 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9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prospective purchaser should consult its own tax advisor regarding FATCA and how it may affect such investor in its particular circumstances.</w:t>
      </w:r>
    </w:p>
    <w:p>
      <w:pPr>
        <w:spacing w:after="0" w:line="24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offering the Notes described in this prospectus supplement through a number of underwriters. Raymond James &amp; Associates, Inc., Keefe, Bruyette &amp; Woods, Inc. and Truist Securities, Inc. are acting as representatives of the several underwriters. We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w:t>
      </w:r>
    </w:p>
    <w:p>
      <w:pPr>
        <w:spacing w:after="0" w:line="17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58"/>
        </w:trPr>
        <w:tc>
          <w:tcPr>
            <w:tcW w:w="4340" w:type="dxa"/>
            <w:vAlign w:val="bottom"/>
            <w:gridSpan w:val="3"/>
            <w:vMerge w:val="continue"/>
          </w:tcPr>
          <w:p>
            <w:pPr>
              <w:spacing w:after="0"/>
              <w:rPr>
                <w:sz w:val="13"/>
                <w:szCs w:val="13"/>
                <w:color w:val="auto"/>
              </w:rPr>
            </w:pPr>
          </w:p>
        </w:tc>
        <w:tc>
          <w:tcPr>
            <w:tcW w:w="1800" w:type="dxa"/>
            <w:vAlign w:val="bottom"/>
          </w:tcPr>
          <w:p>
            <w:pPr>
              <w:spacing w:after="0"/>
              <w:rPr>
                <w:sz w:val="13"/>
                <w:szCs w:val="13"/>
                <w:color w:val="auto"/>
              </w:rPr>
            </w:pPr>
          </w:p>
        </w:tc>
        <w:tc>
          <w:tcPr>
            <w:tcW w:w="13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Amount of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Raymond James &amp; Associates, Inc.</w:t>
            </w:r>
          </w:p>
        </w:tc>
        <w:tc>
          <w:tcPr>
            <w:tcW w:w="18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12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308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3080" w:type="dxa"/>
            <w:vAlign w:val="bottom"/>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08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80" w:type="dxa"/>
            <w:vAlign w:val="bottom"/>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the Investment Adviser and the Administrator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the Company is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w w:val="93"/>
              </w:rPr>
              <w:t>Per Note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Underwriting discount (sales load)</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92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92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w:t>
      </w:r>
    </w:p>
    <w:p>
      <w:pPr>
        <w:spacing w:after="0" w:line="46" w:lineRule="exact"/>
        <w:rPr>
          <w:sz w:val="20"/>
          <w:szCs w:val="20"/>
          <w:color w:val="auto"/>
        </w:rPr>
      </w:pPr>
    </w:p>
    <w:p>
      <w:pPr>
        <w:jc w:val="both"/>
        <w:ind w:left="120" w:right="80"/>
        <w:spacing w:after="0" w:line="323" w:lineRule="auto"/>
        <w:rPr>
          <w:sz w:val="20"/>
          <w:szCs w:val="20"/>
          <w:color w:val="auto"/>
        </w:rPr>
      </w:pPr>
      <w:r>
        <w:rPr>
          <w:rFonts w:ascii="Arial" w:cs="Arial" w:eastAsia="Arial" w:hAnsi="Arial"/>
          <w:sz w:val="16"/>
          <w:szCs w:val="16"/>
          <w:color w:val="auto"/>
        </w:rPr>
        <w:t>and some of the Notes to certain other dealers at the public offering price less a concession not in excess of % of the aggregate principal amount of the Notes. The underwriters may allow, and the dealers may reallow, a discount not in excess of % of the aggregate principal amount of the Notes.</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After the initial offering of the Notes to the public, the public offering price and other selling terms may be changed. No such change will change the amount of proceeds to be received by us as set forth on the cover page of this prospectus supplement.</w:t>
      </w:r>
    </w:p>
    <w:p>
      <w:pPr>
        <w:spacing w:after="0" w:line="170" w:lineRule="exact"/>
        <w:rPr>
          <w:sz w:val="20"/>
          <w:szCs w:val="20"/>
          <w:color w:val="auto"/>
        </w:rPr>
      </w:pPr>
    </w:p>
    <w:p>
      <w:pPr>
        <w:ind w:left="120"/>
        <w:spacing w:after="0"/>
        <w:tabs>
          <w:tab w:leader="none" w:pos="6840" w:val="left"/>
        </w:tabs>
        <w:rPr>
          <w:sz w:val="20"/>
          <w:szCs w:val="20"/>
          <w:color w:val="auto"/>
        </w:rPr>
      </w:pPr>
      <w:r>
        <w:rPr>
          <w:rFonts w:ascii="Arial" w:cs="Arial" w:eastAsia="Arial" w:hAnsi="Arial"/>
          <w:sz w:val="18"/>
          <w:szCs w:val="18"/>
          <w:color w:val="auto"/>
        </w:rPr>
        <w:t>The expenses of the offering, not including the underwriting discount, are estimated at $</w:t>
      </w:r>
      <w:r>
        <w:rPr>
          <w:sz w:val="20"/>
          <w:szCs w:val="20"/>
          <w:color w:val="auto"/>
        </w:rPr>
        <w:tab/>
      </w:r>
      <w:r>
        <w:rPr>
          <w:rFonts w:ascii="Arial" w:cs="Arial" w:eastAsia="Arial" w:hAnsi="Arial"/>
          <w:sz w:val="16"/>
          <w:szCs w:val="16"/>
          <w:color w:val="auto"/>
        </w:rPr>
        <w:t>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representatives.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representatives will engage in these transactions or that these transactions, once commenced, will not be discontinued without notice.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8"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have a lending relationship with us, certain of those underwriters or their affiliates routinely hedge, and certain other of those underwriters and their affiliates may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Affiliates of certain of the underwriters serve as lenders under the Truist Credit Facility and may serve as lenders or in other roles under any future credit facilities. Some of the underwriters and/or their affiliates were underwriters in connection with our initial public offerings and follow-on public offerings for which they received customary fees. Affiliates of certain of the underwriters are expected to receive part of the proceeds of the offering if we use proceeds from this offering to repay certain amounts outstanding under the Truist Credit Facility.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spacing w:after="0"/>
        <w:tabs>
          <w:tab w:leader="none" w:pos="6380" w:val="left"/>
        </w:tabs>
        <w:rPr>
          <w:sz w:val="20"/>
          <w:szCs w:val="20"/>
          <w:color w:val="auto"/>
        </w:rPr>
      </w:pPr>
      <w:r>
        <w:rPr>
          <w:rFonts w:ascii="Arial" w:cs="Arial" w:eastAsia="Arial" w:hAnsi="Arial"/>
          <w:sz w:val="18"/>
          <w:szCs w:val="18"/>
          <w:color w:val="auto"/>
        </w:rPr>
        <w:t>We expect that delivery of the Notes will be made to investors on or about</w:t>
      </w:r>
      <w:r>
        <w:rPr>
          <w:sz w:val="20"/>
          <w:szCs w:val="20"/>
          <w:color w:val="auto"/>
        </w:rPr>
        <w:tab/>
      </w:r>
      <w:r>
        <w:rPr>
          <w:rFonts w:ascii="Arial" w:cs="Arial" w:eastAsia="Arial" w:hAnsi="Arial"/>
          <w:sz w:val="16"/>
          <w:szCs w:val="16"/>
          <w:color w:val="auto"/>
        </w:rPr>
        <w:t>, 2021, which will be the fifth business day following the date of</w:t>
      </w:r>
    </w:p>
    <w:p>
      <w:pPr>
        <w:spacing w:after="0" w:line="23"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pricing of the Notes (such settlement cycle being herein referred to as “T+5”). Under Rule 15c6-1 under the Exchange Act, trades in the secondary market generally are required to settle in two business days, unless the parties to any such trade expressly agree otherwise. Accordingly, purchasers who wish to trade notes any day prior to the second business day before delivery will be required, by virtue of the fact that the notes initially will settle T+5, to specify an alternate settlement cycle at the time of any such trade to prevent a failed settlement. Purchasers of notes who wish to trade notes on any day prior to the second business day before delivery should consult their own advisor.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principal business address of Raymond James &amp; Associates, Inc. is 880 Carillon Parkway, St. Petersburg, Florida 33716. The principal business address of Keefe, Bruyette &amp; Woods, Inc. is 787 7th Avenue, 4th Floor, New York, NY 10019. The principal business address of Truist Securities, Inc. is 3333 Peachtree Road NE, Atlanta, GA 30326. The principal business address of J.P. Morgan Securities LLC is 383 Madison Avenue, New York, NY 10179.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Canadian investors are advised that this prospectus has been prepared in reliance on section 3A.3 of National Instrument 33-105 Underwriting Conflicts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Resale Restrictions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of Purchasers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Any discussion of taxation and related matters contained in this prospectus does not purport to be a comprehensive description of all of the tax considerations that may be relevant to a Canadian investor when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w:t>
      </w:r>
    </w:p>
    <w:p>
      <w:pPr>
        <w:ind w:left="120"/>
        <w:spacing w:after="0" w:line="252" w:lineRule="auto"/>
        <w:rPr>
          <w:sz w:val="20"/>
          <w:szCs w:val="20"/>
          <w:color w:val="auto"/>
        </w:rPr>
      </w:pPr>
      <w:r>
        <w:rPr>
          <w:rFonts w:ascii="Arial" w:cs="Arial" w:eastAsia="Arial" w:hAnsi="Arial"/>
          <w:sz w:val="18"/>
          <w:szCs w:val="18"/>
          <w:color w:val="auto"/>
        </w:rPr>
        <w:t>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9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Notes may not be offered, sold or otherwise made available to any retail investor in the European Economic Area, or EEA. For these purposes: (a) a retail investor means a person who is one (or more) of the following: (i) a retail client as defined in point (11) of Article 4(1) of Article 4(1) of Directive 2014/65/EU (as amended or superseded, or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and (b) the expression “offer” includes the communication in any form and by any means of sufficient information on the terms of the offer and the Notes to be offered so as to enable an investor to decide to purchase or subscribe the Notes.</w:t>
      </w:r>
    </w:p>
    <w:p>
      <w:pPr>
        <w:spacing w:after="0" w:line="17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For the purposes of this provision: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expression “retail investor” means a person who is one (or more) of the following: (i) a retail client as defined in point (8) of Article 2 of Regulation (EU) No 2017/565 as it forms part of domestic law by virtue of the European Union (Withdrawal) Act 2018 (“EUWA”); or (ii) 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(the “UK Prospectus Regulation”); and (b) the expression “offer” includes the communication in any form and by any means of sufficient information on the terms of the offer and the Notes to be offered so as to enable an investor to decide to purchase or subscribe for the Notes.</w:t>
      </w:r>
    </w:p>
    <w:p>
      <w:pPr>
        <w:spacing w:after="0" w:line="178"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Neither this prospectus supplement nor the accompanying prospectus is a prospectus for the purposes of the UK Prospectus Regulation.</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This prospectus supplement and the accompanying prospectus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the accompanying prospectus and their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 The Notes are not being offered to the public in the United Kingdom.</w:t>
      </w:r>
    </w:p>
    <w:p>
      <w:pPr>
        <w:spacing w:after="0" w:line="166"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in the United Kingdom, each underwriter has represented and agreed the Notes may not be offered other than by an underwriter that: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 has complied and will comply with all applicable provisions of the FSMA with respect to anything done by it in relation to the Notes in, from or otherwise involving the United Kingdom.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or a “Qualified Investor”, in all cases under the circumstances that will fall within the private placement exemption of the Israeli Securities Law of 1968, or Securities Law. This prospectus supplement and the accompanying prospectus may not be reproduced or used for any other purpose, nor be furnished to any other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and Venable LLP. Certain legal matters in connection with the offering will be passed upon for the underwriters by Proskauer Rose LLP.</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Investment Corporation as of September 30, 2020 and 2019 and for each of the years in the three-year period ended September 30, 2020 and the effectiveness of internal control over financial reporting as of September 30, 2020 incorporated in this prospectus supplement by reference from our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right="1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September 30, 2020, filed with the SEC on </w:t>
      </w:r>
      <w:hyperlink r:id="rId60">
        <w:r>
          <w:rPr>
            <w:rFonts w:ascii="Arial" w:cs="Arial" w:eastAsia="Arial" w:hAnsi="Arial"/>
            <w:sz w:val="18"/>
            <w:szCs w:val="18"/>
            <w:u w:val="single" w:color="auto"/>
            <w:color w:val="0000EE"/>
          </w:rPr>
          <w:t>November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amended on </w:t>
      </w:r>
      <w:hyperlink r:id="rId61">
        <w:r>
          <w:rPr>
            <w:rFonts w:ascii="Arial" w:cs="Arial" w:eastAsia="Arial" w:hAnsi="Arial"/>
            <w:sz w:val="18"/>
            <w:szCs w:val="18"/>
            <w:u w:val="single" w:color="auto"/>
            <w:color w:val="0000EE"/>
          </w:rPr>
          <w:t>March 26,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62">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4">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with the SEC on February 9, 2021, May 5, 2021 and August 4, 2021,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65">
        <w:r>
          <w:rPr>
            <w:rFonts w:ascii="Arial" w:cs="Arial" w:eastAsia="Arial" w:hAnsi="Arial"/>
            <w:sz w:val="17"/>
            <w:szCs w:val="17"/>
            <w:u w:val="single" w:color="auto"/>
            <w:color w:val="0000EE"/>
          </w:rPr>
          <w:t>February 12, 2021</w:t>
        </w:r>
      </w:hyperlink>
      <w:r>
        <w:rPr>
          <w:rFonts w:ascii="Arial" w:cs="Arial" w:eastAsia="Arial" w:hAnsi="Arial"/>
          <w:sz w:val="17"/>
          <w:szCs w:val="17"/>
          <w:color w:val="auto"/>
        </w:rPr>
        <w:t xml:space="preserve">, </w:t>
      </w:r>
      <w:hyperlink r:id="rId66">
        <w:r>
          <w:rPr>
            <w:rFonts w:ascii="Arial" w:cs="Arial" w:eastAsia="Arial" w:hAnsi="Arial"/>
            <w:sz w:val="17"/>
            <w:szCs w:val="17"/>
            <w:u w:val="single" w:color="auto"/>
            <w:color w:val="0000EE"/>
          </w:rPr>
          <w:t>April 20, 2021</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EE"/>
          </w:rPr>
          <w:t>April 22,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68">
        <w:r>
          <w:rPr>
            <w:rFonts w:ascii="Arial" w:cs="Arial" w:eastAsia="Arial" w:hAnsi="Arial"/>
            <w:sz w:val="17"/>
            <w:szCs w:val="17"/>
            <w:u w:val="single" w:color="auto"/>
            <w:color w:val="0000EE"/>
          </w:rPr>
          <w:t>June 21, 2021</w:t>
        </w:r>
      </w:hyperlink>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31"/>
        </w:numPr>
        <w:rPr>
          <w:rFonts w:ascii="Arial" w:cs="Arial" w:eastAsia="Arial" w:hAnsi="Arial"/>
          <w:sz w:val="18"/>
          <w:szCs w:val="18"/>
          <w:color w:val="0000EE"/>
        </w:rPr>
      </w:pPr>
      <w:r>
        <w:rPr>
          <w:rFonts w:ascii="Arial" w:cs="Arial" w:eastAsia="Arial" w:hAnsi="Arial"/>
          <w:sz w:val="18"/>
          <w:szCs w:val="18"/>
          <w:color w:val="auto"/>
        </w:rPr>
        <w:t xml:space="preserve">our Definitive Proxy Statement on </w:t>
      </w:r>
      <w:hyperlink r:id="rId69">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xml:space="preserve">, filed with the SEC on December 8, 2020 (to the extent incorporated by reference into </w:t>
      </w:r>
      <w:hyperlink r:id="rId70">
        <w:r>
          <w:rPr>
            <w:rFonts w:ascii="Arial" w:cs="Arial" w:eastAsia="Arial" w:hAnsi="Arial"/>
            <w:sz w:val="18"/>
            <w:szCs w:val="18"/>
            <w:u w:val="single" w:color="auto"/>
            <w:color w:val="0000EE"/>
          </w:rPr>
          <w:t>Part III</w:t>
        </w:r>
        <w:r>
          <w:rPr>
            <w:rFonts w:ascii="Arial" w:cs="Arial" w:eastAsia="Arial" w:hAnsi="Arial"/>
            <w:sz w:val="18"/>
            <w:szCs w:val="18"/>
            <w:color w:val="0000EE"/>
          </w:rPr>
          <w:t xml:space="preserve">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10-K for the fiscal year ended September 30, 2020).</w:t>
      </w:r>
    </w:p>
    <w:p>
      <w:pPr>
        <w:spacing w:after="0" w:line="170"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To obtain copies of these filings, see “</w:t>
      </w:r>
      <w:r>
        <w:rPr>
          <w:rFonts w:ascii="Arial" w:cs="Arial" w:eastAsia="Arial" w:hAnsi="Arial"/>
          <w:sz w:val="18"/>
          <w:szCs w:val="18"/>
          <w:i w:val="1"/>
          <w:iCs w:val="1"/>
          <w:color w:val="auto"/>
        </w:rPr>
        <w:t>Available Information</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0940"/>
          </w:cols>
          <w:pgMar w:left="320" w:top="459"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139700</wp:posOffset>
            </wp:positionV>
            <wp:extent cx="1765935" cy="42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Debt Securities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left="120" w:right="28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59" w:lineRule="exact"/>
        <w:rPr>
          <w:sz w:val="20"/>
          <w:szCs w:val="20"/>
          <w:color w:val="auto"/>
        </w:rPr>
      </w:pPr>
    </w:p>
    <w:p>
      <w:pPr>
        <w:ind w:left="12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120" w:firstLine="551"/>
        <w:spacing w:after="0" w:line="308"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60">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7 and “</w:t>
      </w:r>
      <w:hyperlink w:anchor="page66">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13 of this prospectus for more information.</w:t>
      </w:r>
    </w:p>
    <w:p>
      <w:pPr>
        <w:spacing w:after="0" w:line="27"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January 28, 2020 was $6.58 per share, and our net asset value on September 30, 2019 was $8.68 per share. Our 5.50% notes due 2024, or the 2024 Notes, are traded on The Nasdaq Global Select Market under the symbol “PNNTG.” The last reported closing price of the 2024 Notes on January 28, 2020 was $25.65 per $25 unit.</w:t>
      </w:r>
    </w:p>
    <w:p>
      <w:pPr>
        <w:spacing w:after="0" w:line="62" w:lineRule="exact"/>
        <w:rPr>
          <w:sz w:val="20"/>
          <w:szCs w:val="20"/>
          <w:color w:val="auto"/>
        </w:rPr>
      </w:pPr>
    </w:p>
    <w:p>
      <w:pPr>
        <w:ind w:left="120" w:right="40" w:firstLine="551"/>
        <w:spacing w:after="0" w:line="288"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2" w:lineRule="exact"/>
        <w:rPr>
          <w:sz w:val="20"/>
          <w:szCs w:val="20"/>
          <w:color w:val="auto"/>
        </w:rPr>
      </w:pPr>
    </w:p>
    <w:p>
      <w:pPr>
        <w:ind w:left="120" w:right="6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6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0"/>
          <w:szCs w:val="20"/>
          <w:color w:val="auto"/>
        </w:rPr>
      </w:pPr>
    </w:p>
    <w:p>
      <w:pPr>
        <w:ind w:left="120" w:right="480" w:firstLine="440"/>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dated January 30, 2020</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551"/>
        <w:spacing w:after="0" w:line="288"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80" w:type="dxa"/>
            <w:vAlign w:val="bottom"/>
            <w:gridSpan w:val="25"/>
            <w:vMerge w:val="restart"/>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PROSPECTUS SUMMARY</w:t>
              </w:r>
            </w:hyperlink>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9"/>
        </w:trPr>
        <w:tc>
          <w:tcPr>
            <w:tcW w:w="10680" w:type="dxa"/>
            <w:vAlign w:val="bottom"/>
            <w:gridSpan w:val="25"/>
            <w:vMerge w:val="continue"/>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FEES AND EXPENSES</w:t>
              </w:r>
            </w:hyperlink>
          </w:p>
        </w:tc>
        <w:tc>
          <w:tcPr>
            <w:tcW w:w="86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RISK FACTORS</w:t>
              </w:r>
            </w:hyperlink>
          </w:p>
        </w:tc>
        <w:tc>
          <w:tcPr>
            <w:tcW w:w="520" w:type="dxa"/>
            <w:vAlign w:val="bottom"/>
            <w:tcBorders>
              <w:top w:val="single" w:sz="8" w:color="0000EE"/>
            </w:tcBorders>
            <w:gridSpan w:val="5"/>
          </w:tcPr>
          <w:p>
            <w:pPr>
              <w:spacing w:after="0"/>
              <w:rPr>
                <w:sz w:val="17"/>
                <w:szCs w:val="17"/>
                <w:color w:val="auto"/>
              </w:rPr>
            </w:pPr>
          </w:p>
        </w:tc>
        <w:tc>
          <w:tcPr>
            <w:tcW w:w="894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FORWARD-LOOKING STATEMENTS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91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PRICE RANGE OF COMMON STOCK</w:t>
              </w:r>
            </w:hyperlink>
          </w:p>
        </w:tc>
        <w:tc>
          <w:tcPr>
            <w:tcW w:w="78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SALES OF COMMON STOCK BELOW NET ASSET VALUE</w:t>
              </w:r>
            </w:hyperlink>
          </w:p>
        </w:tc>
        <w:tc>
          <w:tcPr>
            <w:tcW w:w="61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DISTRIBUTIONS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PORTFOLIO COMPANIES</w:t>
              </w:r>
            </w:hyperlink>
          </w:p>
        </w:tc>
        <w:tc>
          <w:tcPr>
            <w:tcW w:w="86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PORTFOLIO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DETERMINATION OF NET ASSET VALUE</w:t>
              </w:r>
            </w:hyperlink>
          </w:p>
        </w:tc>
        <w:tc>
          <w:tcPr>
            <w:tcW w:w="74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DIVIDEND REINVESTMENT PLAN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OUR CAPITAL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DESCRIPTION OF OUR PREFERRED STOCK</w:t>
              </w:r>
            </w:hyperlink>
          </w:p>
        </w:tc>
        <w:tc>
          <w:tcPr>
            <w:tcW w:w="72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OUR WARRANTS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6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DESCRIPTION OF OUR UNITS</w:t>
              </w:r>
            </w:hyperlink>
          </w:p>
        </w:tc>
        <w:tc>
          <w:tcPr>
            <w:tcW w:w="83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BROKERAGE ALLOCATIONS AND OTHER PRACTICES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MATERIAL U.S.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PLAN OF DISTRIBUTION</w:t>
              </w:r>
            </w:hyperlink>
          </w:p>
        </w:tc>
        <w:tc>
          <w:tcPr>
            <w:tcW w:w="2740" w:type="dxa"/>
            <w:vAlign w:val="bottom"/>
            <w:tcBorders>
              <w:top w:val="single" w:sz="8" w:color="0000EE"/>
            </w:tcBorders>
            <w:gridSpan w:val="15"/>
          </w:tcPr>
          <w:p>
            <w:pPr>
              <w:spacing w:after="0"/>
              <w:rPr>
                <w:sz w:val="17"/>
                <w:szCs w:val="17"/>
                <w:color w:val="auto"/>
              </w:rPr>
            </w:pPr>
          </w:p>
        </w:tc>
        <w:tc>
          <w:tcPr>
            <w:tcW w:w="59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SUB-ADMINISTRATOR, CUSTODIAN, TRANSFER AGENT AND TRUSTEE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LEGAL MATTERS</w:t>
              </w:r>
            </w:hyperlink>
          </w:p>
        </w:tc>
        <w:tc>
          <w:tcPr>
            <w:tcW w:w="4360" w:type="dxa"/>
            <w:vAlign w:val="bottom"/>
            <w:tcBorders>
              <w:top w:val="single" w:sz="8" w:color="0000EE"/>
            </w:tcBorders>
            <w:gridSpan w:val="20"/>
          </w:tcPr>
          <w:p>
            <w:pPr>
              <w:spacing w:after="0"/>
              <w:rPr>
                <w:sz w:val="17"/>
                <w:szCs w:val="17"/>
                <w:color w:val="auto"/>
              </w:rPr>
            </w:pPr>
          </w:p>
        </w:tc>
        <w:tc>
          <w:tcPr>
            <w:tcW w:w="49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INDEPENDENT REGISTERED PUBLIC ACCOUNTING FIRM/INDEPENDENT AUDITOR</w:t>
              </w:r>
            </w:hyperlink>
          </w:p>
        </w:tc>
        <w:tc>
          <w:tcPr>
            <w:tcW w:w="39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INCORPORATION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AVAILABLE INFORMATION</w:t>
              </w:r>
            </w:hyperlink>
          </w:p>
        </w:tc>
        <w:tc>
          <w:tcPr>
            <w:tcW w:w="79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firstLine="551"/>
        <w:spacing w:after="0" w:line="306"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prior to dissolution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were redeemed in March 2019; “2024 Notes” refers to our 5.50% Notes due 2024; “2025 Notes” refers to our 6.25% notes due 2025;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3"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 SBIC II may rely on an exclusion from the definition of “investment company” under the 1940 Act. As such, it will not elect to be regulated as a BDC under the 1940 Act.</w:t>
      </w:r>
    </w:p>
    <w:p>
      <w:pPr>
        <w:spacing w:after="0" w:line="192"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166"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w:t>
      </w: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86" w:lineRule="auto"/>
        <w:rPr>
          <w:sz w:val="20"/>
          <w:szCs w:val="20"/>
          <w:color w:val="auto"/>
        </w:rPr>
      </w:pPr>
      <w:r>
        <w:rPr>
          <w:rFonts w:ascii="Arial" w:cs="Arial" w:eastAsia="Arial" w:hAnsi="Arial"/>
          <w:sz w:val="17"/>
          <w:szCs w:val="17"/>
          <w:color w:val="auto"/>
        </w:rPr>
        <w:t>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00" w:right="140" w:firstLine="532"/>
        <w:spacing w:after="0" w:line="275"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33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98970" cy="43332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Sales load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Management fees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220" w:type="dxa"/>
            <w:vAlign w:val="bottom"/>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20" w:type="dxa"/>
            <w:vAlign w:val="bottom"/>
            <w:vMerge w:val="continue"/>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w:t>
            </w: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820" w:hanging="424"/>
        <w:spacing w:after="0" w:line="25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2019.</w:t>
      </w:r>
    </w:p>
    <w:p>
      <w:pPr>
        <w:spacing w:after="0" w:line="9" w:lineRule="exact"/>
        <w:rPr>
          <w:rFonts w:ascii="Arial" w:cs="Arial" w:eastAsia="Arial" w:hAnsi="Arial"/>
          <w:sz w:val="18"/>
          <w:szCs w:val="18"/>
          <w:color w:val="auto"/>
        </w:rPr>
      </w:pPr>
    </w:p>
    <w:p>
      <w:pPr>
        <w:jc w:val="both"/>
        <w:ind w:left="540" w:right="100" w:hanging="424"/>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contractual management fee is calculated at an annual rate of 1.50% of our average adjusted gross assets up to 200% of the Company’s total net assets as of the immediately preceding quarter-end and 1.00% for amounts that exceed such amount on September 30, 2019. See “Business— Investment Management Agreement” and “Business—Management Fees” in our most recent Annual Report on Form 10-K for more information.</w:t>
      </w:r>
    </w:p>
    <w:p>
      <w:pPr>
        <w:spacing w:after="0" w:line="1" w:lineRule="exact"/>
        <w:rPr>
          <w:rFonts w:ascii="Arial" w:cs="Arial" w:eastAsia="Arial" w:hAnsi="Arial"/>
          <w:sz w:val="16"/>
          <w:szCs w:val="16"/>
          <w:color w:val="auto"/>
        </w:rPr>
      </w:pPr>
    </w:p>
    <w:p>
      <w:pPr>
        <w:ind w:left="540" w:right="60" w:hanging="424"/>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“Business—Management Fees” in our most recent Annual Report on Form 10-K for more information.</w:t>
      </w:r>
    </w:p>
    <w:p>
      <w:pPr>
        <w:spacing w:after="0" w:line="1" w:lineRule="exact"/>
        <w:rPr>
          <w:rFonts w:ascii="Arial" w:cs="Arial" w:eastAsia="Arial" w:hAnsi="Arial"/>
          <w:sz w:val="17"/>
          <w:szCs w:val="17"/>
          <w:color w:val="auto"/>
        </w:rPr>
      </w:pPr>
    </w:p>
    <w:p>
      <w:pPr>
        <w:ind w:left="540" w:right="60" w:hanging="424"/>
        <w:spacing w:after="0" w:line="273"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of September 30, 2019, we had $252.4 million of unused borrowing capacity, subject to maintenance of the applicable total assets to debt ratio, under the 1940 Act. As of such date, we had $301.6 million in borrowings outstanding under our $475.0 million SunTrust Credit Facility, $171.0 million in borrowings outstanding under our $250.0 million BNP Credit Facility and $75.0 million in aggregate principal of 2024 Notes. As of September 30, 2019, our SBIC Funds had debenture commitments from the SBA in the amount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68" w:lineRule="auto"/>
        <w:rPr>
          <w:sz w:val="20"/>
          <w:szCs w:val="20"/>
          <w:color w:val="auto"/>
        </w:rPr>
      </w:pPr>
      <w:r>
        <w:rPr>
          <w:rFonts w:ascii="Arial" w:cs="Arial" w:eastAsia="Arial" w:hAnsi="Arial"/>
          <w:sz w:val="17"/>
          <w:szCs w:val="17"/>
          <w:color w:val="auto"/>
        </w:rPr>
        <w:t>of $150.0 million, all of which were outstanding with a weighted average interest rate of 3.11%, exclusive of the 3.43% of upfront fees. We may use proceeds of an offering of securities under this registration statement to repay outstanding obligations under our Credit Facilities. After completing any such offering, we may continue to borrow under our Credit Facilities to finance our investment objectives. Annual interest expense on borrowed funds represents actual interest expense incurred for the fiscal year ended September 30, 2019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sz w:val="20"/>
          <w:szCs w:val="20"/>
          <w:color w:val="auto"/>
        </w:rPr>
      </w:pPr>
    </w:p>
    <w:p>
      <w:pPr>
        <w:ind w:left="540" w:right="200" w:hanging="424"/>
        <w:spacing w:after="0" w:line="28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6"/>
          <w:szCs w:val="16"/>
          <w:color w:val="auto"/>
        </w:rPr>
      </w:pPr>
    </w:p>
    <w:p>
      <w:pPr>
        <w:ind w:left="540" w:right="20" w:hanging="424"/>
        <w:spacing w:after="0" w:line="270"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5.39%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10.40%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254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10 Years</w:t>
            </w:r>
          </w:p>
        </w:tc>
      </w:tr>
      <w:tr>
        <w:trPr>
          <w:trHeight w:val="175"/>
        </w:trPr>
        <w:tc>
          <w:tcPr>
            <w:tcW w:w="65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Assuming a 5% annual return (assumes no return from net realized capital gains or</w:t>
            </w: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$ 133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312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473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r>
      <w:tr>
        <w:trPr>
          <w:trHeight w:val="202"/>
        </w:trPr>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w w:val="98"/>
              </w:rPr>
              <w:t>Assuming a 5% annual return (assumes return from only realized capital gains and</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spacing w:after="0"/>
              <w:rPr>
                <w:sz w:val="20"/>
                <w:szCs w:val="20"/>
                <w:color w:val="auto"/>
              </w:rPr>
            </w:pPr>
            <w:r>
              <w:rPr>
                <w:rFonts w:ascii="Arial" w:cs="Arial" w:eastAsia="Arial" w:hAnsi="Arial"/>
                <w:sz w:val="18"/>
                <w:szCs w:val="18"/>
                <w:color w:val="auto"/>
              </w:rPr>
              <w:t>$ 140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332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r>
    </w:tbl>
    <w:p>
      <w:pPr>
        <w:spacing w:after="0" w:line="20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21,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120" w:right="640" w:hanging="4"/>
        <w:spacing w:after="0" w:line="323" w:lineRule="auto"/>
        <w:tabs>
          <w:tab w:leader="none" w:pos="4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September 30, 2019, 2018, 2017, 2016, 2015, 2014, 2013, 2012, 2011, and 2010,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Class and Year</w:t>
            </w:r>
          </w:p>
        </w:tc>
        <w:tc>
          <w:tcPr>
            <w:tcW w:w="598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Coverage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2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320" w:type="dxa"/>
            <w:vAlign w:val="bottom"/>
          </w:tcPr>
          <w:p>
            <w:pPr>
              <w:spacing w:after="0"/>
              <w:rPr>
                <w:sz w:val="15"/>
                <w:szCs w:val="15"/>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(2),(3)</w:t>
            </w:r>
          </w:p>
        </w:tc>
        <w:tc>
          <w:tcPr>
            <w:tcW w:w="120" w:type="dxa"/>
            <w:vAlign w:val="bottom"/>
          </w:tcPr>
          <w:p>
            <w:pPr>
              <w:spacing w:after="0"/>
              <w:rPr>
                <w:sz w:val="15"/>
                <w:szCs w:val="15"/>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9"/>
        </w:trPr>
        <w:tc>
          <w:tcPr>
            <w:tcW w:w="6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SunTrust Credit Facility</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301,636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80,520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79,393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50,340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136,864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55,226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240,900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BNP Credit Facility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2019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2024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24.87</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2025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24.68</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25.13</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24.51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24.79</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SBA Debentures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ind w:left="540" w:right="460" w:hanging="424"/>
        <w:spacing w:after="0" w:line="28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Arial" w:cs="Arial" w:eastAsia="Arial" w:hAnsi="Arial"/>
          <w:sz w:val="16"/>
          <w:szCs w:val="16"/>
          <w:color w:val="auto"/>
        </w:rPr>
      </w:pPr>
    </w:p>
    <w:p>
      <w:pPr>
        <w:ind w:left="540" w:right="20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 and no amounts were outstanding as of September 30, 2019.</w:t>
      </w: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Fiscal 2010 includes SBIC LP’s SBA debentures in the total amount outstanding and our asset coverage per unit computation.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2017. On January 28, 2020, the last reported closing price of our common stock was $6.58 per share.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w w:val="98"/>
              </w:rPr>
              <w:t>Closing Sales Price</w:t>
            </w:r>
          </w:p>
        </w:tc>
        <w:tc>
          <w:tcPr>
            <w:tcW w:w="420" w:type="dxa"/>
            <w:vAlign w:val="bottom"/>
            <w:vMerge w:val="restart"/>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of High Sales</w:t>
            </w: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88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5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900" w:type="dxa"/>
            <w:vAlign w:val="bottom"/>
            <w:vMerge w:val="restart"/>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8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89"/>
        </w:trPr>
        <w:tc>
          <w:tcPr>
            <w:tcW w:w="3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2020</w:t>
            </w: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Second quarter (As of January 28, 2020)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N/A</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$ 6.68</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  6.54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left="474"/>
              <w:spacing w:after="0"/>
              <w:rPr>
                <w:sz w:val="20"/>
                <w:szCs w:val="20"/>
                <w:color w:val="auto"/>
              </w:rPr>
            </w:pPr>
            <w:r>
              <w:rPr>
                <w:rFonts w:ascii="Arial" w:cs="Arial" w:eastAsia="Arial" w:hAnsi="Arial"/>
                <w:sz w:val="18"/>
                <w:szCs w:val="18"/>
                <w:color w:val="auto"/>
                <w:w w:val="99"/>
              </w:rPr>
              <w:t>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18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18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2019</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(23)</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8.74</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6.23</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(18)</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6.61</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(17)</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9.05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6.30</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(16)</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(30)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2018</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9.11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7.04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(23)</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9.09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6.41</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(20)</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6.91</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(14)</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540" w:right="160" w:hanging="424"/>
        <w:spacing w:after="0" w:line="25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jc w:val="both"/>
        <w:ind w:left="120" w:right="80" w:firstLine="440"/>
        <w:spacing w:after="0" w:line="296"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$6.27 and $7.46 as of September 30, 2019 and 2018, respectively. Our NAV per share was $8.68 and $9.11 as of September 30, 2019 and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9 stockholders of record.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80" w:type="dxa"/>
            <w:vAlign w:val="bottom"/>
          </w:tcPr>
          <w:p>
            <w:pPr>
              <w:spacing w:after="0"/>
              <w:rPr>
                <w:sz w:val="12"/>
                <w:szCs w:val="12"/>
                <w:color w:val="auto"/>
              </w:rPr>
            </w:pPr>
          </w:p>
        </w:tc>
        <w:tc>
          <w:tcPr>
            <w:tcW w:w="15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4"/>
              </w:rPr>
              <w:t>at 10% Discount</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20"/>
              <w:spacing w:after="0"/>
              <w:rPr>
                <w:sz w:val="20"/>
                <w:szCs w:val="20"/>
                <w:color w:val="auto"/>
              </w:rPr>
            </w:pPr>
            <w:r>
              <w:rPr>
                <w:rFonts w:ascii="Arial" w:cs="Arial" w:eastAsia="Arial" w:hAnsi="Arial"/>
                <w:sz w:val="16"/>
                <w:szCs w:val="16"/>
                <w:color w:val="auto"/>
              </w:rPr>
              <w:t>Total NAV held by stockholder A</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3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99,100</w:t>
            </w:r>
          </w:p>
        </w:tc>
        <w:tc>
          <w:tcPr>
            <w:tcW w:w="3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95,000</w:t>
            </w:r>
          </w:p>
        </w:tc>
        <w:tc>
          <w:tcPr>
            <w:tcW w:w="3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Total investment by stockholder A (assumed to be $10.00 per</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Total dilution to stockholder A (total NAV less total</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per share held by stockholder A (assumed to be</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 less</w:t>
            </w:r>
          </w:p>
        </w:tc>
        <w:tc>
          <w:tcPr>
            <w:tcW w:w="180" w:type="dxa"/>
            <w:vAlign w:val="bottom"/>
          </w:tcPr>
          <w:p>
            <w:pPr>
              <w:spacing w:after="0"/>
              <w:rPr>
                <w:sz w:val="16"/>
                <w:szCs w:val="16"/>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(0.02)</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(0.09)</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Percentage dilution to stockholder A (dilution per share divided</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(0.90)%</w:t>
            </w: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1,250,000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NAV per share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11,250</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12.50 %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4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106,875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6.88 %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562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 held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160"/>
              <w:spacing w:after="0"/>
              <w:rPr>
                <w:sz w:val="20"/>
                <w:szCs w:val="20"/>
                <w:color w:val="auto"/>
              </w:rPr>
            </w:pPr>
            <w:r>
              <w:rPr>
                <w:rFonts w:ascii="Arial" w:cs="Arial" w:eastAsia="Arial" w:hAnsi="Arial"/>
                <w:sz w:val="16"/>
                <w:szCs w:val="16"/>
                <w:color w:val="auto"/>
              </w:rPr>
              <w:t>prior to sale)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109,863</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9.86 %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(2,988)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20" w:type="dxa"/>
            <w:vAlign w:val="bottom"/>
          </w:tcPr>
          <w:p>
            <w:pPr>
              <w:ind w:left="320"/>
              <w:spacing w:after="0"/>
              <w:rPr>
                <w:sz w:val="20"/>
                <w:szCs w:val="20"/>
                <w:color w:val="auto"/>
              </w:rPr>
            </w:pPr>
            <w:r>
              <w:rPr>
                <w:rFonts w:ascii="Arial" w:cs="Arial" w:eastAsia="Arial" w:hAnsi="Arial"/>
                <w:sz w:val="16"/>
                <w:szCs w:val="16"/>
                <w:color w:val="auto"/>
                <w:w w:val="92"/>
              </w:rPr>
              <w:t>Investment per share held by stockholder A (assumed to be $10.00 per share 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480"/>
              <w:spacing w:after="0"/>
              <w:rPr>
                <w:sz w:val="20"/>
                <w:szCs w:val="20"/>
                <w:color w:val="auto"/>
              </w:rPr>
            </w:pPr>
            <w:r>
              <w:rPr>
                <w:rFonts w:ascii="Arial" w:cs="Arial" w:eastAsia="Arial" w:hAnsi="Arial"/>
                <w:sz w:val="16"/>
                <w:szCs w:val="16"/>
                <w:color w:val="auto"/>
              </w:rPr>
              <w:t>shares held prior to sale)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9.77</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(2.30)%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(0.27)</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20" w:type="dxa"/>
            <w:vAlign w:val="bottom"/>
          </w:tcPr>
          <w:p>
            <w:pPr>
              <w:ind w:left="320"/>
              <w:spacing w:after="0"/>
              <w:rPr>
                <w:sz w:val="20"/>
                <w:szCs w:val="20"/>
                <w:color w:val="auto"/>
              </w:rPr>
            </w:pPr>
            <w:r>
              <w:rPr>
                <w:rFonts w:ascii="Arial" w:cs="Arial" w:eastAsia="Arial" w:hAnsi="Arial"/>
                <w:sz w:val="16"/>
                <w:szCs w:val="16"/>
                <w:color w:val="auto"/>
                <w:w w:val="97"/>
              </w:rPr>
              <w:t>Percentage (dilution)/accretion to stockholder A (dilution)/accretion per share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80"/>
              <w:spacing w:after="0"/>
              <w:rPr>
                <w:sz w:val="20"/>
                <w:szCs w:val="20"/>
                <w:color w:val="auto"/>
              </w:rPr>
            </w:pPr>
            <w:r>
              <w:rPr>
                <w:rFonts w:ascii="Arial" w:cs="Arial" w:eastAsia="Arial" w:hAnsi="Arial"/>
                <w:sz w:val="16"/>
                <w:szCs w:val="16"/>
                <w:color w:val="auto"/>
              </w:rPr>
              <w:t>divided by investment per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NAV per share</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440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0.44</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2018 from ordinary income (including short-term gains, if any), totaled $48.4 million and $50.6 million, or $0.72 and $0.72 per share, respectively, based on weighted average shares outstanding for the respective periods.</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2019 Consolidated Financial Statements included in our most recent Annual Report on Form 10-K.</w:t>
      </w:r>
    </w:p>
    <w:p>
      <w:pPr>
        <w:spacing w:after="0" w:line="18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our Credit Facilities. Unless otherwise noted, we held no voting board membership on any of our portfolio companies.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0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2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8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00" w:type="dxa"/>
            <w:vAlign w:val="bottom"/>
            <w:gridSpan w:val="2"/>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9"/>
              </w:rPr>
              <w:t>Consumer</w:t>
            </w:r>
          </w:p>
        </w:tc>
        <w:tc>
          <w:tcPr>
            <w:tcW w:w="32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7"/>
              </w:rPr>
              <w:t>Warrants</w:t>
            </w:r>
          </w:p>
        </w:tc>
        <w:tc>
          <w:tcPr>
            <w:tcW w:w="1260" w:type="dxa"/>
            <w:vAlign w:val="bottom"/>
            <w:gridSpan w:val="2"/>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Products</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9"/>
              </w:rPr>
              <w:t>Business Services</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AH Holdings, Inc.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Education</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Preferred Equity</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and Childcare</w:t>
            </w: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Warrants</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Houston, TX 77036</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7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L+600, 07/24/2025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American Insulated Glass, LLC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Building Materials</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31,247</w:t>
            </w:r>
          </w:p>
        </w:tc>
        <w:tc>
          <w:tcPr>
            <w:tcW w:w="0" w:type="dxa"/>
            <w:vAlign w:val="bottom"/>
          </w:tcPr>
          <w:p>
            <w:pPr>
              <w:spacing w:after="0"/>
              <w:rPr>
                <w:sz w:val="1"/>
                <w:szCs w:val="1"/>
                <w:color w:val="auto"/>
              </w:rPr>
            </w:pPr>
          </w:p>
        </w:tc>
      </w:tr>
      <w:tr>
        <w:trPr>
          <w:trHeight w:val="149"/>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L+550, 12/21/2023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3965 E. Conley Road</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Conley, GA 30288</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ASP LCG Holdings, Inc.</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Education</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7"/>
              </w:rPr>
              <w:t>Warrants</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Novi, MI 48375</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Autumn Games, LLC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Broadcasting and</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54 Thompson Street</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Entertainment</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New York, NY 10012</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Bazaarvoice, Inc.</w:t>
            </w:r>
          </w:p>
        </w:tc>
        <w:tc>
          <w:tcPr>
            <w:tcW w:w="17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Printing and Publishing</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14,628</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10901 South Stonelake Blvd.</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L+575, 02/01/2024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78759</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320" w:type="dxa"/>
            <w:vAlign w:val="bottom"/>
            <w:gridSpan w:val="2"/>
            <w:vMerge w:val="continue"/>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Bottom Line Systems, LLC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 and</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21,718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1M L+600, 02/13/2023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Broder Bros., Co.</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Consumer</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27,219</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3M L+850, 12/02/2022</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Trevose, PA 19053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Blackhawk Industrial Distribution,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Subordinated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16,052</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12.0% fixed (PIK 2.0%), 03/17/2025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 and</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36,185</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L+625, 12/23/2021</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Subordinated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2.8%</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47,884</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15.0% fixed (PIK 15.0%), 08/20/2021</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Woodinville, WA 98072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Buildings and Real Estate</w:t>
            </w: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33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10,860</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Confie Seguros Holding Co.</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Insurance</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13,594</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3M L+850, 10/31/2025</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Huntington Beach, CA 92647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Beverage, Food</w:t>
            </w:r>
          </w:p>
        </w:tc>
        <w:tc>
          <w:tcPr>
            <w:tcW w:w="33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26,279</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and Tobacco</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L+825, 03/31/2025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DermaRite Industries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Manufacturing / Basic</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9,256</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7777 West Side Avenue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Industries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L+700, 03/03/2022</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North Bergen, NJ 07047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Consumer</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L+550, 10/31/2023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11612 Bee Caves Road, Building II,</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Austin, TX, 78738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0.2%</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Halo Buyer,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Consumer</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32,013</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1980 Industrial Drive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L+825, 07/06/2026</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Sterling, IL 61081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Media</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17,969</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L+625, 12/10/2024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280" w:type="dxa"/>
            <w:vAlign w:val="bottom"/>
            <w:gridSpan w:val="2"/>
            <w:vMerge w:val="continue"/>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4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Impact Group, LLC</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Personal, Food</w:t>
            </w:r>
          </w:p>
        </w:tc>
        <w:tc>
          <w:tcPr>
            <w:tcW w:w="200" w:type="dxa"/>
            <w:vAlign w:val="bottom"/>
            <w:tcBorders>
              <w:top w:val="single" w:sz="8" w:color="CCEEFF"/>
            </w:tcBorders>
            <w:shd w:val="clear" w:color="auto" w:fill="CCEEFF"/>
          </w:tcPr>
          <w:p>
            <w:pPr>
              <w:spacing w:after="0"/>
              <w:rPr>
                <w:sz w:val="9"/>
                <w:szCs w:val="9"/>
                <w:color w:val="auto"/>
              </w:rPr>
            </w:pPr>
          </w:p>
        </w:tc>
        <w:tc>
          <w:tcPr>
            <w:tcW w:w="30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19,901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Miscelleneous Services</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L+650, 06/27/2023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Infogroup,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Other Media</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22,213</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L+925, 04/03/2024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1020 E 1st Street</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Papillion, NE 68046</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Personal, Food</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16,470</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Miscelleneous Services</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L+850, 12/22/2021</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Kadmon Holdings,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450 East 29 Street, 5 Floor</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York, NY 10016</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Chemicals,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27,259</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Plastics and Rubber</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L+475, 12/20/2023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Kentucky Downs, LLC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Hotels, Motels,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10,332</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(Kentucky Racing Holdco, LLC</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Inns and Gaming</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03/07/2025</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5629 Nashville Road</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Franklin, KY 42134</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w:t>
            </w:r>
            <w:r>
              <w:rPr>
                <w:rFonts w:ascii="Arial" w:cs="Arial" w:eastAsia="Arial" w:hAnsi="Arial"/>
                <w:sz w:val="12"/>
                <w:szCs w:val="12"/>
                <w:color w:val="auto"/>
              </w:rPr>
              <w:t>(5)</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Environmental Services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Lombart Brothers,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17,539</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L+625, 04/13/2023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Printing and Publishing</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35,724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MBS Holdings,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Telecommunications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19,624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01/02/2024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Birmingham, AL 35213</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MeritDirect,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Media</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0.6%</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19,828</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05/23/2024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Ox Two, LLC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Building Materials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24,073</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22260 Haggerty Road #365</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02/27/2023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Northville, MI 48167</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Peninsula Pacific Entertainment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Hotels, Motels,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8,495</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Inns and Gaming</w:t>
            </w:r>
          </w:p>
        </w:tc>
        <w:tc>
          <w:tcPr>
            <w:tcW w:w="32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3M L+725, 11/13/2024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Kent, VA 23124</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Beverage, Food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141 Hamilton Road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and Tobacco</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L+525, 06/01/2023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Hamburg, Ontario, Canada N3A 2H1</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PlayPower, Inc.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Consumer Products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05/08/2026</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Huntersville, NC 28078</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Nature of Business</w:t>
            </w:r>
          </w:p>
        </w:tc>
        <w:tc>
          <w:tcPr>
            <w:tcW w:w="3300" w:type="dxa"/>
            <w:vAlign w:val="bottom"/>
            <w:gridSpan w:val="2"/>
            <w:vMerge w:val="continue"/>
          </w:tcPr>
          <w:p>
            <w:pPr>
              <w:spacing w:after="0"/>
              <w:rPr>
                <w:sz w:val="12"/>
                <w:szCs w:val="12"/>
                <w:color w:val="auto"/>
              </w:rPr>
            </w:pPr>
          </w:p>
        </w:tc>
        <w:tc>
          <w:tcPr>
            <w:tcW w:w="1220" w:type="dxa"/>
            <w:vAlign w:val="bottom"/>
            <w:gridSpan w:val="2"/>
          </w:tcPr>
          <w:p>
            <w:pPr>
              <w:jc w:val="center"/>
              <w:ind w:right="338"/>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2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PRA Events,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2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1.5</w:t>
            </w:r>
          </w:p>
        </w:tc>
        <w:tc>
          <w:tcPr>
            <w:tcW w:w="400" w:type="dxa"/>
            <w:vAlign w:val="bottom"/>
            <w:tcBorders>
              <w:top w:val="single" w:sz="8" w:color="CCEEFF"/>
            </w:tcBorders>
            <w:shd w:val="clear" w:color="auto" w:fill="CCEEFF"/>
          </w:tcPr>
          <w:p>
            <w:pPr>
              <w:jc w:val="right"/>
              <w:ind w:right="21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20,640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L+700, 08/08/2022</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Provation Medical,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Electronics</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26,422</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L+700, 03/11/2024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Minneapolis, MN 55401</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14,775</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1M L+525, 09/04/2024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22,016</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L+500, 09/09/2024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Radius Aerospace,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8,882</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153 Extrusion Place</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L+575, 03/31/2025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 Springs, AR 71901</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Research Horizons,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30,416</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1140 Broadway, Suite 1002</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1M L+625, 06/28/2022</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York, NY 10001</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Research Now Group, Inc. and Survey Sampling International</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9,940</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L+550, 12/20/2024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L+500, 06/20/2025</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Schlesinger Global,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L+500, 07/14/2025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Iselin, NJ 08830</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Shift4 Payments,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Financial Services</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Second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1491 Center Crossing Road</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L+850, 11/28/2025</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Las Vegas, NV 89144</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Chemicals, Plastics and</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16,354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Rubber</w:t>
            </w: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P+650, 05/03/2024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Communications</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L+575, 01/17/2024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7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Electronics</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Common Equity</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Avenue, Suite 200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Triad Manufacturing,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Manufacturing / Basic</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21,374</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4321 Semple Avenue</w:t>
            </w: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Industries</w:t>
            </w: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L+1,325, 12/28/2020</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St. Louis, MO 63120</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TVC Enterprises, LLC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Transportation</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34,757</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1M L+550, 01/18/2024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80" w:type="dxa"/>
            <w:vAlign w:val="bottom"/>
            <w:gridSpan w:val="2"/>
            <w:vMerge w:val="continue"/>
          </w:tcPr>
          <w:p>
            <w:pPr>
              <w:spacing w:after="0"/>
              <w:rPr>
                <w:sz w:val="12"/>
                <w:szCs w:val="12"/>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24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TWS Acquisition Corporation</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Education</w:t>
            </w:r>
          </w:p>
        </w:tc>
        <w:tc>
          <w:tcPr>
            <w:tcW w:w="1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9,146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Aerospace and Defense</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6,097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Street, Suite 200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Printing and Publishing</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US Med Acquisition, Inc.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L+900, 08/13/2021</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Doral, FL 33122</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6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Oil and Gas</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(8)</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Media</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VT Topco, Inc.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12,318</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(Green Veracity Holdings, LP)</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L+700, 08/24/2026</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 West Mount Pleasant Avenue,</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Suite 3200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Livingston, NJ 07039</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Walker Edison Furniture Company LLC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Home and Office</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27,205</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(JWC-WE Holdings, L.P.)</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Furnishings</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L+650, 09/26/2024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Salt Lake City, UT 84120</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Whitney, Bradley &amp; Brown, Inc.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Aerospace and Defense</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12,399</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L+750, 10/18/2022</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11790 Sunrise Valley Drive</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Reston, VA 20191</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Winter Park Intermediate, Inc.</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Auto Sector</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49,955</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(Wheel Pros Holdings, L.P.)</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04/06/2026</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Lakewood, CO 80228</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gridSpan w:val="2"/>
          </w:tcPr>
          <w:p>
            <w:pPr>
              <w:spacing w:after="0" w:line="130" w:lineRule="exact"/>
              <w:rPr>
                <w:sz w:val="20"/>
                <w:szCs w:val="20"/>
                <w:color w:val="auto"/>
              </w:rPr>
            </w:pPr>
            <w:r>
              <w:rPr>
                <w:rFonts w:ascii="Arial" w:cs="Arial" w:eastAsia="Arial" w:hAnsi="Arial"/>
                <w:sz w:val="14"/>
                <w:szCs w:val="14"/>
                <w:color w:val="auto"/>
              </w:rPr>
              <w:t>ETX Energy, LLC</w:t>
            </w:r>
            <w:r>
              <w:rPr>
                <w:rFonts w:ascii="Arial" w:cs="Arial" w:eastAsia="Arial" w:hAnsi="Arial"/>
                <w:sz w:val="12"/>
                <w:szCs w:val="12"/>
                <w:color w:val="auto"/>
              </w:rPr>
              <w:t>(5)</w:t>
            </w:r>
          </w:p>
        </w:tc>
        <w:tc>
          <w:tcPr>
            <w:tcW w:w="16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Oil and Gas</w:t>
            </w:r>
          </w:p>
        </w:tc>
        <w:tc>
          <w:tcPr>
            <w:tcW w:w="32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15.3%</w:t>
            </w:r>
            <w:r>
              <w:rPr>
                <w:rFonts w:ascii="Arial" w:cs="Arial" w:eastAsia="Arial" w:hAnsi="Arial"/>
                <w:sz w:val="12"/>
                <w:szCs w:val="12"/>
                <w:color w:val="auto"/>
              </w:rPr>
              <w:t>(3)</w:t>
            </w:r>
          </w:p>
        </w:tc>
        <w:tc>
          <w:tcPr>
            <w:tcW w:w="9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22,717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(ETX Energy Management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Company, LLC)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10441 S. Regal Blvd. Ste. 210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Tulsa, OK 74133</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gridSpan w:val="2"/>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32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9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37,059</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L+575, 03/13/2024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Braddan, Isle of Man IM4 4LH</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16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2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35.8%</w:t>
            </w:r>
            <w:r>
              <w:rPr>
                <w:rFonts w:ascii="Arial" w:cs="Arial" w:eastAsia="Arial" w:hAnsi="Arial"/>
                <w:sz w:val="12"/>
                <w:szCs w:val="12"/>
                <w:color w:val="auto"/>
              </w:rPr>
              <w:t>(3)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26,632</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27605</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1"/>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21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240" w:type="dxa"/>
            <w:vAlign w:val="bottom"/>
            <w:gridSpan w:val="2"/>
            <w:vMerge w:val="continue"/>
          </w:tcPr>
          <w:p>
            <w:pPr>
              <w:spacing w:after="0"/>
              <w:rPr>
                <w:sz w:val="12"/>
                <w:szCs w:val="12"/>
                <w:color w:val="auto"/>
              </w:rPr>
            </w:pPr>
          </w:p>
        </w:tc>
        <w:tc>
          <w:tcPr>
            <w:tcW w:w="1320" w:type="dxa"/>
            <w:vAlign w:val="bottom"/>
            <w:gridSpan w:val="2"/>
          </w:tcPr>
          <w:p>
            <w:pPr>
              <w:jc w:val="center"/>
              <w:ind w:right="458"/>
              <w:spacing w:after="0" w:line="145" w:lineRule="exact"/>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center"/>
              <w:ind w:right="4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21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PT Network Intermediate Holdings,</w:t>
            </w:r>
          </w:p>
        </w:tc>
        <w:tc>
          <w:tcPr>
            <w:tcW w:w="1740" w:type="dxa"/>
            <w:vAlign w:val="bottom"/>
            <w:tcBorders>
              <w:top w:val="single" w:sz="8" w:color="CCEEFF"/>
            </w:tcBorders>
            <w:shd w:val="clear" w:color="auto" w:fill="CCEEFF"/>
          </w:tcPr>
          <w:p>
            <w:pPr>
              <w:ind w:left="120"/>
              <w:spacing w:after="0" w:line="109" w:lineRule="exact"/>
              <w:rPr>
                <w:sz w:val="20"/>
                <w:szCs w:val="20"/>
                <w:color w:val="auto"/>
              </w:rPr>
            </w:pPr>
            <w:r>
              <w:rPr>
                <w:rFonts w:ascii="Arial" w:cs="Arial" w:eastAsia="Arial" w:hAnsi="Arial"/>
                <w:sz w:val="12"/>
                <w:szCs w:val="12"/>
                <w:color w:val="auto"/>
              </w:rPr>
              <w:t>LLC</w:t>
            </w:r>
            <w:r>
              <w:rPr>
                <w:rFonts w:ascii="Arial" w:cs="Arial" w:eastAsia="Arial" w:hAnsi="Arial"/>
                <w:sz w:val="10"/>
                <w:szCs w:val="10"/>
                <w:color w:val="auto"/>
              </w:rPr>
              <w:t>(5)</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w:t>
            </w:r>
          </w:p>
        </w:tc>
        <w:tc>
          <w:tcPr>
            <w:tcW w:w="20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62.1</w:t>
            </w:r>
          </w:p>
        </w:tc>
        <w:tc>
          <w:tcPr>
            <w:tcW w:w="50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rPr>
              <w:t>%</w:t>
            </w:r>
            <w:r>
              <w:rPr>
                <w:rFonts w:ascii="Arial" w:cs="Arial" w:eastAsia="Arial" w:hAnsi="Arial"/>
                <w:sz w:val="10"/>
                <w:szCs w:val="10"/>
                <w:color w:val="auto"/>
              </w:rPr>
              <w:t>(3)</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72,434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LLC</w:t>
            </w:r>
            <w:r>
              <w:rPr>
                <w:rFonts w:ascii="Arial" w:cs="Arial" w:eastAsia="Arial" w:hAnsi="Arial"/>
                <w:sz w:val="12"/>
                <w:szCs w:val="12"/>
                <w:color w:val="auto"/>
              </w:rPr>
              <w:t>(5)</w:t>
            </w:r>
            <w:r>
              <w:rPr>
                <w:rFonts w:ascii="Arial" w:cs="Arial" w:eastAsia="Arial" w:hAnsi="Arial"/>
                <w:sz w:val="14"/>
                <w:szCs w:val="14"/>
                <w:color w:val="auto"/>
              </w:rPr>
              <w:t>)</w:t>
            </w:r>
          </w:p>
        </w:tc>
        <w:tc>
          <w:tcPr>
            <w:tcW w:w="16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L+1,000 PIK, 11/30/2024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501 Fairmount Avenue</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Towson, MD 21286</w:t>
            </w:r>
          </w:p>
        </w:tc>
        <w:tc>
          <w:tcPr>
            <w:tcW w:w="17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RAM Energy LLC</w:t>
            </w:r>
          </w:p>
        </w:tc>
        <w:tc>
          <w:tcPr>
            <w:tcW w:w="174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Energy and Utilities</w:t>
            </w:r>
          </w:p>
        </w:tc>
        <w:tc>
          <w:tcPr>
            <w:tcW w:w="32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178"/>
              <w:spacing w:after="0"/>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123,958</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(RAM Energy Holdings LLC)</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8.0% fixed, 07/01/2022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w w:val="96"/>
              </w:rPr>
              <w:t>2100 South Utica Avenue, Ste. 165</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gridSpan w:val="2"/>
          </w:tcPr>
          <w:p>
            <w:pPr>
              <w:spacing w:after="0"/>
              <w:rPr>
                <w:sz w:val="20"/>
                <w:szCs w:val="20"/>
                <w:color w:val="auto"/>
              </w:rPr>
            </w:pPr>
            <w:r>
              <w:rPr>
                <w:rFonts w:ascii="Arial" w:cs="Arial" w:eastAsia="Arial" w:hAnsi="Arial"/>
                <w:sz w:val="14"/>
                <w:szCs w:val="14"/>
                <w:color w:val="auto"/>
              </w:rPr>
              <w:t>Tulsa, OK 74114</w:t>
            </w:r>
          </w:p>
        </w:tc>
        <w:tc>
          <w:tcPr>
            <w:tcW w:w="1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1,219,433</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25"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540" w:right="6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540" w:right="36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54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ind w:left="540" w:hanging="424"/>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Portfolio company partially subject to temporary contractual restriction on sales as of September 30, 2019.</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September 30, 2019:</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PT Network Intermediate Holdings, LLC (CI (PTN) Investment Holdings II, LLC) is a provider of physical therapy, corporate wellness and occupational health services.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RAM Energy LLC (RAM Energy Holdings LLC) (Energy and Utilities)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RAM Energy LLC (RAM Energy Holdings LLC) is an exploration and production company focused on operations in the East Texas.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 2019</w:t>
            </w:r>
          </w:p>
        </w:tc>
        <w:tc>
          <w:tcPr>
            <w:tcW w:w="1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6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Energy and Utilities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vMerge w:val="restart"/>
          </w:tcPr>
          <w:p>
            <w:pPr>
              <w:jc w:val="right"/>
              <w:ind w:right="611"/>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59" w:right="11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0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420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00" w:type="dxa"/>
            <w:vAlign w:val="bottom"/>
          </w:tcPr>
          <w:p>
            <w:pPr>
              <w:spacing w:after="0"/>
              <w:rPr>
                <w:sz w:val="15"/>
                <w:szCs w:val="15"/>
                <w:color w:val="auto"/>
              </w:rPr>
            </w:pP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 senior</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company</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Joint Venture</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Direct Lending</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Funds</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28,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88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8"/>
        </w:trPr>
        <w:tc>
          <w:tcPr>
            <w:tcW w:w="88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r>
      <w:tr>
        <w:trPr>
          <w:trHeight w:val="185"/>
        </w:trPr>
        <w:tc>
          <w:tcPr>
            <w:tcW w:w="882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Corporation</w:t>
            </w:r>
            <w:r>
              <w:rPr>
                <w:rFonts w:ascii="Arial" w:cs="Arial" w:eastAsia="Arial" w:hAnsi="Arial"/>
                <w:sz w:val="12"/>
                <w:szCs w:val="12"/>
                <w:b w:val="1"/>
                <w:bCs w:val="1"/>
                <w:color w:val="auto"/>
                <w:w w:val="94"/>
              </w:rPr>
              <w:t>(1)</w:t>
            </w:r>
          </w:p>
        </w:tc>
      </w:tr>
      <w:tr>
        <w:trPr>
          <w:trHeight w:val="196"/>
        </w:trPr>
        <w:tc>
          <w:tcPr>
            <w:tcW w:w="8820" w:type="dxa"/>
            <w:vAlign w:val="bottom"/>
            <w:shd w:val="clear" w:color="auto" w:fill="CCEEFF"/>
          </w:tcPr>
          <w:p>
            <w:pPr>
              <w:spacing w:after="0" w:line="195"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r>
      <w:tr>
        <w:trPr>
          <w:trHeight w:val="203"/>
        </w:trPr>
        <w:tc>
          <w:tcPr>
            <w:tcW w:w="8820" w:type="dxa"/>
            <w:vAlign w:val="bottom"/>
          </w:tcPr>
          <w:p>
            <w:pPr>
              <w:spacing w:after="0"/>
              <w:rPr>
                <w:sz w:val="20"/>
                <w:szCs w:val="20"/>
                <w:color w:val="auto"/>
              </w:rPr>
            </w:pPr>
            <w:r>
              <w:rPr>
                <w:rFonts w:ascii="Arial" w:cs="Arial" w:eastAsia="Arial" w:hAnsi="Arial"/>
                <w:sz w:val="16"/>
                <w:szCs w:val="16"/>
                <w:color w:val="auto"/>
              </w:rPr>
              <w:t>Jose A. Briones</w:t>
            </w:r>
          </w:p>
        </w:tc>
        <w:tc>
          <w:tcPr>
            <w:tcW w:w="2200" w:type="dxa"/>
            <w:vAlign w:val="bottom"/>
          </w:tcPr>
          <w:p>
            <w:pPr>
              <w:jc w:val="right"/>
              <w:spacing w:after="0"/>
              <w:rPr>
                <w:sz w:val="20"/>
                <w:szCs w:val="20"/>
                <w:color w:val="auto"/>
              </w:rPr>
            </w:pPr>
            <w:r>
              <w:rPr>
                <w:rFonts w:ascii="Arial" w:cs="Arial" w:eastAsia="Arial" w:hAnsi="Arial"/>
                <w:sz w:val="16"/>
                <w:szCs w:val="16"/>
                <w:color w:val="auto"/>
              </w:rPr>
              <w:t>$500,001 - $1,000,000</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r>
      <w:tr>
        <w:trPr>
          <w:trHeight w:val="206"/>
        </w:trPr>
        <w:tc>
          <w:tcPr>
            <w:tcW w:w="882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2200" w:type="dxa"/>
            <w:vAlign w:val="bottom"/>
          </w:tcPr>
          <w:p>
            <w:pPr>
              <w:jc w:val="right"/>
              <w:spacing w:after="0"/>
              <w:rPr>
                <w:sz w:val="20"/>
                <w:szCs w:val="20"/>
                <w:color w:val="auto"/>
              </w:rPr>
            </w:pPr>
            <w:r>
              <w:rPr>
                <w:rFonts w:ascii="Arial" w:cs="Arial" w:eastAsia="Arial" w:hAnsi="Arial"/>
                <w:sz w:val="16"/>
                <w:szCs w:val="16"/>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80" w:hanging="424"/>
        <w:spacing w:after="0" w:line="291"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120" w:right="460" w:firstLine="440"/>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January 28, 2020 was $6.58 per share. As of December 31, 2019, we had 9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3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5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In September 2019, we issued $75.0 million in aggregate principal amount of 2024 Notes, for net proceeds of $72.3 million after deducting underwriting discounts and offering costs. Interest on the 2024 Notes is paid quarterly on January 15, April 15, July 15 and October 15, at a rate of</w:t>
      </w:r>
    </w:p>
    <w:p>
      <w:pPr>
        <w:ind w:left="120" w:right="60"/>
        <w:spacing w:after="0" w:line="253" w:lineRule="auto"/>
        <w:rPr>
          <w:sz w:val="20"/>
          <w:szCs w:val="20"/>
          <w:color w:val="auto"/>
        </w:rPr>
      </w:pPr>
      <w:r>
        <w:rPr>
          <w:rFonts w:ascii="Arial" w:cs="Arial" w:eastAsia="Arial" w:hAnsi="Arial"/>
          <w:sz w:val="18"/>
          <w:szCs w:val="18"/>
          <w:color w:val="auto"/>
        </w:rPr>
        <w:t>5.50% per year, commencing January 15, 2020. The 2024 Notes mature on October 15, 2024. The 2024 Notes are direct unsecured obligations and rank pari passu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October 2019,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September 2014, we issued $250.0 million in aggregate principal amount of 2019 Notes. Interest on the 2019 Notes accrued at a rate of 4.50% per year and was paid semi-annually. The 2019 Notes were prepaid at 100% of the principal amount, plus accrued and unpaid interest through the payment date of March 4, 2019, as well as a make-whole premium. As of September 30, 2019 and 2018, we had zero and $250.0 million in aggregate principal amount of 2019 Notes outstanding, respectively.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SunTrust Credit Facility.</w:t>
      </w:r>
    </w:p>
    <w:p>
      <w:pPr>
        <w:spacing w:after="0" w:line="16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or exchange of other offered securities, or underlying debt securities may be issued under the indenture in one or more series.</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6"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320" w:top="459" w:right="5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2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40" w:right="4660" w:hanging="4884"/>
        <w:spacing w:after="0" w:line="490" w:lineRule="auto"/>
        <w:tabs>
          <w:tab w:leader="none" w:pos="1094"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52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080" w:right="42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120" w:right="20" w:hanging="4"/>
        <w:spacing w:after="0" w:line="252"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540" w:right="200" w:hanging="439"/>
        <w:spacing w:after="0" w:line="263"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jc w:val="both"/>
        <w:ind w:left="1540" w:hanging="439"/>
        <w:spacing w:after="0" w:line="286" w:lineRule="auto"/>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serves as trustee for our 2024 Notes.</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w:t>
      </w:r>
      <w:r>
        <w:rPr>
          <w:rFonts w:ascii="Arial" w:cs="Arial" w:eastAsia="Arial" w:hAnsi="Arial"/>
          <w:sz w:val="14"/>
          <w:szCs w:val="14"/>
          <w:color w:val="auto"/>
        </w:rPr>
        <w:t>nd</w:t>
      </w:r>
      <w:r>
        <w:rPr>
          <w:rFonts w:ascii="Arial" w:cs="Arial" w:eastAsia="Arial" w:hAnsi="Arial"/>
          <w:sz w:val="17"/>
          <w:szCs w:val="17"/>
          <w:color w:val="auto"/>
        </w:rPr>
        <w:t xml:space="preserve">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consolidated financial statements of RAM Energy Holdings LLC and subsidiaries as of and for the year ended September 30, 2019 incorporated by reference in this Prospectus have been so incorporated in reliance on the report of BDO USA, LLP, an independent auditor, incorporated herein by reference, given on the authority of said firm as experts in auditing and accounting.</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5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21, 2019, including the information specifically incorporated by reference to the Form 10-K from out Definitive Proxy Statement on </w:t>
      </w:r>
      <w:hyperlink r:id="rId15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16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001-33418), as filed with the SEC on April 19, 2007,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1034415</wp:posOffset>
            </wp:positionV>
            <wp:extent cx="1765935" cy="4286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60"/>
        <w:spacing w:after="0"/>
        <w:rPr>
          <w:sz w:val="20"/>
          <w:szCs w:val="20"/>
          <w:color w:val="auto"/>
        </w:rPr>
      </w:pPr>
      <w:r>
        <w:rPr>
          <w:rFonts w:ascii="Arial" w:cs="Arial" w:eastAsia="Arial" w:hAnsi="Arial"/>
          <w:sz w:val="29"/>
          <w:szCs w:val="2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791845</wp:posOffset>
            </wp:positionV>
            <wp:extent cx="1474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311150</wp:posOffset>
            </wp:positionV>
            <wp:extent cx="1474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110" w:lineRule="exact"/>
        <w:rPr>
          <w:sz w:val="20"/>
          <w:szCs w:val="20"/>
          <w:color w:val="auto"/>
        </w:rPr>
      </w:pPr>
    </w:p>
    <w:p>
      <w:pPr>
        <w:ind w:left="860"/>
        <w:spacing w:after="0"/>
        <w:tabs>
          <w:tab w:leader="none" w:pos="3820" w:val="left"/>
          <w:tab w:leader="none" w:pos="7500" w:val="left"/>
          <w:tab w:leader="none" w:pos="9880" w:val="left"/>
        </w:tabs>
        <w:rPr>
          <w:sz w:val="20"/>
          <w:szCs w:val="20"/>
          <w:color w:val="auto"/>
        </w:rPr>
      </w:pPr>
      <w:r>
        <w:rPr>
          <w:rFonts w:ascii="Arial" w:cs="Arial" w:eastAsia="Arial" w:hAnsi="Arial"/>
          <w:sz w:val="20"/>
          <w:szCs w:val="20"/>
          <w:b w:val="1"/>
          <w:bCs w:val="1"/>
          <w:color w:val="auto"/>
        </w:rPr>
        <w:t>Raymond James</w:t>
      </w:r>
      <w:r>
        <w:rPr>
          <w:sz w:val="20"/>
          <w:szCs w:val="20"/>
          <w:color w:val="auto"/>
        </w:rPr>
        <w:tab/>
      </w:r>
      <w:r>
        <w:rPr>
          <w:rFonts w:ascii="Arial" w:cs="Arial" w:eastAsia="Arial" w:hAnsi="Arial"/>
          <w:sz w:val="20"/>
          <w:szCs w:val="20"/>
          <w:b w:val="1"/>
          <w:bCs w:val="1"/>
          <w:color w:val="auto"/>
        </w:rPr>
        <w:t>Keefe, Bruyette &amp; Woods</w:t>
      </w:r>
      <w:r>
        <w:rPr>
          <w:sz w:val="20"/>
          <w:szCs w:val="20"/>
          <w:color w:val="auto"/>
        </w:rPr>
        <w:tab/>
      </w:r>
      <w:r>
        <w:rPr>
          <w:rFonts w:ascii="Arial" w:cs="Arial" w:eastAsia="Arial" w:hAnsi="Arial"/>
          <w:sz w:val="20"/>
          <w:szCs w:val="20"/>
          <w:b w:val="1"/>
          <w:bCs w:val="1"/>
          <w:color w:val="auto"/>
        </w:rPr>
        <w:t>Truist Securities</w:t>
      </w:r>
      <w:r>
        <w:rPr>
          <w:sz w:val="20"/>
          <w:szCs w:val="20"/>
          <w:color w:val="auto"/>
        </w:rPr>
        <w:tab/>
      </w:r>
      <w:r>
        <w:rPr>
          <w:rFonts w:ascii="Arial" w:cs="Arial" w:eastAsia="Arial" w:hAnsi="Arial"/>
          <w:sz w:val="18"/>
          <w:szCs w:val="18"/>
          <w:b w:val="1"/>
          <w:bCs w:val="1"/>
          <w:color w:val="auto"/>
        </w:rPr>
        <w:t>J.P. Morgan</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0"/>
          <w:szCs w:val="20"/>
          <w:i w:val="1"/>
          <w:iCs w:val="1"/>
          <w:color w:val="auto"/>
        </w:rPr>
        <w:t>A Stifel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626110</wp:posOffset>
            </wp:positionV>
            <wp:extent cx="1474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120"/>
        <w:spacing w:after="0"/>
        <w:tabs>
          <w:tab w:leader="none" w:pos="200" w:val="left"/>
        </w:tabs>
        <w:rPr>
          <w:sz w:val="20"/>
          <w:szCs w:val="20"/>
          <w:color w:val="auto"/>
        </w:rPr>
      </w:pPr>
      <w:r>
        <w:rPr>
          <w:rFonts w:ascii="Arial" w:cs="Arial" w:eastAsia="Arial" w:hAnsi="Arial"/>
          <w:sz w:val="18"/>
          <w:szCs w:val="18"/>
          <w:b w:val="1"/>
          <w:bCs w:val="1"/>
          <w:color w:val="auto"/>
        </w:rPr>
        <w:t>October</w:t>
        <w:tab/>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582930</wp:posOffset>
            </wp:positionV>
            <wp:extent cx="6995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643255</wp:posOffset>
            </wp:positionV>
            <wp:extent cx="699516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940"/>
      </w:cols>
      <w:pgMar w:left="320" w:top="459"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3"/>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5"/>
    </w:lvl>
  </w:abstractNum>
  <w:abstractNum w:abstractNumId="22">
    <w:nsid w:val="32FFF902"/>
    <w:multiLevelType w:val="hybridMultilevel"/>
    <w:lvl w:ilvl="0">
      <w:lvlJc w:val="left"/>
      <w:lvlText w:val="(%1)"/>
      <w:numFmt w:val="lowerRoman"/>
      <w:start w:val="1"/>
    </w:lvl>
  </w:abstractNum>
  <w:abstractNum w:abstractNumId="23">
    <w:nsid w:val="684A481A"/>
    <w:multiLevelType w:val="hybridMultilevel"/>
    <w:lvl w:ilvl="0">
      <w:lvlJc w:val="left"/>
      <w:lvlText w:val="(%1)"/>
      <w:numFmt w:val="lowerRoman"/>
      <w:start w:val="3"/>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decimal"/>
      <w:start w:val="7"/>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upperLetter"/>
      <w:start w:val="2"/>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3"/>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lvl w:ilvl="1">
      <w:lvlJc w:val="left"/>
      <w:lvlText w:val="%2)"/>
      <w:numFmt w:val="decimal"/>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jpe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jpe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60" Type="http://schemas.openxmlformats.org/officeDocument/2006/relationships/hyperlink" Target="http://www.sec.gov/Archives/edgar/data/1383414/000156459020054639/pnnt-10k_20200930.htm" TargetMode="External"/><Relationship Id="rId61" Type="http://schemas.openxmlformats.org/officeDocument/2006/relationships/hyperlink" Target="http://www.sec.gov/Archives/edgar/data/0001383414/000156459021015819/pnnt-10ka_20200930.htm" TargetMode="External"/><Relationship Id="rId62" Type="http://schemas.openxmlformats.org/officeDocument/2006/relationships/hyperlink" Target="http://www.sec.gov/Archives/edgar/data/1383414/000156459021004994/pnnt-10q_20201231.htm" TargetMode="External"/><Relationship Id="rId63" Type="http://schemas.openxmlformats.org/officeDocument/2006/relationships/hyperlink" Target="http://www.sec.gov/Archives/edgar/data/1383414/000156459021024045/pnnt-10q_20210331.htm" TargetMode="External"/><Relationship Id="rId64" Type="http://schemas.openxmlformats.org/officeDocument/2006/relationships/hyperlink" Target="http://www.sec.gov/Archives/edgar/data/1383414/000156459021040927/pnnt-10q_20210630.htm" TargetMode="External"/><Relationship Id="rId65" Type="http://schemas.openxmlformats.org/officeDocument/2006/relationships/hyperlink" Target="http://www.sec.gov/Archives/edgar/data/1383414/000156459021005778/pnnt-8k_20210209.htm" TargetMode="External"/><Relationship Id="rId66" Type="http://schemas.openxmlformats.org/officeDocument/2006/relationships/hyperlink" Target="http://www.sec.gov/Archives/edgar/data/1383414/000119312521122903/d164757d8k.htm" TargetMode="External"/><Relationship Id="rId67" Type="http://schemas.openxmlformats.org/officeDocument/2006/relationships/hyperlink" Target="http://www.sec.gov/Archives/edgar/data/1383414/000119312521125241/d124015d8k.htm" TargetMode="External"/><Relationship Id="rId68" Type="http://schemas.openxmlformats.org/officeDocument/2006/relationships/hyperlink" Target="http://www.sec.gov/Archives/edgar/data/1383414/000119312521195215/d153436d8k.htm" TargetMode="External"/><Relationship Id="rId69" Type="http://schemas.openxmlformats.org/officeDocument/2006/relationships/hyperlink" Target="http://www.sec.gov/Archives/edgar/data/1383414/000095012320012521/pnnt-def14a_20210930.htm" TargetMode="External"/><Relationship Id="rId70" Type="http://schemas.openxmlformats.org/officeDocument/2006/relationships/hyperlink" Target="http://www.sec.gov/Archives/edgar/data/1383414/000156459020054639/pnnt-10k_20200930.htm#PART_III" TargetMode="External"/><Relationship Id="rId158" Type="http://schemas.openxmlformats.org/officeDocument/2006/relationships/hyperlink" Target="http://www.sec.gov/Archives/edgar/data/1383414/000156459019044110/pnnt-10k_20190930.htm" TargetMode="External"/><Relationship Id="rId159" Type="http://schemas.openxmlformats.org/officeDocument/2006/relationships/hyperlink" Target="http://www.sec.gov/Archives/edgar/data/1383414/000156459019046217/pnnt-def14a_20200930.htm" TargetMode="External"/><Relationship Id="rId160" Type="http://schemas.openxmlformats.org/officeDocument/2006/relationships/hyperlink" Target="http://www.sec.gov/Archives/edgar/data/1383414/00011931250708471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2021-10-14T08:00:56Z</dcterms:created>
  <dcterms:modified xsi:type="dcterms:W3CDTF">2021-10-14T08:00:56Z</dcterms:modified>
</cp:coreProperties>
</file>