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6,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February 6, 2020, PennantPark Investment Corporation issued a press release announcing its financial results for the first fiscal quarter ended December 31, 2019.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of PennantPark Investment Corporation dated February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6, 2020</w:t>
            </w:r>
          </w:p>
        </w:tc>
        <w:tc>
          <w:tcPr>
            <w:tcW w:w="484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2019</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NEW YORK, Feb. 06, 2020 (GLOBE NEWSWIRE) -- PennantPark Investment Corporation (NASDAQ: PNNT) announced today financial results for the first fiscal quarter ended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December 31, 2019</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640" w:type="dxa"/>
            <w:vAlign w:val="bottom"/>
          </w:tcPr>
          <w:p>
            <w:pPr>
              <w:spacing w:after="0"/>
              <w:rPr>
                <w:sz w:val="20"/>
                <w:szCs w:val="20"/>
                <w:color w:val="auto"/>
              </w:rPr>
            </w:pPr>
            <w:r>
              <w:rPr>
                <w:rFonts w:ascii="Arial" w:cs="Arial" w:eastAsia="Arial" w:hAnsi="Arial"/>
                <w:sz w:val="22"/>
                <w:szCs w:val="22"/>
                <w:color w:val="auto"/>
              </w:rPr>
              <w:t>Assets and Liabilities:</w:t>
            </w:r>
          </w:p>
        </w:tc>
        <w:tc>
          <w:tcPr>
            <w:tcW w:w="3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640" w:type="dxa"/>
            <w:vAlign w:val="bottom"/>
          </w:tcPr>
          <w:p>
            <w:pPr>
              <w:ind w:left="100"/>
              <w:spacing w:after="0"/>
              <w:rPr>
                <w:sz w:val="20"/>
                <w:szCs w:val="20"/>
                <w:color w:val="auto"/>
              </w:rPr>
            </w:pPr>
            <w:r>
              <w:rPr>
                <w:rFonts w:ascii="Arial" w:cs="Arial" w:eastAsia="Arial" w:hAnsi="Arial"/>
                <w:sz w:val="22"/>
                <w:szCs w:val="22"/>
                <w:color w:val="auto"/>
              </w:rPr>
              <w:t>Investment portfolio</w:t>
            </w:r>
          </w:p>
        </w:tc>
        <w:tc>
          <w:tcPr>
            <w:tcW w:w="34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1,378.9</w:t>
            </w:r>
          </w:p>
        </w:tc>
      </w:tr>
      <w:tr>
        <w:trPr>
          <w:trHeight w:val="270"/>
        </w:trPr>
        <w:tc>
          <w:tcPr>
            <w:tcW w:w="664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34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589.0</w:t>
            </w:r>
          </w:p>
        </w:tc>
      </w:tr>
      <w:tr>
        <w:trPr>
          <w:trHeight w:val="274"/>
        </w:trPr>
        <w:tc>
          <w:tcPr>
            <w:tcW w:w="664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34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8.79</w:t>
            </w:r>
          </w:p>
        </w:tc>
      </w:tr>
      <w:tr>
        <w:trPr>
          <w:trHeight w:val="536"/>
        </w:trPr>
        <w:tc>
          <w:tcPr>
            <w:tcW w:w="6640" w:type="dxa"/>
            <w:vAlign w:val="bottom"/>
          </w:tcPr>
          <w:p>
            <w:pPr>
              <w:ind w:left="260"/>
              <w:spacing w:after="0"/>
              <w:rPr>
                <w:sz w:val="20"/>
                <w:szCs w:val="20"/>
                <w:color w:val="auto"/>
              </w:rPr>
            </w:pPr>
            <w:r>
              <w:rPr>
                <w:rFonts w:ascii="Arial" w:cs="Arial" w:eastAsia="Arial" w:hAnsi="Arial"/>
                <w:sz w:val="22"/>
                <w:szCs w:val="22"/>
                <w:color w:val="auto"/>
              </w:rPr>
              <w:t>BNP Credit Facility</w:t>
            </w:r>
          </w:p>
        </w:tc>
        <w:tc>
          <w:tcPr>
            <w:tcW w:w="34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202.6</w:t>
            </w:r>
          </w:p>
        </w:tc>
      </w:tr>
      <w:tr>
        <w:trPr>
          <w:trHeight w:val="270"/>
        </w:trPr>
        <w:tc>
          <w:tcPr>
            <w:tcW w:w="6640" w:type="dxa"/>
            <w:vAlign w:val="bottom"/>
          </w:tcPr>
          <w:p>
            <w:pPr>
              <w:ind w:left="260"/>
              <w:spacing w:after="0"/>
              <w:rPr>
                <w:sz w:val="20"/>
                <w:szCs w:val="20"/>
                <w:color w:val="auto"/>
              </w:rPr>
            </w:pPr>
            <w:r>
              <w:rPr>
                <w:rFonts w:ascii="Arial" w:cs="Arial" w:eastAsia="Arial" w:hAnsi="Arial"/>
                <w:sz w:val="22"/>
                <w:szCs w:val="22"/>
                <w:color w:val="auto"/>
              </w:rPr>
              <w:t>Truist Credit Facility</w:t>
            </w:r>
          </w:p>
        </w:tc>
        <w:tc>
          <w:tcPr>
            <w:tcW w:w="34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326.9</w:t>
            </w:r>
          </w:p>
        </w:tc>
      </w:tr>
      <w:tr>
        <w:trPr>
          <w:trHeight w:val="270"/>
        </w:trPr>
        <w:tc>
          <w:tcPr>
            <w:tcW w:w="6640" w:type="dxa"/>
            <w:vAlign w:val="bottom"/>
          </w:tcPr>
          <w:p>
            <w:pPr>
              <w:ind w:left="260"/>
              <w:spacing w:after="0"/>
              <w:rPr>
                <w:sz w:val="20"/>
                <w:szCs w:val="20"/>
                <w:color w:val="auto"/>
              </w:rPr>
            </w:pPr>
            <w:r>
              <w:rPr>
                <w:rFonts w:ascii="Arial" w:cs="Arial" w:eastAsia="Arial" w:hAnsi="Arial"/>
                <w:sz w:val="22"/>
                <w:szCs w:val="22"/>
                <w:color w:val="auto"/>
              </w:rPr>
              <w:t>2024 Notes</w:t>
            </w:r>
          </w:p>
        </w:tc>
        <w:tc>
          <w:tcPr>
            <w:tcW w:w="34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83.3</w:t>
            </w:r>
          </w:p>
        </w:tc>
      </w:tr>
      <w:tr>
        <w:trPr>
          <w:trHeight w:val="274"/>
        </w:trPr>
        <w:tc>
          <w:tcPr>
            <w:tcW w:w="6640" w:type="dxa"/>
            <w:vAlign w:val="bottom"/>
          </w:tcPr>
          <w:p>
            <w:pPr>
              <w:ind w:left="260"/>
              <w:spacing w:after="0"/>
              <w:rPr>
                <w:sz w:val="20"/>
                <w:szCs w:val="20"/>
                <w:color w:val="auto"/>
              </w:rPr>
            </w:pPr>
            <w:r>
              <w:rPr>
                <w:rFonts w:ascii="Arial" w:cs="Arial" w:eastAsia="Arial" w:hAnsi="Arial"/>
                <w:sz w:val="22"/>
                <w:szCs w:val="22"/>
                <w:color w:val="auto"/>
              </w:rPr>
              <w:t>SBA Debentures</w:t>
            </w:r>
          </w:p>
        </w:tc>
        <w:tc>
          <w:tcPr>
            <w:tcW w:w="34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130.2</w:t>
            </w:r>
          </w:p>
        </w:tc>
      </w:tr>
      <w:tr>
        <w:trPr>
          <w:trHeight w:val="540"/>
        </w:trPr>
        <w:tc>
          <w:tcPr>
            <w:tcW w:w="6640" w:type="dxa"/>
            <w:vAlign w:val="bottom"/>
          </w:tcPr>
          <w:p>
            <w:pPr>
              <w:ind w:left="100"/>
              <w:spacing w:after="0"/>
              <w:rPr>
                <w:sz w:val="20"/>
                <w:szCs w:val="20"/>
                <w:color w:val="auto"/>
              </w:rPr>
            </w:pPr>
            <w:r>
              <w:rPr>
                <w:rFonts w:ascii="Arial" w:cs="Arial" w:eastAsia="Arial" w:hAnsi="Arial"/>
                <w:sz w:val="22"/>
                <w:szCs w:val="22"/>
                <w:color w:val="auto"/>
              </w:rPr>
              <w:t>Yield on debt investments at quarter-end</w:t>
            </w:r>
          </w:p>
        </w:tc>
        <w:tc>
          <w:tcPr>
            <w:tcW w:w="3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780" w:type="dxa"/>
            <w:vAlign w:val="bottom"/>
          </w:tcPr>
          <w:p>
            <w:pPr>
              <w:spacing w:after="0"/>
              <w:rPr>
                <w:sz w:val="20"/>
                <w:szCs w:val="20"/>
                <w:color w:val="auto"/>
              </w:rPr>
            </w:pPr>
            <w:r>
              <w:rPr>
                <w:rFonts w:ascii="Arial" w:cs="Arial" w:eastAsia="Arial" w:hAnsi="Arial"/>
                <w:sz w:val="22"/>
                <w:szCs w:val="22"/>
                <w:color w:val="auto"/>
              </w:rPr>
              <w:t>Operating Results:</w:t>
            </w:r>
          </w:p>
        </w:tc>
        <w:tc>
          <w:tcPr>
            <w:tcW w:w="3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6780" w:type="dxa"/>
            <w:vAlign w:val="bottom"/>
          </w:tcPr>
          <w:p>
            <w:pPr>
              <w:ind w:left="100"/>
              <w:spacing w:after="0"/>
              <w:rPr>
                <w:sz w:val="20"/>
                <w:szCs w:val="20"/>
                <w:color w:val="auto"/>
              </w:rPr>
            </w:pPr>
            <w:r>
              <w:rPr>
                <w:rFonts w:ascii="Arial" w:cs="Arial" w:eastAsia="Arial" w:hAnsi="Arial"/>
                <w:sz w:val="22"/>
                <w:szCs w:val="22"/>
                <w:color w:val="auto"/>
              </w:rPr>
              <w:t>Net investment income</w:t>
            </w:r>
          </w:p>
        </w:tc>
        <w:tc>
          <w:tcPr>
            <w:tcW w:w="312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70"/>
        </w:trPr>
        <w:tc>
          <w:tcPr>
            <w:tcW w:w="6780" w:type="dxa"/>
            <w:vAlign w:val="bottom"/>
          </w:tcPr>
          <w:p>
            <w:pPr>
              <w:ind w:left="100"/>
              <w:spacing w:after="0"/>
              <w:rPr>
                <w:sz w:val="20"/>
                <w:szCs w:val="20"/>
                <w:color w:val="auto"/>
              </w:rPr>
            </w:pPr>
            <w:r>
              <w:rPr>
                <w:rFonts w:ascii="Arial" w:cs="Arial" w:eastAsia="Arial" w:hAnsi="Arial"/>
                <w:sz w:val="22"/>
                <w:szCs w:val="22"/>
                <w:color w:val="auto"/>
              </w:rPr>
              <w:t>Net investment income per share</w:t>
            </w:r>
          </w:p>
        </w:tc>
        <w:tc>
          <w:tcPr>
            <w:tcW w:w="312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0.15</w:t>
            </w:r>
          </w:p>
        </w:tc>
      </w:tr>
      <w:tr>
        <w:trPr>
          <w:trHeight w:val="274"/>
        </w:trPr>
        <w:tc>
          <w:tcPr>
            <w:tcW w:w="678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312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0.18</w:t>
            </w:r>
          </w:p>
        </w:tc>
      </w:tr>
      <w:tr>
        <w:trPr>
          <w:trHeight w:val="536"/>
        </w:trPr>
        <w:tc>
          <w:tcPr>
            <w:tcW w:w="6780" w:type="dxa"/>
            <w:vAlign w:val="bottom"/>
          </w:tcPr>
          <w:p>
            <w:pPr>
              <w:spacing w:after="0"/>
              <w:rPr>
                <w:sz w:val="20"/>
                <w:szCs w:val="20"/>
                <w:color w:val="auto"/>
              </w:rPr>
            </w:pPr>
            <w:r>
              <w:rPr>
                <w:rFonts w:ascii="Arial" w:cs="Arial" w:eastAsia="Arial" w:hAnsi="Arial"/>
                <w:sz w:val="22"/>
                <w:szCs w:val="22"/>
                <w:color w:val="auto"/>
              </w:rPr>
              <w:t>Portfolio Activity:</w:t>
            </w:r>
          </w:p>
        </w:tc>
        <w:tc>
          <w:tcPr>
            <w:tcW w:w="3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78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312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173.7</w:t>
            </w:r>
          </w:p>
        </w:tc>
      </w:tr>
      <w:tr>
        <w:trPr>
          <w:trHeight w:val="274"/>
        </w:trPr>
        <w:tc>
          <w:tcPr>
            <w:tcW w:w="678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312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31.2</w:t>
            </w:r>
          </w:p>
        </w:tc>
      </w:tr>
      <w:tr>
        <w:trPr>
          <w:trHeight w:val="536"/>
        </w:trPr>
        <w:tc>
          <w:tcPr>
            <w:tcW w:w="6780" w:type="dxa"/>
            <w:vAlign w:val="bottom"/>
          </w:tcPr>
          <w:p>
            <w:pPr>
              <w:ind w:left="100"/>
              <w:spacing w:after="0"/>
              <w:rPr>
                <w:sz w:val="20"/>
                <w:szCs w:val="20"/>
                <w:color w:val="auto"/>
              </w:rPr>
            </w:pPr>
            <w:r>
              <w:rPr>
                <w:rFonts w:ascii="Arial" w:cs="Arial" w:eastAsia="Arial" w:hAnsi="Arial"/>
                <w:sz w:val="22"/>
                <w:szCs w:val="22"/>
                <w:color w:val="auto"/>
              </w:rPr>
              <w:t>Number of new portfolio companies invested</w:t>
            </w:r>
          </w:p>
        </w:tc>
        <w:tc>
          <w:tcPr>
            <w:tcW w:w="3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6780" w:type="dxa"/>
            <w:vAlign w:val="bottom"/>
          </w:tcPr>
          <w:p>
            <w:pPr>
              <w:ind w:left="100"/>
              <w:spacing w:after="0"/>
              <w:rPr>
                <w:sz w:val="20"/>
                <w:szCs w:val="20"/>
                <w:color w:val="auto"/>
              </w:rPr>
            </w:pPr>
            <w:r>
              <w:rPr>
                <w:rFonts w:ascii="Arial" w:cs="Arial" w:eastAsia="Arial" w:hAnsi="Arial"/>
                <w:sz w:val="22"/>
                <w:szCs w:val="22"/>
                <w:color w:val="auto"/>
              </w:rPr>
              <w:t>Number of existing portfolio companies invested</w:t>
            </w:r>
          </w:p>
        </w:tc>
        <w:tc>
          <w:tcPr>
            <w:tcW w:w="3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4"/>
        </w:trPr>
        <w:tc>
          <w:tcPr>
            <w:tcW w:w="6780" w:type="dxa"/>
            <w:vAlign w:val="bottom"/>
          </w:tcPr>
          <w:p>
            <w:pPr>
              <w:ind w:left="100"/>
              <w:spacing w:after="0"/>
              <w:rPr>
                <w:sz w:val="20"/>
                <w:szCs w:val="20"/>
                <w:color w:val="auto"/>
              </w:rPr>
            </w:pPr>
            <w:r>
              <w:rPr>
                <w:rFonts w:ascii="Arial" w:cs="Arial" w:eastAsia="Arial" w:hAnsi="Arial"/>
                <w:sz w:val="22"/>
                <w:szCs w:val="22"/>
                <w:color w:val="auto"/>
              </w:rPr>
              <w:t>Number of ending portfolio companies</w:t>
            </w:r>
          </w:p>
        </w:tc>
        <w:tc>
          <w:tcPr>
            <w:tcW w:w="3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78</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7, 2020</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10:00 a.m. (Eastern Time) on Friday, February 7, 2020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#6437018 PennantPark Investment Corporation. An archived replay of the call will be available through February 21, 2020 by calling toll-free (888) 203-1112. International callers please dial (719) 457-0820. For all phone replays, please reference conference ID #6437018.</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are pleased with the progress we are making in several areas. Our activity and selectivity have resulted in a more senior secured portfolio, which should result in even more steady and stable earnings,” said Arthur Penn, Chairman and CEO. “Additionally, our earnings stream should improve over time based on a gradual increase in our debt to equity ratio and the potential for a joint venture, a new SBIC, and the exit of successful equity investments.”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December 31, 2019, our portfolio totaled $1,378.9 million and consisted of $791.9 million of first lien secured debt, $270.8 million of second lien secured debt, $63.0 million of subordinated debt and $253.2 million of preferred and common equity. Our debt portfolio consisted of 91% variable-rate investments. As of December 31, 2019, we had no portfolio companies on non-accrual. Overall, the portfolio had net unrealized depreciation of $14.0 million as of December 31, 2019. Our overall portfolio consisted of 78 companies with an average investment size of $17.7 million, had a weighted average yield on interest bearing debt investments of 9.6% and was invested 57% in first lien secured debt, 20% in second lien secured debt, 5% in subordinated debt and 18% in preferred and common equity.</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21"/>
          <w:szCs w:val="21"/>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2019, we invested $173.7 million in 13 new and 15 existing portfolio companies with a weighted average yield on debt investments of 8.8%. Sales and repayments of investments for the three months ended December 31, 2019 totaled $31.2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2018, we invested $194.5 million in six new and 13 existing portfolio companies with a weighted average yield on debt investments of 9.5%. Sales and repayments of investments for the three months ended December 31, 2018 totaled $125.8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Investment income for the three months ended December 31, 2019 was $26.0 million and was attributable to $16.0 million from first lien secured debt, $7.7 million from second lien secured debt and $2.3 million from subordinated debt, respectively. This compares to investment income for the three months ended December 31, 2018 of $27.4 million and was attributable to $13.2 million from first lien secured debt, $12.4 million from second lien secured debt and $1.8 million from subordinated debt, preferred and common equity. The decrease in investments income compared to the same period in the prior year was primarily due to decreases in LIBOR as well as the timing of purchases and sales.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Expenses for the three months ended December 31, 2019 totaled $15.8 million. Base management fee for the same period totaled $4.7 million, incentive fee totaled $0.7 million, debt related interest and expenses totaled $8.9 million, general and administrative expenses totaled $1.2 million and provision for taxes totaled $0.3 million. This compares to net expenses for the three months ended December 31, 2018, which totaled $14.8 million. Base management fee for the same period totaled $4.4 million, incentive fee totaled $2.7 million, debt related interest and expenses totaled $6.3 million and general and administrative expenses totaled $1.1 million. The increase in expenses compared to the three-month period ended in the prior year was primarily due to higher leverage costs.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$10.2 million, or $0.15 per share, for the three months ended December 31, 2019. Net investment income totaled $12.6 million, or $0.18 per share, for the three months ended December 31, 2018. The decrease in net investment income compared to the three-month period ended in the prior year was primarily due to higher leverage costs and lower investment income.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three months ended December 31, 2019 totaled $31.2 million and net realized losses totaled $12.0 million. Sales and repayments of investments for the three months ended December 31, 2018 totaled $125.8 million and net realized gains totaled $8.5 million. The change in realized gains/losses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2019 Notes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months ended December 31, 2019 and 2018, we reported net change in unrealized appreciation (depreciation) on investments of $23.6 million and $(20.4) million, respectively. As of December 31, 2019 and September 30, 2019, our net unrealized depreciation on investments totaled $14.0 million and $37.6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December 31, 2019 our Credit Facilities had a net change in unrealized appreciation of $2.6 million. For the three months ended December 31, 2018, the Truist Credit Facility and the 2019 Notes had a net change in unrealized depreciation of $6.1 million. As of December 31, 2019, the net unrealized depreciation on the Credit Facilities totaled $4.7 million. As of September 30, 2019, the net unrealized depreciation on the Credit Facilities totaled $7.2 million. The net change in net unrealized depreciation compared to the same periods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Net change in net assets resulting from operations totaled $19.2 million, or $0.29 per share, for the three months ended December 31, 2019. Net change in net assets resulting from operations totaled $6.8 million, or $0.10 per share, for the three months ended December 31, 2018. The increase in the net change in net assets from operations compared to the same periods in the prior year was primarily due to appreciation of the portfolio.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December 31, 2019 and September 30, 2019, PennantPark Investment Funding I, LLC, or Funding I, had $203.5 million and $171.0 million in borrowings under the BNP Credit Facility, respectively. The BNP Credit Facility had a weighted average interest rate of 4.4% and 4.6%, respectively, exclusive of the fee on undrawn commitments, as of December 31, 2019 and September 30, 2019. As of December 31, 2019 and September 30, 2019, Funding I had $46.5 million and $79.0 million of unused borrowing capacity under the BNP Credit Facility, respectively, subject to the regulatory restrictions.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December 31, 2019 and September 30, 2019, we had $330.6 million (including a $15.0 million temporary draw) and $301.6 million, respectively, in borrowings under the Truist Credit Facility. The Truist Credit Facility had a weighted average interest rate of 4.0% and 4.2%, respectively, exclusive of the fee on undrawn commitments, as of December 31, 2019 and September 30, 2019. As of the same periods, we had $144.4 million and $173.4 million of unused borrowing capacity under the Truist Credit Facility, respectively, subject to the regulatory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2019 and September 30, 2019, we had cash and cash equivalents of $32.1 million and $59.5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Our operating activities used cash of $71.3 million for the three months ended December 31, 2019, and our financing activities provided cash of $43.8 million for the same period. Our operating activities used cash primarily for our investment activities and our financing activities provided cash primarily from net borrowings under the Truist Credit Facility.</w:t>
      </w:r>
    </w:p>
    <w:p>
      <w:pPr>
        <w:spacing w:after="0" w:line="134"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Truist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During the three months ended December 31, 2019, we declared distributions of $0.18 per share, for total distributions of $12.1 million. For the same period in the prior year, we declared distributions of $0.18 per share, respectively, for total distributions of $12.2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our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800" w:type="dxa"/>
            <w:vAlign w:val="bottom"/>
          </w:tcPr>
          <w:p>
            <w:pPr>
              <w:spacing w:after="0"/>
              <w:rPr>
                <w:sz w:val="21"/>
                <w:szCs w:val="21"/>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8"/>
              </w:rPr>
              <w:t>December 31,</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22"/>
                <w:szCs w:val="22"/>
                <w:b w:val="1"/>
                <w:bCs w:val="1"/>
                <w:color w:val="auto"/>
                <w:w w:val="87"/>
              </w:rPr>
              <w:t>September 30,</w:t>
            </w:r>
          </w:p>
        </w:tc>
      </w:tr>
      <w:tr>
        <w:trPr>
          <w:trHeight w:val="270"/>
        </w:trPr>
        <w:tc>
          <w:tcPr>
            <w:tcW w:w="780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2019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472"/>
              <w:spacing w:after="0"/>
              <w:rPr>
                <w:sz w:val="20"/>
                <w:szCs w:val="20"/>
                <w:color w:val="auto"/>
              </w:rPr>
            </w:pPr>
            <w:r>
              <w:rPr>
                <w:rFonts w:ascii="Arial" w:cs="Arial" w:eastAsia="Arial" w:hAnsi="Arial"/>
                <w:sz w:val="22"/>
                <w:szCs w:val="22"/>
                <w:b w:val="1"/>
                <w:bCs w:val="1"/>
                <w:color w:val="auto"/>
              </w:rPr>
              <w:t>2019</w:t>
            </w:r>
          </w:p>
        </w:tc>
      </w:tr>
      <w:tr>
        <w:trPr>
          <w:trHeight w:val="280"/>
        </w:trPr>
        <w:tc>
          <w:tcPr>
            <w:tcW w:w="7800" w:type="dxa"/>
            <w:vAlign w:val="bottom"/>
          </w:tcPr>
          <w:p>
            <w:pPr>
              <w:spacing w:after="0"/>
              <w:rPr>
                <w:sz w:val="24"/>
                <w:szCs w:val="2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90"/>
              </w:rPr>
              <w:t>(unaudited)</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9"/>
        </w:trPr>
        <w:tc>
          <w:tcPr>
            <w:tcW w:w="78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5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7800" w:type="dxa"/>
            <w:vAlign w:val="bottom"/>
          </w:tcPr>
          <w:p>
            <w:pPr>
              <w:ind w:left="260"/>
              <w:spacing w:after="0" w:line="243" w:lineRule="exact"/>
              <w:rPr>
                <w:sz w:val="20"/>
                <w:szCs w:val="20"/>
                <w:color w:val="auto"/>
              </w:rPr>
            </w:pPr>
            <w:r>
              <w:rPr>
                <w:rFonts w:ascii="Arial" w:cs="Arial" w:eastAsia="Arial" w:hAnsi="Arial"/>
                <w:sz w:val="22"/>
                <w:szCs w:val="22"/>
                <w:color w:val="auto"/>
                <w:w w:val="91"/>
              </w:rPr>
              <w:t>Non-controlled, non-affiliated investments (cost—$1,042,324,490 and $922,304,099,</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8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520" w:type="dxa"/>
            <w:vAlign w:val="bottom"/>
          </w:tcPr>
          <w:p>
            <w:pPr>
              <w:jc w:val="right"/>
              <w:spacing w:after="0"/>
              <w:rPr>
                <w:sz w:val="20"/>
                <w:szCs w:val="20"/>
                <w:color w:val="auto"/>
              </w:rPr>
            </w:pPr>
            <w:r>
              <w:rPr>
                <w:rFonts w:ascii="Arial" w:cs="Arial" w:eastAsia="Arial" w:hAnsi="Arial"/>
                <w:sz w:val="22"/>
                <w:szCs w:val="22"/>
                <w:color w:val="auto"/>
                <w:w w:val="90"/>
              </w:rPr>
              <w:t>$  1,073,644,309</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936,632,099</w:t>
            </w:r>
          </w:p>
        </w:tc>
      </w:tr>
      <w:tr>
        <w:trPr>
          <w:trHeight w:val="243"/>
        </w:trPr>
        <w:tc>
          <w:tcPr>
            <w:tcW w:w="780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(cost—$77,600,816 and $77,600,816,</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8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520" w:type="dxa"/>
            <w:vAlign w:val="bottom"/>
          </w:tcPr>
          <w:p>
            <w:pPr>
              <w:jc w:val="right"/>
              <w:spacing w:after="0"/>
              <w:rPr>
                <w:sz w:val="20"/>
                <w:szCs w:val="20"/>
                <w:color w:val="auto"/>
              </w:rPr>
            </w:pPr>
            <w:r>
              <w:rPr>
                <w:rFonts w:ascii="Arial" w:cs="Arial" w:eastAsia="Arial" w:hAnsi="Arial"/>
                <w:sz w:val="22"/>
                <w:szCs w:val="22"/>
                <w:color w:val="auto"/>
              </w:rPr>
              <w:t>48,994,005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49,349,338</w:t>
            </w:r>
          </w:p>
        </w:tc>
      </w:tr>
      <w:tr>
        <w:trPr>
          <w:trHeight w:val="243"/>
        </w:trPr>
        <w:tc>
          <w:tcPr>
            <w:tcW w:w="780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(cost—$272,955,525 and $257,117,800,</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4"/>
        </w:trPr>
        <w:tc>
          <w:tcPr>
            <w:tcW w:w="78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256,214,645</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233,451,359</w:t>
            </w:r>
          </w:p>
        </w:tc>
      </w:tr>
      <w:tr>
        <w:trPr>
          <w:trHeight w:val="271"/>
        </w:trPr>
        <w:tc>
          <w:tcPr>
            <w:tcW w:w="7800" w:type="dxa"/>
            <w:vAlign w:val="bottom"/>
          </w:tcPr>
          <w:p>
            <w:pPr>
              <w:ind w:left="260"/>
              <w:spacing w:after="0"/>
              <w:rPr>
                <w:sz w:val="20"/>
                <w:szCs w:val="20"/>
                <w:color w:val="auto"/>
              </w:rPr>
            </w:pPr>
            <w:r>
              <w:rPr>
                <w:rFonts w:ascii="Arial" w:cs="Arial" w:eastAsia="Arial" w:hAnsi="Arial"/>
                <w:sz w:val="22"/>
                <w:szCs w:val="22"/>
                <w:color w:val="auto"/>
                <w:w w:val="98"/>
              </w:rPr>
              <w:t>Total of investments (cost—$1,392,880,831 and $1,257,022,715, respectively)</w:t>
            </w:r>
          </w:p>
        </w:tc>
        <w:tc>
          <w:tcPr>
            <w:tcW w:w="1520" w:type="dxa"/>
            <w:vAlign w:val="bottom"/>
          </w:tcPr>
          <w:p>
            <w:pPr>
              <w:jc w:val="right"/>
              <w:spacing w:after="0"/>
              <w:rPr>
                <w:sz w:val="20"/>
                <w:szCs w:val="20"/>
                <w:color w:val="auto"/>
              </w:rPr>
            </w:pPr>
            <w:r>
              <w:rPr>
                <w:rFonts w:ascii="Arial" w:cs="Arial" w:eastAsia="Arial" w:hAnsi="Arial"/>
                <w:sz w:val="22"/>
                <w:szCs w:val="22"/>
                <w:color w:val="auto"/>
              </w:rPr>
              <w:t>1,378,852,959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1,219,432,796</w:t>
            </w:r>
          </w:p>
        </w:tc>
      </w:tr>
    </w:tbl>
    <w:p>
      <w:pPr>
        <w:sectPr>
          <w:pgSz w:w="11900" w:h="16838" w:orient="portrait"/>
          <w:cols w:equalWidth="0" w:num="1">
            <w:col w:w="11240"/>
          </w:cols>
          <w:pgMar w:left="320" w:top="118"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800" w:type="dxa"/>
            <w:vAlign w:val="bottom"/>
          </w:tcPr>
          <w:p>
            <w:pPr>
              <w:spacing w:after="0"/>
              <w:rPr>
                <w:sz w:val="20"/>
                <w:szCs w:val="20"/>
                <w:color w:val="auto"/>
              </w:rPr>
            </w:pPr>
            <w:r>
              <w:rPr>
                <w:rFonts w:ascii="Arial" w:cs="Arial" w:eastAsia="Arial" w:hAnsi="Arial"/>
                <w:sz w:val="22"/>
                <w:szCs w:val="22"/>
                <w:color w:val="auto"/>
              </w:rPr>
              <w:t>Cash and cash equivalents (cost—$32,075,367 and $59,546,438, respectively)</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32,107,649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59,516,236</w:t>
            </w:r>
          </w:p>
        </w:tc>
        <w:tc>
          <w:tcPr>
            <w:tcW w:w="80" w:type="dxa"/>
            <w:vAlign w:val="bottom"/>
          </w:tcPr>
          <w:p>
            <w:pPr>
              <w:spacing w:after="0"/>
              <w:rPr>
                <w:sz w:val="23"/>
                <w:szCs w:val="23"/>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Interest receivable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6,055,204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6,226,539</w:t>
            </w:r>
          </w:p>
        </w:tc>
        <w:tc>
          <w:tcPr>
            <w:tcW w:w="80" w:type="dxa"/>
            <w:vAlign w:val="bottom"/>
          </w:tcPr>
          <w:p>
            <w:pPr>
              <w:spacing w:after="0"/>
              <w:rPr>
                <w:sz w:val="23"/>
                <w:szCs w:val="23"/>
                <w:color w:val="auto"/>
              </w:rPr>
            </w:pPr>
          </w:p>
        </w:tc>
      </w:t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1,034,351</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662,442</w:t>
            </w:r>
          </w:p>
        </w:tc>
        <w:tc>
          <w:tcPr>
            <w:tcW w:w="80" w:type="dxa"/>
            <w:vAlign w:val="bottom"/>
          </w:tcPr>
          <w:p>
            <w:pPr>
              <w:spacing w:after="0"/>
              <w:rPr>
                <w:sz w:val="23"/>
                <w:szCs w:val="23"/>
                <w:color w:val="auto"/>
              </w:rPr>
            </w:pPr>
          </w:p>
        </w:tc>
      </w:tr>
      <w:tr>
        <w:trPr>
          <w:trHeight w:val="267"/>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1,418,050,163</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1,285,838,013</w:t>
            </w:r>
          </w:p>
        </w:tc>
        <w:tc>
          <w:tcPr>
            <w:tcW w:w="80" w:type="dxa"/>
            <w:vAlign w:val="bottom"/>
          </w:tcPr>
          <w:p>
            <w:pPr>
              <w:spacing w:after="0"/>
              <w:rPr>
                <w:sz w:val="23"/>
                <w:szCs w:val="23"/>
                <w:color w:val="auto"/>
              </w:rPr>
            </w:pPr>
          </w:p>
        </w:tc>
      </w:tr>
      <w:tr>
        <w:trPr>
          <w:trHeight w:val="256"/>
        </w:trPr>
        <w:tc>
          <w:tcPr>
            <w:tcW w:w="780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Distributions payable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12,068,119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12,068,119</w:t>
            </w:r>
          </w:p>
        </w:tc>
        <w:tc>
          <w:tcPr>
            <w:tcW w:w="80" w:type="dxa"/>
            <w:vAlign w:val="bottom"/>
          </w:tcPr>
          <w:p>
            <w:pPr>
              <w:spacing w:after="0"/>
              <w:rPr>
                <w:sz w:val="23"/>
                <w:szCs w:val="23"/>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62,528,206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43"/>
        </w:trPr>
        <w:tc>
          <w:tcPr>
            <w:tcW w:w="7800" w:type="dxa"/>
            <w:vAlign w:val="bottom"/>
          </w:tcPr>
          <w:p>
            <w:pPr>
              <w:spacing w:after="0" w:line="243" w:lineRule="exact"/>
              <w:rPr>
                <w:sz w:val="20"/>
                <w:szCs w:val="20"/>
                <w:color w:val="auto"/>
              </w:rPr>
            </w:pPr>
            <w:r>
              <w:rPr>
                <w:rFonts w:ascii="Arial" w:cs="Arial" w:eastAsia="Arial" w:hAnsi="Arial"/>
                <w:sz w:val="22"/>
                <w:szCs w:val="22"/>
                <w:color w:val="auto"/>
                <w:w w:val="98"/>
              </w:rPr>
              <w:t>BNP Credit Facility payable, at fair value (cost—$203,500,000 and $171,000,000,</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respectively)</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202,584,250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170,145,000</w:t>
            </w:r>
          </w:p>
        </w:tc>
        <w:tc>
          <w:tcPr>
            <w:tcW w:w="80" w:type="dxa"/>
            <w:vAlign w:val="bottom"/>
          </w:tcPr>
          <w:p>
            <w:pPr>
              <w:spacing w:after="0"/>
              <w:rPr>
                <w:sz w:val="23"/>
                <w:szCs w:val="23"/>
                <w:color w:val="auto"/>
              </w:rPr>
            </w:pPr>
          </w:p>
        </w:tc>
      </w:tr>
      <w:tr>
        <w:trPr>
          <w:trHeight w:val="243"/>
        </w:trPr>
        <w:tc>
          <w:tcPr>
            <w:tcW w:w="7800" w:type="dxa"/>
            <w:vAlign w:val="bottom"/>
          </w:tcPr>
          <w:p>
            <w:pPr>
              <w:spacing w:after="0" w:line="243" w:lineRule="exact"/>
              <w:rPr>
                <w:sz w:val="20"/>
                <w:szCs w:val="20"/>
                <w:color w:val="auto"/>
              </w:rPr>
            </w:pPr>
            <w:r>
              <w:rPr>
                <w:rFonts w:ascii="Arial" w:cs="Arial" w:eastAsia="Arial" w:hAnsi="Arial"/>
                <w:sz w:val="22"/>
                <w:szCs w:val="22"/>
                <w:color w:val="auto"/>
                <w:w w:val="96"/>
              </w:rPr>
              <w:t>Truist Credit Facility payable, at fair value (cost—$330,636,000 and $301,636,000,</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respectively)</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326,877,285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295,245,214</w:t>
            </w:r>
          </w:p>
        </w:tc>
        <w:tc>
          <w:tcPr>
            <w:tcW w:w="80" w:type="dxa"/>
            <w:vAlign w:val="bottom"/>
          </w:tcPr>
          <w:p>
            <w:pPr>
              <w:spacing w:after="0"/>
              <w:rPr>
                <w:sz w:val="23"/>
                <w:szCs w:val="23"/>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2024 Notes payable, net (par—$86,250,000 and $75,000,000, respectively)</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83,338,434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72,256,607</w:t>
            </w:r>
          </w:p>
        </w:tc>
        <w:tc>
          <w:tcPr>
            <w:tcW w:w="80" w:type="dxa"/>
            <w:vAlign w:val="bottom"/>
          </w:tcPr>
          <w:p>
            <w:pPr>
              <w:spacing w:after="0"/>
              <w:rPr>
                <w:sz w:val="23"/>
                <w:szCs w:val="23"/>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w w:val="96"/>
              </w:rPr>
              <w:t>SBA debentures payable, net (par—$133,500,000 and $150,000,000, respectively)</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130,187,808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146,111,055</w:t>
            </w:r>
          </w:p>
        </w:tc>
        <w:tc>
          <w:tcPr>
            <w:tcW w:w="80" w:type="dxa"/>
            <w:vAlign w:val="bottom"/>
          </w:tcPr>
          <w:p>
            <w:pPr>
              <w:spacing w:after="0"/>
              <w:rPr>
                <w:sz w:val="23"/>
                <w:szCs w:val="23"/>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4,742,430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4,641,480</w:t>
            </w:r>
          </w:p>
        </w:tc>
        <w:tc>
          <w:tcPr>
            <w:tcW w:w="80" w:type="dxa"/>
            <w:vAlign w:val="bottom"/>
          </w:tcPr>
          <w:p>
            <w:pPr>
              <w:spacing w:after="0"/>
              <w:rPr>
                <w:sz w:val="23"/>
                <w:szCs w:val="23"/>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744,626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5,287,890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2,895,695</w:t>
            </w:r>
          </w:p>
        </w:tc>
        <w:tc>
          <w:tcPr>
            <w:tcW w:w="80" w:type="dxa"/>
            <w:vAlign w:val="bottom"/>
          </w:tcPr>
          <w:p>
            <w:pPr>
              <w:spacing w:after="0"/>
              <w:rPr>
                <w:sz w:val="23"/>
                <w:szCs w:val="23"/>
                <w:color w:val="auto"/>
              </w:rPr>
            </w:pPr>
          </w:p>
        </w:tc>
      </w:t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651,056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569,175</w:t>
            </w:r>
          </w:p>
        </w:tc>
        <w:tc>
          <w:tcPr>
            <w:tcW w:w="80" w:type="dxa"/>
            <w:vAlign w:val="bottom"/>
          </w:tcPr>
          <w:p>
            <w:pPr>
              <w:spacing w:after="0"/>
              <w:rPr>
                <w:sz w:val="23"/>
                <w:szCs w:val="23"/>
                <w:color w:val="auto"/>
              </w:rPr>
            </w:pPr>
          </w:p>
        </w:tc>
      </w:tr>
      <w:tr>
        <w:trPr>
          <w:trHeight w:val="267"/>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829,010,104</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703,932,345</w:t>
            </w:r>
          </w:p>
        </w:tc>
        <w:tc>
          <w:tcPr>
            <w:tcW w:w="80" w:type="dxa"/>
            <w:vAlign w:val="bottom"/>
          </w:tcPr>
          <w:p>
            <w:pPr>
              <w:spacing w:after="0"/>
              <w:rPr>
                <w:sz w:val="23"/>
                <w:szCs w:val="23"/>
                <w:color w:val="auto"/>
              </w:rPr>
            </w:pPr>
          </w:p>
        </w:tc>
      </w:tr>
      <w:tr>
        <w:trPr>
          <w:trHeight w:val="250"/>
        </w:trPr>
        <w:tc>
          <w:tcPr>
            <w:tcW w:w="780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78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800" w:type="dxa"/>
            <w:vAlign w:val="bottom"/>
          </w:tcPr>
          <w:p>
            <w:pPr>
              <w:spacing w:after="0" w:line="243" w:lineRule="exact"/>
              <w:rPr>
                <w:sz w:val="20"/>
                <w:szCs w:val="20"/>
                <w:color w:val="auto"/>
              </w:rPr>
            </w:pPr>
            <w:r>
              <w:rPr>
                <w:rFonts w:ascii="Arial" w:cs="Arial" w:eastAsia="Arial" w:hAnsi="Arial"/>
                <w:sz w:val="22"/>
                <w:szCs w:val="22"/>
                <w:color w:val="auto"/>
                <w:w w:val="90"/>
              </w:rPr>
              <w:t>Common stock, 67,045,105 and 67,045,105 shares issued and outstanding, respectively</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80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67,045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67,045</w:t>
            </w:r>
          </w:p>
        </w:tc>
        <w:tc>
          <w:tcPr>
            <w:tcW w:w="80" w:type="dxa"/>
            <w:vAlign w:val="bottom"/>
          </w:tcPr>
          <w:p>
            <w:pPr>
              <w:spacing w:after="0"/>
              <w:rPr>
                <w:sz w:val="23"/>
                <w:szCs w:val="23"/>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788,192,159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788,192,159</w:t>
            </w:r>
          </w:p>
        </w:tc>
        <w:tc>
          <w:tcPr>
            <w:tcW w:w="80" w:type="dxa"/>
            <w:vAlign w:val="bottom"/>
          </w:tcPr>
          <w:p>
            <w:pPr>
              <w:spacing w:after="0"/>
              <w:rPr>
                <w:sz w:val="23"/>
                <w:szCs w:val="23"/>
                <w:color w:val="auto"/>
              </w:rPr>
            </w:pPr>
          </w:p>
        </w:tc>
      </w:t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200" w:type="dxa"/>
            <w:vAlign w:val="bottom"/>
          </w:tcPr>
          <w:p>
            <w:pPr>
              <w:spacing w:after="0"/>
              <w:rPr>
                <w:sz w:val="23"/>
                <w:szCs w:val="23"/>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2"/>
                <w:szCs w:val="22"/>
                <w:color w:val="auto"/>
                <w:w w:val="97"/>
              </w:rPr>
              <w:t>(199,219,145 )</w:t>
            </w:r>
          </w:p>
        </w:tc>
        <w:tc>
          <w:tcPr>
            <w:tcW w:w="22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(206,353,536 )</w:t>
            </w:r>
          </w:p>
        </w:tc>
      </w:tr>
      <w:tr>
        <w:trPr>
          <w:trHeight w:val="267"/>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589,040,059</w:t>
            </w:r>
          </w:p>
        </w:tc>
        <w:tc>
          <w:tcPr>
            <w:tcW w:w="2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581,905,668</w:t>
            </w:r>
          </w:p>
        </w:tc>
        <w:tc>
          <w:tcPr>
            <w:tcW w:w="80" w:type="dxa"/>
            <w:vAlign w:val="bottom"/>
          </w:tcPr>
          <w:p>
            <w:pPr>
              <w:spacing w:after="0"/>
              <w:rPr>
                <w:sz w:val="23"/>
                <w:szCs w:val="23"/>
                <w:color w:val="auto"/>
              </w:rPr>
            </w:pPr>
          </w:p>
        </w:tc>
      </w:tr>
      <w:tr>
        <w:trPr>
          <w:trHeight w:val="263"/>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1,418,050,163</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1,285,838,013</w:t>
            </w:r>
          </w:p>
        </w:tc>
        <w:tc>
          <w:tcPr>
            <w:tcW w:w="80" w:type="dxa"/>
            <w:vAlign w:val="bottom"/>
          </w:tcPr>
          <w:p>
            <w:pPr>
              <w:spacing w:after="0"/>
              <w:rPr>
                <w:sz w:val="22"/>
                <w:szCs w:val="22"/>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80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8.79</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8.68</w:t>
            </w:r>
          </w:p>
        </w:tc>
        <w:tc>
          <w:tcPr>
            <w:tcW w:w="80" w:type="dxa"/>
            <w:vAlign w:val="bottom"/>
          </w:tcPr>
          <w:p>
            <w:pPr>
              <w:spacing w:after="0"/>
              <w:rPr>
                <w:sz w:val="22"/>
                <w:szCs w:val="22"/>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700" w:type="dxa"/>
            <w:vAlign w:val="bottom"/>
          </w:tcPr>
          <w:p>
            <w:pPr>
              <w:spacing w:after="0"/>
              <w:rPr>
                <w:sz w:val="24"/>
                <w:szCs w:val="24"/>
                <w:color w:val="auto"/>
              </w:rPr>
            </w:pPr>
          </w:p>
        </w:tc>
        <w:tc>
          <w:tcPr>
            <w:tcW w:w="34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b w:val="1"/>
                <w:bCs w:val="1"/>
                <w:color w:val="auto"/>
                <w:w w:val="90"/>
              </w:rPr>
              <w:t>Three Months Ended December 31,</w:t>
            </w:r>
          </w:p>
        </w:tc>
      </w:tr>
      <w:tr>
        <w:trPr>
          <w:trHeight w:val="265"/>
        </w:trPr>
        <w:tc>
          <w:tcPr>
            <w:tcW w:w="77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2019</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2018</w:t>
            </w: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20,384,914</w:t>
            </w:r>
          </w:p>
        </w:tc>
        <w:tc>
          <w:tcPr>
            <w:tcW w:w="24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23,508,581</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1,884,506</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1,246,016</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189,918</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618,071</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105,105</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32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108,625</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635,615</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1,788,603</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2,908,812</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5,000</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26,003,765</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27,380,001</w:t>
            </w: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4,742,430</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4,419,262</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744,626</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2,667,270</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8,866,549</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6,278,847</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521,520</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521,625</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643,480</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618,367</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Expenses before provision for taxes</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15,518,605</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14,505,371</w:t>
            </w:r>
          </w:p>
        </w:tc>
      </w:tr>
      <w:tr>
        <w:trPr>
          <w:trHeight w:val="263"/>
        </w:trPr>
        <w:tc>
          <w:tcPr>
            <w:tcW w:w="77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r>
      <w:tr>
        <w:trPr>
          <w:trHeight w:val="264"/>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15,818,605</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14,805,371</w:t>
            </w:r>
          </w:p>
        </w:tc>
      </w:tr>
      <w:tr>
        <w:trPr>
          <w:trHeight w:val="263"/>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10,185,160</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12,574,630</w:t>
            </w: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Realized and unrealized gain (loss) on investments and debt:</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realized (loss) gain on investments on:</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2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22"/>
                <w:szCs w:val="22"/>
                <w:color w:val="auto"/>
              </w:rPr>
              <w:t>(12,034,153)</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3,737,919</w:t>
            </w:r>
          </w:p>
        </w:tc>
      </w:tr>
    </w:tbl>
    <w:p>
      <w:pPr>
        <w:sectPr>
          <w:pgSz w:w="11900" w:h="16838" w:orient="portrait"/>
          <w:cols w:equalWidth="0" w:num="1">
            <w:col w:w="11200"/>
          </w:cols>
          <w:pgMar w:left="340" w:top="118" w:right="35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32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4,792,067</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realized (loss) gain on investments</w:t>
            </w:r>
          </w:p>
        </w:tc>
        <w:tc>
          <w:tcPr>
            <w:tcW w:w="32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(12,034,153)</w:t>
            </w:r>
          </w:p>
        </w:tc>
        <w:tc>
          <w:tcPr>
            <w:tcW w:w="24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8,529,986</w:t>
            </w:r>
          </w:p>
        </w:tc>
        <w:tc>
          <w:tcPr>
            <w:tcW w:w="80" w:type="dxa"/>
            <w:vAlign w:val="bottom"/>
          </w:tcPr>
          <w:p>
            <w:pPr>
              <w:spacing w:after="0"/>
              <w:rPr>
                <w:sz w:val="23"/>
                <w:szCs w:val="23"/>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17,052,596</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(6,929,882)</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6,570,228</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(13,462,697)</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32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22"/>
                <w:szCs w:val="22"/>
                <w:color w:val="auto"/>
              </w:rPr>
              <w:t>(2,571,321)</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6,066,152</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91"/>
              </w:rPr>
              <w:t>Net change in unrealized appreciation (depreciation) on investments and debt</w:t>
            </w:r>
          </w:p>
        </w:tc>
        <w:tc>
          <w:tcPr>
            <w:tcW w:w="32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21,051,503</w:t>
            </w:r>
          </w:p>
        </w:tc>
        <w:tc>
          <w:tcPr>
            <w:tcW w:w="24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(14,326,427)</w:t>
            </w:r>
          </w:p>
        </w:tc>
        <w:tc>
          <w:tcPr>
            <w:tcW w:w="80" w:type="dxa"/>
            <w:vAlign w:val="bottom"/>
          </w:tcPr>
          <w:p>
            <w:pPr>
              <w:spacing w:after="0"/>
              <w:rPr>
                <w:sz w:val="23"/>
                <w:szCs w:val="23"/>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realized and unrealized gain (loss) from investments and debt</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9,017,350</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(5,796,441)</w:t>
            </w:r>
          </w:p>
        </w:tc>
        <w:tc>
          <w:tcPr>
            <w:tcW w:w="80" w:type="dxa"/>
            <w:vAlign w:val="bottom"/>
          </w:tcPr>
          <w:p>
            <w:pPr>
              <w:spacing w:after="0"/>
              <w:rPr>
                <w:sz w:val="22"/>
                <w:szCs w:val="22"/>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19,202,510</w:t>
            </w:r>
          </w:p>
        </w:tc>
        <w:tc>
          <w:tcPr>
            <w:tcW w:w="24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6,778,189</w:t>
            </w:r>
          </w:p>
        </w:tc>
        <w:tc>
          <w:tcPr>
            <w:tcW w:w="8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4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7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0.15</w:t>
            </w:r>
          </w:p>
        </w:tc>
        <w:tc>
          <w:tcPr>
            <w:tcW w:w="24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PennantPark Investment Advisers, LLC is a leading middle market credit platform, which today has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2020-05-05T15:07:45Z</dcterms:created>
  <dcterms:modified xsi:type="dcterms:W3CDTF">2020-05-05T15:07:45Z</dcterms:modified>
</cp:coreProperties>
</file>