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line="262" w:lineRule="auto"/>
        <w:rPr>
          <w:sz w:val="20"/>
          <w:szCs w:val="20"/>
          <w:color w:val="auto"/>
        </w:rPr>
      </w:pPr>
      <w:r>
        <w:rPr>
          <w:rFonts w:ascii="Arial" w:cs="Arial" w:eastAsia="Arial" w:hAnsi="Arial"/>
          <w:sz w:val="18"/>
          <w:szCs w:val="18"/>
          <w:b w:val="1"/>
          <w:bCs w:val="1"/>
          <w:color w:val="auto"/>
        </w:rPr>
        <w:t>As filed with the Securities and Exchange Commission on September 5, 2008. Securities Act Registration No. 333-150033 Investment Company Act of 1940 File No.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73025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91440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1"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Pre-Effective Amendment No. 3 </w:t>
      </w:r>
      <w:r>
        <w:rPr>
          <w:rFonts w:ascii="MS PGothic" w:cs="MS PGothic" w:eastAsia="MS PGothic" w:hAnsi="MS PGothic"/>
          <w:sz w:val="18"/>
          <w:szCs w:val="18"/>
          <w:color w:val="auto"/>
          <w:highlight w:val="black"/>
        </w:rPr>
        <w:t>☑</w:t>
      </w:r>
    </w:p>
    <w:p>
      <w:pPr>
        <w:spacing w:after="0" w:line="10"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Post-Effective Amendment No. </w:t>
      </w:r>
      <w:r>
        <w:rPr>
          <w:rFonts w:ascii="MS PGothic" w:cs="MS PGothic" w:eastAsia="MS PGothic" w:hAnsi="MS PGothic"/>
          <w:sz w:val="18"/>
          <w:szCs w:val="18"/>
          <w:color w:val="auto"/>
          <w:highlight w:val="black"/>
        </w:rPr>
        <w:t>☐</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PennantPark Investment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-232410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69215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590 Madison Avenue</w:t>
      </w:r>
    </w:p>
    <w:p>
      <w:pPr>
        <w:jc w:val="center"/>
        <w:spacing w:after="0" w:line="223" w:lineRule="auto"/>
        <w:rPr>
          <w:sz w:val="20"/>
          <w:szCs w:val="20"/>
          <w:color w:val="auto"/>
        </w:rPr>
      </w:pPr>
      <w:r>
        <w:rPr>
          <w:rFonts w:ascii="Arial" w:cs="Arial" w:eastAsia="Arial" w:hAnsi="Arial"/>
          <w:sz w:val="14"/>
          <w:szCs w:val="14"/>
          <w:b w:val="1"/>
          <w:bCs w:val="1"/>
          <w:color w:val="auto"/>
        </w:rPr>
        <w:t>15th Floor</w:t>
      </w:r>
    </w:p>
    <w:p>
      <w:pPr>
        <w:jc w:val="center"/>
        <w:spacing w:after="0" w:line="222" w:lineRule="auto"/>
        <w:rPr>
          <w:sz w:val="20"/>
          <w:szCs w:val="20"/>
          <w:color w:val="auto"/>
        </w:rPr>
      </w:pPr>
      <w:r>
        <w:rPr>
          <w:rFonts w:ascii="Arial" w:cs="Arial" w:eastAsia="Arial" w:hAnsi="Arial"/>
          <w:sz w:val="14"/>
          <w:szCs w:val="14"/>
          <w:b w:val="1"/>
          <w:bCs w:val="1"/>
          <w:color w:val="auto"/>
        </w:rPr>
        <w:t>New York, NY 10022</w:t>
      </w:r>
    </w:p>
    <w:p>
      <w:pPr>
        <w:jc w:val="center"/>
        <w:spacing w:after="0" w:line="221" w:lineRule="auto"/>
        <w:rPr>
          <w:sz w:val="20"/>
          <w:szCs w:val="20"/>
          <w:color w:val="auto"/>
        </w:rPr>
      </w:pPr>
      <w:r>
        <w:rPr>
          <w:rFonts w:ascii="Arial" w:cs="Arial" w:eastAsia="Arial" w:hAnsi="Arial"/>
          <w:sz w:val="14"/>
          <w:szCs w:val="14"/>
          <w:b w:val="1"/>
          <w:bCs w:val="1"/>
          <w:color w:val="auto"/>
        </w:rPr>
        <w:t>(Address of Principal Executive Offices)</w:t>
      </w:r>
    </w:p>
    <w:p>
      <w:pPr>
        <w:jc w:val="center"/>
        <w:spacing w:after="0" w:line="222" w:lineRule="auto"/>
        <w:rPr>
          <w:sz w:val="20"/>
          <w:szCs w:val="20"/>
          <w:color w:val="auto"/>
        </w:rPr>
      </w:pPr>
      <w:r>
        <w:rPr>
          <w:rFonts w:ascii="Arial" w:cs="Arial" w:eastAsia="Arial" w:hAnsi="Arial"/>
          <w:sz w:val="14"/>
          <w:szCs w:val="14"/>
          <w:b w:val="1"/>
          <w:bCs w:val="1"/>
          <w:color w:val="auto"/>
        </w:rPr>
        <w:t>(212) 905-1000</w:t>
      </w: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Arthur H. Penn</w:t>
      </w:r>
    </w:p>
    <w:p>
      <w:pPr>
        <w:jc w:val="center"/>
        <w:spacing w:after="0" w:line="223" w:lineRule="auto"/>
        <w:rPr>
          <w:sz w:val="20"/>
          <w:szCs w:val="20"/>
          <w:color w:val="auto"/>
        </w:rPr>
      </w:pPr>
      <w:r>
        <w:rPr>
          <w:rFonts w:ascii="Arial" w:cs="Arial" w:eastAsia="Arial" w:hAnsi="Arial"/>
          <w:sz w:val="14"/>
          <w:szCs w:val="14"/>
          <w:b w:val="1"/>
          <w:bCs w:val="1"/>
          <w:color w:val="auto"/>
        </w:rPr>
        <w:t>c/o PennantPark Investment Corporation</w:t>
      </w:r>
    </w:p>
    <w:p>
      <w:pPr>
        <w:jc w:val="center"/>
        <w:spacing w:after="0" w:line="222" w:lineRule="auto"/>
        <w:rPr>
          <w:sz w:val="20"/>
          <w:szCs w:val="20"/>
          <w:color w:val="auto"/>
        </w:rPr>
      </w:pPr>
      <w:r>
        <w:rPr>
          <w:rFonts w:ascii="Arial" w:cs="Arial" w:eastAsia="Arial" w:hAnsi="Arial"/>
          <w:sz w:val="14"/>
          <w:szCs w:val="14"/>
          <w:b w:val="1"/>
          <w:bCs w:val="1"/>
          <w:color w:val="auto"/>
        </w:rPr>
        <w:t>590 Madison Avenue</w:t>
      </w:r>
    </w:p>
    <w:p>
      <w:pPr>
        <w:jc w:val="center"/>
        <w:spacing w:after="0" w:line="221" w:lineRule="auto"/>
        <w:rPr>
          <w:sz w:val="20"/>
          <w:szCs w:val="20"/>
          <w:color w:val="auto"/>
        </w:rPr>
      </w:pPr>
      <w:r>
        <w:rPr>
          <w:rFonts w:ascii="Arial" w:cs="Arial" w:eastAsia="Arial" w:hAnsi="Arial"/>
          <w:sz w:val="14"/>
          <w:szCs w:val="14"/>
          <w:b w:val="1"/>
          <w:bCs w:val="1"/>
          <w:color w:val="auto"/>
        </w:rPr>
        <w:t>15th Floor</w:t>
      </w:r>
    </w:p>
    <w:p>
      <w:pPr>
        <w:jc w:val="center"/>
        <w:spacing w:after="0" w:line="222" w:lineRule="auto"/>
        <w:rPr>
          <w:sz w:val="20"/>
          <w:szCs w:val="20"/>
          <w:color w:val="auto"/>
        </w:rPr>
      </w:pPr>
      <w:r>
        <w:rPr>
          <w:rFonts w:ascii="Arial" w:cs="Arial" w:eastAsia="Arial" w:hAnsi="Arial"/>
          <w:sz w:val="14"/>
          <w:szCs w:val="14"/>
          <w:b w:val="1"/>
          <w:bCs w:val="1"/>
          <w:color w:val="auto"/>
        </w:rPr>
        <w:t>New York, NY 10022</w:t>
      </w: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60325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Copies to:</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Thomas Friedmann, Esq.</w:t>
      </w:r>
    </w:p>
    <w:p>
      <w:pPr>
        <w:jc w:val="center"/>
        <w:spacing w:after="0" w:line="223" w:lineRule="auto"/>
        <w:rPr>
          <w:sz w:val="20"/>
          <w:szCs w:val="20"/>
          <w:color w:val="auto"/>
        </w:rPr>
      </w:pPr>
      <w:r>
        <w:rPr>
          <w:rFonts w:ascii="Arial" w:cs="Arial" w:eastAsia="Arial" w:hAnsi="Arial"/>
          <w:sz w:val="14"/>
          <w:szCs w:val="14"/>
          <w:b w:val="1"/>
          <w:bCs w:val="1"/>
          <w:color w:val="auto"/>
        </w:rPr>
        <w:t>David Harris, Esq.</w:t>
      </w:r>
    </w:p>
    <w:p>
      <w:pPr>
        <w:jc w:val="center"/>
        <w:spacing w:after="0" w:line="222" w:lineRule="auto"/>
        <w:rPr>
          <w:sz w:val="20"/>
          <w:szCs w:val="20"/>
          <w:color w:val="auto"/>
        </w:rPr>
      </w:pPr>
      <w:r>
        <w:rPr>
          <w:rFonts w:ascii="Arial" w:cs="Arial" w:eastAsia="Arial" w:hAnsi="Arial"/>
          <w:sz w:val="14"/>
          <w:szCs w:val="14"/>
          <w:b w:val="1"/>
          <w:bCs w:val="1"/>
          <w:color w:val="auto"/>
        </w:rPr>
        <w:t>Dechert, LLP</w:t>
      </w:r>
    </w:p>
    <w:p>
      <w:pPr>
        <w:jc w:val="center"/>
        <w:spacing w:after="0" w:line="221" w:lineRule="auto"/>
        <w:rPr>
          <w:sz w:val="20"/>
          <w:szCs w:val="20"/>
          <w:color w:val="auto"/>
        </w:rPr>
      </w:pPr>
      <w:r>
        <w:rPr>
          <w:rFonts w:ascii="Arial" w:cs="Arial" w:eastAsia="Arial" w:hAnsi="Arial"/>
          <w:sz w:val="14"/>
          <w:szCs w:val="14"/>
          <w:b w:val="1"/>
          <w:bCs w:val="1"/>
          <w:color w:val="auto"/>
        </w:rPr>
        <w:t>1775 I Street, N.W.</w:t>
      </w:r>
    </w:p>
    <w:p>
      <w:pPr>
        <w:jc w:val="center"/>
        <w:spacing w:after="0" w:line="222" w:lineRule="auto"/>
        <w:rPr>
          <w:sz w:val="20"/>
          <w:szCs w:val="20"/>
          <w:color w:val="auto"/>
        </w:rPr>
      </w:pPr>
      <w:r>
        <w:rPr>
          <w:rFonts w:ascii="Arial" w:cs="Arial" w:eastAsia="Arial" w:hAnsi="Arial"/>
          <w:sz w:val="14"/>
          <w:szCs w:val="14"/>
          <w:b w:val="1"/>
          <w:bCs w:val="1"/>
          <w:color w:val="auto"/>
        </w:rPr>
        <w:t>Washington, DC 20006-2401</w:t>
      </w:r>
    </w:p>
    <w:p>
      <w:pPr>
        <w:jc w:val="center"/>
        <w:spacing w:after="0" w:line="221" w:lineRule="auto"/>
        <w:rPr>
          <w:sz w:val="20"/>
          <w:szCs w:val="20"/>
          <w:color w:val="auto"/>
        </w:rPr>
      </w:pPr>
      <w:r>
        <w:rPr>
          <w:rFonts w:ascii="Arial" w:cs="Arial" w:eastAsia="Arial" w:hAnsi="Arial"/>
          <w:sz w:val="14"/>
          <w:szCs w:val="14"/>
          <w:b w:val="1"/>
          <w:bCs w:val="1"/>
          <w:color w:val="auto"/>
        </w:rPr>
        <w:t>APPROXIMATE DATE OF PROPOSED PUBLIC OFFERING:</w:t>
      </w:r>
    </w:p>
    <w:p>
      <w:pPr>
        <w:jc w:val="center"/>
        <w:spacing w:after="0"/>
        <w:rPr>
          <w:sz w:val="20"/>
          <w:szCs w:val="20"/>
          <w:color w:val="auto"/>
        </w:rPr>
      </w:pPr>
      <w:r>
        <w:rPr>
          <w:rFonts w:ascii="Arial" w:cs="Arial" w:eastAsia="Arial" w:hAnsi="Arial"/>
          <w:sz w:val="14"/>
          <w:szCs w:val="14"/>
          <w:b w:val="1"/>
          <w:bCs w:val="1"/>
          <w:color w:val="auto"/>
        </w:rPr>
        <w:t>As soon as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60325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5" w:lineRule="exact"/>
        <w:rPr>
          <w:sz w:val="24"/>
          <w:szCs w:val="24"/>
          <w:color w:val="auto"/>
        </w:rPr>
      </w:pPr>
    </w:p>
    <w:p>
      <w:pPr>
        <w:ind w:right="200" w:firstLine="342"/>
        <w:spacing w:after="0" w:line="168" w:lineRule="exact"/>
        <w:rPr>
          <w:sz w:val="20"/>
          <w:szCs w:val="20"/>
          <w:color w:val="auto"/>
        </w:rPr>
      </w:pPr>
      <w:r>
        <w:rPr>
          <w:rFonts w:ascii="Arial" w:cs="Arial" w:eastAsia="Arial" w:hAnsi="Arial"/>
          <w:sz w:val="14"/>
          <w:szCs w:val="14"/>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360"/>
        <w:spacing w:after="0"/>
        <w:rPr>
          <w:sz w:val="20"/>
          <w:szCs w:val="20"/>
          <w:color w:val="auto"/>
        </w:rPr>
      </w:pPr>
      <w:r>
        <w:rPr>
          <w:rFonts w:ascii="Arial" w:cs="Arial" w:eastAsia="Arial" w:hAnsi="Arial"/>
          <w:sz w:val="14"/>
          <w:szCs w:val="14"/>
          <w:color w:val="auto"/>
        </w:rPr>
        <w:t>It is proposed that this filing will become effective (check appropriate box):</w:t>
      </w:r>
    </w:p>
    <w:p>
      <w:pPr>
        <w:spacing w:after="0" w:line="31" w:lineRule="exact"/>
        <w:rPr>
          <w:sz w:val="24"/>
          <w:szCs w:val="24"/>
          <w:color w:val="auto"/>
        </w:rPr>
      </w:pPr>
    </w:p>
    <w:p>
      <w:pPr>
        <w:ind w:left="540" w:hanging="190"/>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when declared effective pursuant to section 8(c).</w:t>
      </w:r>
    </w:p>
    <w:p>
      <w:pPr>
        <w:spacing w:after="0" w:line="41" w:lineRule="exact"/>
        <w:rPr>
          <w:rFonts w:ascii="MS PGothic" w:cs="MS PGothic" w:eastAsia="MS PGothic" w:hAnsi="MS PGothic"/>
          <w:sz w:val="14"/>
          <w:szCs w:val="14"/>
          <w:color w:val="auto"/>
        </w:rPr>
      </w:pPr>
    </w:p>
    <w:p>
      <w:pPr>
        <w:ind w:left="360"/>
        <w:spacing w:after="0"/>
        <w:rPr>
          <w:rFonts w:ascii="MS PGothic" w:cs="MS PGothic" w:eastAsia="MS PGothic" w:hAnsi="MS PGothic"/>
          <w:sz w:val="14"/>
          <w:szCs w:val="14"/>
          <w:color w:val="auto"/>
        </w:rPr>
      </w:pPr>
      <w:r>
        <w:rPr>
          <w:rFonts w:ascii="Arial" w:cs="Arial" w:eastAsia="Arial" w:hAnsi="Arial"/>
          <w:sz w:val="14"/>
          <w:szCs w:val="14"/>
          <w:color w:val="auto"/>
        </w:rPr>
        <w:t>If appropriate, check the following box:</w:t>
      </w:r>
    </w:p>
    <w:p>
      <w:pPr>
        <w:spacing w:after="0" w:line="16" w:lineRule="exact"/>
        <w:rPr>
          <w:rFonts w:ascii="MS PGothic" w:cs="MS PGothic" w:eastAsia="MS PGothic" w:hAnsi="MS PGothic"/>
          <w:sz w:val="14"/>
          <w:szCs w:val="14"/>
          <w:color w:val="auto"/>
        </w:rPr>
      </w:pPr>
    </w:p>
    <w:p>
      <w:pPr>
        <w:ind w:left="360"/>
        <w:spacing w:after="0" w:line="161" w:lineRule="exact"/>
        <w:rPr>
          <w:rFonts w:ascii="MS PGothic" w:cs="MS PGothic" w:eastAsia="MS PGothic" w:hAnsi="MS PGothic"/>
          <w:sz w:val="14"/>
          <w:szCs w:val="14"/>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This amendment designates a new effective date for a previously filed registration statement.</w:t>
      </w:r>
    </w:p>
    <w:p>
      <w:pPr>
        <w:spacing w:after="0" w:line="67" w:lineRule="exact"/>
        <w:rPr>
          <w:sz w:val="24"/>
          <w:szCs w:val="24"/>
          <w:color w:val="auto"/>
        </w:rPr>
      </w:pPr>
    </w:p>
    <w:p>
      <w:pPr>
        <w:ind w:right="20" w:firstLine="350"/>
        <w:spacing w:after="0" w:line="239" w:lineRule="auto"/>
        <w:tabs>
          <w:tab w:leader="none" w:pos="529"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This form is filed to register additional securities for an offering pursuant to Rule 462(b) under the Securities Act and the Securities Act registration statement number of the earlier effective registration statement for the same offering is</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 UNDER THE SECURITIES ACT OF 1933</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29"/>
        </w:trPr>
        <w:tc>
          <w:tcPr>
            <w:tcW w:w="20" w:type="dxa"/>
            <w:vAlign w:val="bottom"/>
          </w:tcPr>
          <w:p>
            <w:pPr>
              <w:spacing w:after="0"/>
              <w:rPr>
                <w:sz w:val="11"/>
                <w:szCs w:val="11"/>
                <w:color w:val="auto"/>
              </w:rPr>
            </w:pPr>
          </w:p>
        </w:tc>
        <w:tc>
          <w:tcPr>
            <w:tcW w:w="504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jc w:val="center"/>
              <w:ind w:left="12"/>
              <w:spacing w:after="0" w:line="129" w:lineRule="exact"/>
              <w:rPr>
                <w:sz w:val="20"/>
                <w:szCs w:val="20"/>
                <w:color w:val="auto"/>
              </w:rPr>
            </w:pPr>
            <w:r>
              <w:rPr>
                <w:rFonts w:ascii="Arial" w:cs="Arial" w:eastAsia="Arial" w:hAnsi="Arial"/>
                <w:sz w:val="14"/>
                <w:szCs w:val="14"/>
                <w:b w:val="1"/>
                <w:bCs w:val="1"/>
                <w:color w:val="auto"/>
                <w:w w:val="87"/>
              </w:rPr>
              <w:t>Proposed Maximum</w:t>
            </w:r>
          </w:p>
        </w:tc>
        <w:tc>
          <w:tcPr>
            <w:tcW w:w="1600" w:type="dxa"/>
            <w:vAlign w:val="bottom"/>
            <w:tcBorders>
              <w:right w:val="single" w:sz="8" w:color="auto"/>
            </w:tcBorders>
          </w:tcPr>
          <w:p>
            <w:pPr>
              <w:jc w:val="center"/>
              <w:ind w:left="15"/>
              <w:spacing w:after="0" w:line="129" w:lineRule="exact"/>
              <w:rPr>
                <w:sz w:val="20"/>
                <w:szCs w:val="20"/>
                <w:color w:val="auto"/>
              </w:rPr>
            </w:pPr>
            <w:r>
              <w:rPr>
                <w:rFonts w:ascii="Arial" w:cs="Arial" w:eastAsia="Arial" w:hAnsi="Arial"/>
                <w:sz w:val="14"/>
                <w:szCs w:val="14"/>
                <w:b w:val="1"/>
                <w:bCs w:val="1"/>
                <w:color w:val="auto"/>
                <w:w w:val="87"/>
              </w:rPr>
              <w:t>Proposed Maximum</w:t>
            </w:r>
          </w:p>
        </w:tc>
        <w:tc>
          <w:tcPr>
            <w:tcW w:w="1560" w:type="dxa"/>
            <w:vAlign w:val="bottom"/>
          </w:tcPr>
          <w:p>
            <w:pPr>
              <w:spacing w:after="0"/>
              <w:rPr>
                <w:sz w:val="11"/>
                <w:szCs w:val="11"/>
                <w:color w:val="auto"/>
              </w:rPr>
            </w:pPr>
          </w:p>
        </w:tc>
      </w:tr>
      <w:tr>
        <w:trPr>
          <w:trHeight w:val="162"/>
        </w:trPr>
        <w:tc>
          <w:tcPr>
            <w:tcW w:w="20" w:type="dxa"/>
            <w:vAlign w:val="bottom"/>
          </w:tcPr>
          <w:p>
            <w:pPr>
              <w:spacing w:after="0"/>
              <w:rPr>
                <w:sz w:val="14"/>
                <w:szCs w:val="14"/>
                <w:color w:val="auto"/>
              </w:rPr>
            </w:pPr>
          </w:p>
        </w:tc>
        <w:tc>
          <w:tcPr>
            <w:tcW w:w="504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7"/>
              </w:rPr>
              <w:t>Amount Being</w:t>
            </w:r>
          </w:p>
        </w:tc>
        <w:tc>
          <w:tcPr>
            <w:tcW w:w="1600" w:type="dxa"/>
            <w:vAlign w:val="bottom"/>
            <w:tcBorders>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90"/>
              </w:rPr>
              <w:t>Offering Price</w:t>
            </w:r>
          </w:p>
        </w:tc>
        <w:tc>
          <w:tcPr>
            <w:tcW w:w="1600" w:type="dxa"/>
            <w:vAlign w:val="bottom"/>
            <w:tcBorders>
              <w:right w:val="single" w:sz="8" w:color="auto"/>
            </w:tcBorders>
          </w:tcPr>
          <w:p>
            <w:pPr>
              <w:jc w:val="center"/>
              <w:ind w:left="15"/>
              <w:spacing w:after="0"/>
              <w:rPr>
                <w:sz w:val="20"/>
                <w:szCs w:val="20"/>
                <w:color w:val="auto"/>
              </w:rPr>
            </w:pPr>
            <w:r>
              <w:rPr>
                <w:rFonts w:ascii="Arial" w:cs="Arial" w:eastAsia="Arial" w:hAnsi="Arial"/>
                <w:sz w:val="14"/>
                <w:szCs w:val="14"/>
                <w:b w:val="1"/>
                <w:bCs w:val="1"/>
                <w:color w:val="auto"/>
                <w:w w:val="86"/>
              </w:rPr>
              <w:t>Aggregate</w:t>
            </w:r>
          </w:p>
        </w:tc>
        <w:tc>
          <w:tcPr>
            <w:tcW w:w="1560" w:type="dxa"/>
            <w:vAlign w:val="bottom"/>
          </w:tcPr>
          <w:p>
            <w:pPr>
              <w:jc w:val="center"/>
              <w:ind w:left="36"/>
              <w:spacing w:after="0"/>
              <w:rPr>
                <w:sz w:val="20"/>
                <w:szCs w:val="20"/>
                <w:color w:val="auto"/>
              </w:rPr>
            </w:pPr>
            <w:r>
              <w:rPr>
                <w:rFonts w:ascii="Arial" w:cs="Arial" w:eastAsia="Arial" w:hAnsi="Arial"/>
                <w:sz w:val="14"/>
                <w:szCs w:val="14"/>
                <w:b w:val="1"/>
                <w:bCs w:val="1"/>
                <w:color w:val="auto"/>
                <w:w w:val="88"/>
              </w:rPr>
              <w:t>Amount of</w:t>
            </w:r>
          </w:p>
        </w:tc>
      </w:tr>
      <w:tr>
        <w:trPr>
          <w:trHeight w:val="176"/>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ind w:left="1480"/>
              <w:spacing w:after="0"/>
              <w:rPr>
                <w:sz w:val="20"/>
                <w:szCs w:val="20"/>
                <w:color w:val="auto"/>
              </w:rPr>
            </w:pPr>
            <w:r>
              <w:rPr>
                <w:rFonts w:ascii="Arial" w:cs="Arial" w:eastAsia="Arial" w:hAnsi="Arial"/>
                <w:sz w:val="14"/>
                <w:szCs w:val="14"/>
                <w:b w:val="1"/>
                <w:bCs w:val="1"/>
                <w:color w:val="auto"/>
              </w:rPr>
              <w:t>Title of Securities Being Registered</w:t>
            </w:r>
          </w:p>
        </w:tc>
        <w:tc>
          <w:tcPr>
            <w:tcW w:w="160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2"/>
              </w:rPr>
              <w:t>Registered</w:t>
            </w:r>
          </w:p>
        </w:tc>
        <w:tc>
          <w:tcPr>
            <w:tcW w:w="160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9"/>
              </w:rPr>
              <w:t>Per Unit</w:t>
            </w:r>
          </w:p>
        </w:tc>
        <w:tc>
          <w:tcPr>
            <w:tcW w:w="1600" w:type="dxa"/>
            <w:vAlign w:val="bottom"/>
            <w:tcBorders>
              <w:bottom w:val="single" w:sz="8" w:color="auto"/>
              <w:right w:val="single" w:sz="8" w:color="auto"/>
            </w:tcBorders>
          </w:tcPr>
          <w:p>
            <w:pPr>
              <w:jc w:val="center"/>
              <w:ind w:left="15"/>
              <w:spacing w:after="0" w:line="176" w:lineRule="exact"/>
              <w:rPr>
                <w:sz w:val="20"/>
                <w:szCs w:val="20"/>
                <w:color w:val="auto"/>
              </w:rPr>
            </w:pPr>
            <w:r>
              <w:rPr>
                <w:rFonts w:ascii="Arial" w:cs="Arial" w:eastAsia="Arial" w:hAnsi="Arial"/>
                <w:sz w:val="13"/>
                <w:szCs w:val="13"/>
                <w:b w:val="1"/>
                <w:bCs w:val="1"/>
                <w:color w:val="auto"/>
                <w:w w:val="93"/>
              </w:rPr>
              <w:t>Offering Price</w:t>
            </w:r>
            <w:r>
              <w:rPr>
                <w:rFonts w:ascii="Arial" w:cs="Arial" w:eastAsia="Arial" w:hAnsi="Arial"/>
                <w:sz w:val="20"/>
                <w:szCs w:val="20"/>
                <w:b w:val="1"/>
                <w:bCs w:val="1"/>
                <w:color w:val="auto"/>
                <w:w w:val="93"/>
                <w:vertAlign w:val="superscript"/>
              </w:rPr>
              <w:t>(1)</w:t>
            </w:r>
          </w:p>
        </w:tc>
        <w:tc>
          <w:tcPr>
            <w:tcW w:w="1560" w:type="dxa"/>
            <w:vAlign w:val="bottom"/>
            <w:tcBorders>
              <w:bottom w:val="single" w:sz="8" w:color="auto"/>
            </w:tcBorders>
          </w:tcPr>
          <w:p>
            <w:pPr>
              <w:jc w:val="center"/>
              <w:ind w:left="16"/>
              <w:spacing w:after="0" w:line="176" w:lineRule="exact"/>
              <w:rPr>
                <w:sz w:val="20"/>
                <w:szCs w:val="20"/>
                <w:color w:val="auto"/>
              </w:rPr>
            </w:pPr>
            <w:r>
              <w:rPr>
                <w:rFonts w:ascii="Arial" w:cs="Arial" w:eastAsia="Arial" w:hAnsi="Arial"/>
                <w:sz w:val="13"/>
                <w:szCs w:val="13"/>
                <w:b w:val="1"/>
                <w:bCs w:val="1"/>
                <w:color w:val="auto"/>
                <w:w w:val="91"/>
              </w:rPr>
              <w:t>Registration Fee</w:t>
            </w:r>
            <w:r>
              <w:rPr>
                <w:rFonts w:ascii="Arial" w:cs="Arial" w:eastAsia="Arial" w:hAnsi="Arial"/>
                <w:sz w:val="20"/>
                <w:szCs w:val="20"/>
                <w:b w:val="1"/>
                <w:bCs w:val="1"/>
                <w:color w:val="auto"/>
                <w:w w:val="91"/>
                <w:vertAlign w:val="superscript"/>
              </w:rPr>
              <w:t>(1)</w:t>
            </w:r>
          </w:p>
        </w:tc>
      </w:tr>
      <w:tr>
        <w:trPr>
          <w:trHeight w:val="169"/>
        </w:trPr>
        <w:tc>
          <w:tcPr>
            <w:tcW w:w="20" w:type="dxa"/>
            <w:vAlign w:val="bottom"/>
            <w:tcBorders>
              <w:bottom w:val="single" w:sz="8" w:color="auto"/>
            </w:tcBorders>
          </w:tcPr>
          <w:p>
            <w:pPr>
              <w:spacing w:after="0"/>
              <w:rPr>
                <w:sz w:val="14"/>
                <w:szCs w:val="14"/>
                <w:color w:val="auto"/>
              </w:rPr>
            </w:pPr>
          </w:p>
        </w:tc>
        <w:tc>
          <w:tcPr>
            <w:tcW w:w="5040" w:type="dxa"/>
            <w:vAlign w:val="bottom"/>
            <w:tcBorders>
              <w:bottom w:val="single" w:sz="8" w:color="auto"/>
              <w:right w:val="single" w:sz="8" w:color="auto"/>
            </w:tcBorders>
          </w:tcPr>
          <w:p>
            <w:pPr>
              <w:spacing w:after="0" w:line="169" w:lineRule="exact"/>
              <w:rPr>
                <w:sz w:val="20"/>
                <w:szCs w:val="20"/>
                <w:color w:val="auto"/>
              </w:rPr>
            </w:pPr>
            <w:r>
              <w:rPr>
                <w:rFonts w:ascii="Arial" w:cs="Arial" w:eastAsia="Arial" w:hAnsi="Arial"/>
                <w:sz w:val="12"/>
                <w:szCs w:val="12"/>
                <w:color w:val="auto"/>
              </w:rPr>
              <w:t>Common Stock, $0.001 par value</w:t>
            </w:r>
            <w:r>
              <w:rPr>
                <w:rFonts w:ascii="Arial" w:cs="Arial" w:eastAsia="Arial" w:hAnsi="Arial"/>
                <w:sz w:val="19"/>
                <w:szCs w:val="19"/>
                <w:color w:val="auto"/>
                <w:vertAlign w:val="superscript"/>
              </w:rPr>
              <w:t>(2)</w:t>
            </w:r>
          </w:p>
        </w:tc>
        <w:tc>
          <w:tcPr>
            <w:tcW w:w="160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jc w:val="right"/>
              <w:ind w:right="852"/>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right w:val="single" w:sz="8" w:color="auto"/>
            </w:tcBorders>
          </w:tcPr>
          <w:p>
            <w:pPr>
              <w:jc w:val="right"/>
              <w:ind w:right="855"/>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color w:val="auto"/>
              </w:rPr>
              <w:t>$</w:t>
            </w:r>
          </w:p>
        </w:tc>
      </w:tr>
      <w:tr>
        <w:trPr>
          <w:trHeight w:val="169"/>
        </w:trPr>
        <w:tc>
          <w:tcPr>
            <w:tcW w:w="5060" w:type="dxa"/>
            <w:vAlign w:val="bottom"/>
            <w:tcBorders>
              <w:bottom w:val="single" w:sz="8" w:color="auto"/>
              <w:right w:val="single" w:sz="8" w:color="auto"/>
            </w:tcBorders>
            <w:gridSpan w:val="2"/>
          </w:tcPr>
          <w:p>
            <w:pPr>
              <w:spacing w:after="0" w:line="169" w:lineRule="exact"/>
              <w:rPr>
                <w:sz w:val="20"/>
                <w:szCs w:val="20"/>
                <w:color w:val="auto"/>
              </w:rPr>
            </w:pPr>
            <w:r>
              <w:rPr>
                <w:rFonts w:ascii="Arial" w:cs="Arial" w:eastAsia="Arial" w:hAnsi="Arial"/>
                <w:sz w:val="12"/>
                <w:szCs w:val="12"/>
                <w:color w:val="auto"/>
              </w:rPr>
              <w:t>Preferred Stock, $0.001 par value</w:t>
            </w:r>
            <w:r>
              <w:rPr>
                <w:rFonts w:ascii="Arial" w:cs="Arial" w:eastAsia="Arial" w:hAnsi="Arial"/>
                <w:sz w:val="19"/>
                <w:szCs w:val="19"/>
                <w:color w:val="auto"/>
                <w:vertAlign w:val="superscript"/>
              </w:rPr>
              <w:t>(2)</w:t>
            </w:r>
          </w:p>
        </w:tc>
        <w:tc>
          <w:tcPr>
            <w:tcW w:w="160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r>
      <w:tr>
        <w:trPr>
          <w:trHeight w:val="169"/>
        </w:trPr>
        <w:tc>
          <w:tcPr>
            <w:tcW w:w="5060" w:type="dxa"/>
            <w:vAlign w:val="bottom"/>
            <w:tcBorders>
              <w:bottom w:val="single" w:sz="8" w:color="auto"/>
              <w:right w:val="single" w:sz="8" w:color="auto"/>
            </w:tcBorders>
            <w:gridSpan w:val="2"/>
          </w:tcPr>
          <w:p>
            <w:pPr>
              <w:spacing w:after="0" w:line="169" w:lineRule="exact"/>
              <w:rPr>
                <w:sz w:val="20"/>
                <w:szCs w:val="20"/>
                <w:color w:val="auto"/>
              </w:rPr>
            </w:pPr>
            <w:r>
              <w:rPr>
                <w:rFonts w:ascii="Arial" w:cs="Arial" w:eastAsia="Arial" w:hAnsi="Arial"/>
                <w:sz w:val="12"/>
                <w:szCs w:val="12"/>
                <w:color w:val="auto"/>
              </w:rPr>
              <w:t>Warrants</w:t>
            </w:r>
            <w:r>
              <w:rPr>
                <w:rFonts w:ascii="Arial" w:cs="Arial" w:eastAsia="Arial" w:hAnsi="Arial"/>
                <w:sz w:val="19"/>
                <w:szCs w:val="19"/>
                <w:color w:val="auto"/>
                <w:vertAlign w:val="superscript"/>
              </w:rPr>
              <w:t>(3)</w:t>
            </w:r>
          </w:p>
        </w:tc>
        <w:tc>
          <w:tcPr>
            <w:tcW w:w="160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r>
      <w:tr>
        <w:trPr>
          <w:trHeight w:val="169"/>
        </w:trPr>
        <w:tc>
          <w:tcPr>
            <w:tcW w:w="5060" w:type="dxa"/>
            <w:vAlign w:val="bottom"/>
            <w:tcBorders>
              <w:bottom w:val="single" w:sz="8" w:color="auto"/>
              <w:right w:val="single" w:sz="8" w:color="auto"/>
            </w:tcBorders>
            <w:gridSpan w:val="2"/>
          </w:tcPr>
          <w:p>
            <w:pPr>
              <w:spacing w:after="0" w:line="169" w:lineRule="exact"/>
              <w:rPr>
                <w:sz w:val="20"/>
                <w:szCs w:val="20"/>
                <w:color w:val="auto"/>
              </w:rPr>
            </w:pPr>
            <w:r>
              <w:rPr>
                <w:rFonts w:ascii="Arial" w:cs="Arial" w:eastAsia="Arial" w:hAnsi="Arial"/>
                <w:sz w:val="12"/>
                <w:szCs w:val="12"/>
                <w:color w:val="auto"/>
              </w:rPr>
              <w:t>Subscription Rights</w:t>
            </w:r>
            <w:r>
              <w:rPr>
                <w:rFonts w:ascii="Arial" w:cs="Arial" w:eastAsia="Arial" w:hAnsi="Arial"/>
                <w:sz w:val="19"/>
                <w:szCs w:val="19"/>
                <w:color w:val="auto"/>
                <w:vertAlign w:val="superscript"/>
              </w:rPr>
              <w:t>(4)</w:t>
            </w:r>
          </w:p>
        </w:tc>
        <w:tc>
          <w:tcPr>
            <w:tcW w:w="160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r>
      <w:tr>
        <w:trPr>
          <w:trHeight w:val="169"/>
        </w:trPr>
        <w:tc>
          <w:tcPr>
            <w:tcW w:w="5060" w:type="dxa"/>
            <w:vAlign w:val="bottom"/>
            <w:tcBorders>
              <w:bottom w:val="single" w:sz="8" w:color="auto"/>
              <w:right w:val="single" w:sz="8" w:color="auto"/>
            </w:tcBorders>
            <w:gridSpan w:val="2"/>
          </w:tcPr>
          <w:p>
            <w:pPr>
              <w:spacing w:after="0" w:line="169" w:lineRule="exact"/>
              <w:rPr>
                <w:sz w:val="20"/>
                <w:szCs w:val="20"/>
                <w:color w:val="auto"/>
              </w:rPr>
            </w:pPr>
            <w:r>
              <w:rPr>
                <w:rFonts w:ascii="Arial" w:cs="Arial" w:eastAsia="Arial" w:hAnsi="Arial"/>
                <w:sz w:val="12"/>
                <w:szCs w:val="12"/>
                <w:color w:val="auto"/>
              </w:rPr>
              <w:t>Debt Securities</w:t>
            </w:r>
            <w:r>
              <w:rPr>
                <w:rFonts w:ascii="Arial" w:cs="Arial" w:eastAsia="Arial" w:hAnsi="Arial"/>
                <w:sz w:val="19"/>
                <w:szCs w:val="19"/>
                <w:color w:val="auto"/>
                <w:vertAlign w:val="superscript"/>
              </w:rPr>
              <w:t>(5)</w:t>
            </w:r>
          </w:p>
        </w:tc>
        <w:tc>
          <w:tcPr>
            <w:tcW w:w="160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r>
      <w:tr>
        <w:trPr>
          <w:trHeight w:val="169"/>
        </w:trPr>
        <w:tc>
          <w:tcPr>
            <w:tcW w:w="506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Total</w:t>
            </w:r>
          </w:p>
        </w:tc>
        <w:tc>
          <w:tcPr>
            <w:tcW w:w="160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jc w:val="center"/>
              <w:ind w:left="15"/>
              <w:spacing w:after="0" w:line="169" w:lineRule="exact"/>
              <w:rPr>
                <w:sz w:val="20"/>
                <w:szCs w:val="20"/>
                <w:color w:val="auto"/>
              </w:rPr>
            </w:pPr>
            <w:r>
              <w:rPr>
                <w:rFonts w:ascii="Arial" w:cs="Arial" w:eastAsia="Arial" w:hAnsi="Arial"/>
                <w:sz w:val="12"/>
                <w:szCs w:val="12"/>
                <w:color w:val="auto"/>
                <w:w w:val="97"/>
              </w:rPr>
              <w:t>250,000,000</w:t>
            </w:r>
            <w:r>
              <w:rPr>
                <w:rFonts w:ascii="Arial" w:cs="Arial" w:eastAsia="Arial" w:hAnsi="Arial"/>
                <w:sz w:val="19"/>
                <w:szCs w:val="19"/>
                <w:color w:val="auto"/>
                <w:w w:val="97"/>
                <w:vertAlign w:val="superscript"/>
              </w:rPr>
              <w:t>(6)</w:t>
            </w:r>
          </w:p>
        </w:tc>
        <w:tc>
          <w:tcPr>
            <w:tcW w:w="1560" w:type="dxa"/>
            <w:vAlign w:val="bottom"/>
          </w:tcPr>
          <w:p>
            <w:pPr>
              <w:jc w:val="center"/>
              <w:ind w:left="16"/>
              <w:spacing w:after="0" w:line="169" w:lineRule="exact"/>
              <w:rPr>
                <w:sz w:val="20"/>
                <w:szCs w:val="20"/>
                <w:color w:val="auto"/>
              </w:rPr>
            </w:pPr>
            <w:r>
              <w:rPr>
                <w:rFonts w:ascii="Arial" w:cs="Arial" w:eastAsia="Arial" w:hAnsi="Arial"/>
                <w:sz w:val="12"/>
                <w:szCs w:val="12"/>
                <w:color w:val="auto"/>
                <w:w w:val="96"/>
              </w:rPr>
              <w:t>9,825</w:t>
            </w:r>
            <w:r>
              <w:rPr>
                <w:rFonts w:ascii="Arial" w:cs="Arial" w:eastAsia="Arial" w:hAnsi="Arial"/>
                <w:sz w:val="19"/>
                <w:szCs w:val="19"/>
                <w:color w:val="auto"/>
                <w:w w:val="96"/>
                <w:vertAlign w:val="superscript"/>
              </w:rPr>
              <w:t>(7)</w:t>
            </w: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3" w:lineRule="exact"/>
        <w:rPr>
          <w:sz w:val="24"/>
          <w:szCs w:val="24"/>
          <w:color w:val="auto"/>
        </w:rPr>
      </w:pPr>
    </w:p>
    <w:p>
      <w:pPr>
        <w:ind w:left="340" w:right="220" w:hanging="332"/>
        <w:spacing w:after="0" w:line="230"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Estimated pursuant to Rule 457 solely for the purposes of determining the registration fee. The proposed maximum offering price per security will be determined, from time to time, by the Registrant in connection with the sale by the Registrant of the securities registered under this registration statement.</w:t>
      </w:r>
    </w:p>
    <w:p>
      <w:pPr>
        <w:ind w:left="34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Subject to Note 6 below, there is being registered hereunder an indeterminate number of shares of common stock or preferred stock as may be sold, from time to time.</w:t>
      </w:r>
    </w:p>
    <w:p>
      <w:pPr>
        <w:ind w:left="340" w:right="12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Subject to Note 6 below, there is being registered hereunder an indeterminate number of warrants as may be sold, from time to time, representing rights to purchase common stock, preferred stock or debt securities.</w:t>
      </w:r>
    </w:p>
    <w:p>
      <w:pPr>
        <w:ind w:left="340" w:hanging="332"/>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Subject to Note 6 below, there is being registered hereunder an indeterminate number of subscription rights as may be sold, from time to time, representing rights to purchase common stock.</w:t>
      </w:r>
    </w:p>
    <w:p>
      <w:pPr>
        <w:spacing w:after="0" w:line="10" w:lineRule="exact"/>
        <w:rPr>
          <w:rFonts w:ascii="Arial" w:cs="Arial" w:eastAsia="Arial" w:hAnsi="Arial"/>
          <w:sz w:val="12"/>
          <w:szCs w:val="12"/>
          <w:color w:val="auto"/>
        </w:rPr>
      </w:pPr>
    </w:p>
    <w:p>
      <w:pPr>
        <w:ind w:left="340" w:right="320" w:hanging="332"/>
        <w:spacing w:after="0" w:line="258"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Subject to Note 6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$250,000,000.</w:t>
      </w:r>
    </w:p>
    <w:p>
      <w:pPr>
        <w:ind w:left="34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no event will the aggregate offering price of all securities issued from time to time pursuant to this registration statement exceed $250,000,000.</w:t>
      </w: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Fee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68580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6" w:lineRule="exact"/>
        <w:rPr>
          <w:sz w:val="24"/>
          <w:szCs w:val="24"/>
          <w:color w:val="auto"/>
        </w:rPr>
      </w:pPr>
    </w:p>
    <w:p>
      <w:pPr>
        <w:ind w:right="380" w:firstLine="342"/>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the Registration Statement shall thereafter become effective in accordance with Section 8(a) of the Securities Act of 1933 or until the Registration Statement shall become effective on such dates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and sale is not permitted.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DE1A1E"/>
        </w:rPr>
        <w:t>Subject to Completion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September 5, 2008</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127000</wp:posOffset>
            </wp:positionV>
            <wp:extent cx="2470150" cy="523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7015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Preferred Stock</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Warrants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Subscription Rights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122555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9" w:lineRule="exact"/>
        <w:rPr>
          <w:sz w:val="20"/>
          <w:szCs w:val="20"/>
          <w:color w:val="auto"/>
        </w:rPr>
      </w:pPr>
    </w:p>
    <w:p>
      <w:pPr>
        <w:ind w:right="300" w:firstLine="456"/>
        <w:spacing w:after="0" w:line="357" w:lineRule="auto"/>
        <w:rPr>
          <w:sz w:val="20"/>
          <w:szCs w:val="20"/>
          <w:color w:val="auto"/>
        </w:rPr>
      </w:pPr>
      <w:r>
        <w:rPr>
          <w:rFonts w:ascii="Arial" w:cs="Arial" w:eastAsia="Arial" w:hAnsi="Arial"/>
          <w:sz w:val="15"/>
          <w:szCs w:val="15"/>
          <w:color w:val="auto"/>
        </w:rPr>
        <w:t>PennantPark Investment Corporation, a Maryland corporation organized on January 11, 2007, is a closed-end, externally managed, non-diversified investment company that has elected to be treated as a business development company, or BDC under the Investment Company Act of 1940 (the “1940 Act”).</w:t>
      </w:r>
    </w:p>
    <w:p>
      <w:pPr>
        <w:ind w:right="240" w:firstLine="456"/>
        <w:spacing w:after="0" w:line="298"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subordinated debt, second lien secured debt and, to a lesser extent, equity investments. We fund a portion of our investments with borrowed money, a practice commonly known as leverage. We can offer no assurances that we will achieve our investment objectives.</w:t>
      </w:r>
    </w:p>
    <w:p>
      <w:pPr>
        <w:spacing w:after="0" w:line="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5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may offer, from time to time, in one or more offerings or series, together or separately, up to $250,000,000 of our common stock, preferred stock, debt securities, warrants representing rights to purchase shares of our common stock, preferred stock or debt securities or subscription rights, which we refer to, collectively, as the “securities.” The securities may be offered at prices and on terms to be described in one or more supplements to this prospectus. In the event we offer common stock, the offering price per share of our common stock less any underwriting commissions or discounts will not be less than the net value per share of our common stock at the time we make the offering except (1) in connection with a rights offering to our existing stockholders, (2) with the consent of the majority of our common stockholders, or (3) under such circumstances as the Securities and Exchange Commission, or the SEC, may permit.</w:t>
      </w:r>
    </w:p>
    <w:p>
      <w:pPr>
        <w:spacing w:after="0" w:line="39"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Our common stock has been approved for quotation on NASDAQ under the symbol “PNNT”. The last reported closing price for our common stock on September 2, 2008 was $8.22 per share.</w:t>
      </w:r>
    </w:p>
    <w:p>
      <w:pPr>
        <w:spacing w:after="0" w:line="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This prospectus and any accompanying prospectus supplement contains important information you should know before investing in our securities. Please read them before you invest and keep them for future reference. We file annual, quarterly and current reports, proxy statements and other information with the Securities and Exchange Commission. This information is available free of charge by contacting us at 590 Madison Avenue, New York, NY 10022 or by telephone at (212) 905-1000 or on our website at </w:t>
      </w:r>
      <w:r>
        <w:rPr>
          <w:rFonts w:ascii="Arial" w:cs="Arial" w:eastAsia="Arial" w:hAnsi="Arial"/>
          <w:sz w:val="18"/>
          <w:szCs w:val="18"/>
          <w:i w:val="1"/>
          <w:iCs w:val="1"/>
          <w:color w:val="auto"/>
        </w:rPr>
        <w:t>www.pennantpark.com.</w:t>
      </w:r>
      <w:r>
        <w:rPr>
          <w:rFonts w:ascii="Arial" w:cs="Arial" w:eastAsia="Arial" w:hAnsi="Arial"/>
          <w:sz w:val="18"/>
          <w:szCs w:val="18"/>
          <w:color w:val="auto"/>
        </w:rPr>
        <w:t xml:space="preserve"> The SEC also maintains a website at www.sec.gov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0"/>
          <w:szCs w:val="20"/>
          <w:color w:val="auto"/>
        </w:rPr>
      </w:pPr>
    </w:p>
    <w:p>
      <w:pPr>
        <w:ind w:right="140" w:firstLine="456"/>
        <w:spacing w:after="0" w:line="339"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securities involves a high degree of risk, including the risk of the use of leverage. Before buying any shares of our common stock, you should read the discussion of the material risks of investing in the Company in “</w:t>
      </w:r>
      <w:hyperlink w:anchor="page12">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8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9" w:lineRule="exact"/>
        <w:rPr>
          <w:sz w:val="20"/>
          <w:szCs w:val="20"/>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64770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dated (September 5, 2008)</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60" w:type="dxa"/>
            <w:vAlign w:val="bottom"/>
            <w:gridSpan w:val="34"/>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1060" w:type="dxa"/>
            <w:vAlign w:val="bottom"/>
            <w:gridSpan w:val="34"/>
            <w:vMerge w:val="continue"/>
          </w:tcPr>
          <w:p>
            <w:pPr>
              <w:spacing w:after="0"/>
              <w:rPr>
                <w:sz w:val="14"/>
                <w:szCs w:val="14"/>
                <w:color w:val="auto"/>
              </w:rPr>
            </w:pPr>
          </w:p>
        </w:tc>
        <w:tc>
          <w:tcPr>
            <w:tcW w:w="3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3"/>
          </w:tcPr>
          <w:p>
            <w:pPr>
              <w:spacing w:after="0"/>
              <w:rPr>
                <w:sz w:val="17"/>
                <w:szCs w:val="17"/>
                <w:color w:val="auto"/>
              </w:rPr>
            </w:pPr>
          </w:p>
        </w:tc>
        <w:tc>
          <w:tcPr>
            <w:tcW w:w="9020" w:type="dxa"/>
            <w:vAlign w:val="bottom"/>
            <w:gridSpan w:val="2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FORWARD-LOOKING STATEMENTS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USE OF PROCEEDS</w:t>
              </w:r>
            </w:hyperlink>
          </w:p>
        </w:tc>
        <w:tc>
          <w:tcPr>
            <w:tcW w:w="8200" w:type="dxa"/>
            <w:vAlign w:val="bottom"/>
            <w:gridSpan w:val="1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w:anchor="page32">
              <w:r>
                <w:rPr>
                  <w:rFonts w:ascii="Arial" w:cs="Arial" w:eastAsia="Arial" w:hAnsi="Arial"/>
                  <w:sz w:val="18"/>
                  <w:szCs w:val="18"/>
                  <w:color w:val="0000EE"/>
                  <w:w w:val="95"/>
                </w:rPr>
                <w:t>SELECTED FINANCIAL DATA</w:t>
              </w:r>
            </w:hyperlink>
          </w:p>
        </w:tc>
        <w:tc>
          <w:tcPr>
            <w:tcW w:w="8680" w:type="dxa"/>
            <w:vAlign w:val="bottom"/>
            <w:gridSpan w:val="1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DISTRIBUTIONS</w:t>
              </w:r>
            </w:hyperlink>
          </w:p>
        </w:tc>
        <w:tc>
          <w:tcPr>
            <w:tcW w:w="9720" w:type="dxa"/>
            <w:vAlign w:val="bottom"/>
            <w:gridSpan w:val="2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MANAGEMENT’S DISCUSSION AND ANALYSIS OF FINANCIAL CONDITION AND RESULTS OF OPERATIONS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290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2"/>
              </w:rPr>
            </w:pPr>
            <w:hyperlink w:anchor="page45">
              <w:r>
                <w:rPr>
                  <w:rFonts w:ascii="Arial" w:cs="Arial" w:eastAsia="Arial" w:hAnsi="Arial"/>
                  <w:sz w:val="18"/>
                  <w:szCs w:val="18"/>
                  <w:color w:val="0000EE"/>
                  <w:w w:val="92"/>
                </w:rPr>
                <w:t>PRICE RANGE OF COMMON STOCK</w:t>
              </w:r>
            </w:hyperlink>
          </w:p>
        </w:tc>
        <w:tc>
          <w:tcPr>
            <w:tcW w:w="5800" w:type="dxa"/>
            <w:vAlign w:val="bottom"/>
            <w:tcBorders>
              <w:top w:val="single" w:sz="8" w:color="0000EE"/>
            </w:tcBorders>
            <w:gridSpan w:val="14"/>
          </w:tcPr>
          <w:p>
            <w:pPr>
              <w:spacing w:after="0"/>
              <w:rPr>
                <w:sz w:val="17"/>
                <w:szCs w:val="17"/>
                <w:color w:val="auto"/>
              </w:rPr>
            </w:pPr>
          </w:p>
        </w:tc>
        <w:tc>
          <w:tcPr>
            <w:tcW w:w="236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BUSINESS</w:t>
              </w:r>
            </w:hyperlink>
          </w:p>
        </w:tc>
        <w:tc>
          <w:tcPr>
            <w:tcW w:w="10220" w:type="dxa"/>
            <w:vAlign w:val="bottom"/>
            <w:gridSpan w:val="3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SENIOR SECURITIES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INVESTMENT OBJECTIVES AND POLICIES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PORTFOLIO COMPANIES</w:t>
              </w:r>
            </w:hyperlink>
          </w:p>
        </w:tc>
        <w:tc>
          <w:tcPr>
            <w:tcW w:w="762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7"/>
              </w:rPr>
            </w:pPr>
            <w:hyperlink w:anchor="page65">
              <w:r>
                <w:rPr>
                  <w:rFonts w:ascii="Arial" w:cs="Arial" w:eastAsia="Arial" w:hAnsi="Arial"/>
                  <w:sz w:val="18"/>
                  <w:szCs w:val="18"/>
                  <w:color w:val="0000EE"/>
                  <w:w w:val="97"/>
                </w:rPr>
                <w:t>MANAGEMENT</w:t>
              </w:r>
            </w:hyperlink>
          </w:p>
        </w:tc>
        <w:tc>
          <w:tcPr>
            <w:tcW w:w="720" w:type="dxa"/>
            <w:vAlign w:val="bottom"/>
            <w:tcBorders>
              <w:top w:val="single" w:sz="8" w:color="0000EE"/>
            </w:tcBorders>
            <w:gridSpan w:val="7"/>
          </w:tcPr>
          <w:p>
            <w:pPr>
              <w:spacing w:after="0"/>
              <w:rPr>
                <w:sz w:val="17"/>
                <w:szCs w:val="17"/>
                <w:color w:val="auto"/>
              </w:rPr>
            </w:pPr>
          </w:p>
        </w:tc>
        <w:tc>
          <w:tcPr>
            <w:tcW w:w="9060" w:type="dxa"/>
            <w:vAlign w:val="bottom"/>
            <w:gridSpan w:val="2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w:anchor="page69">
              <w:r>
                <w:rPr>
                  <w:rFonts w:ascii="Arial" w:cs="Arial" w:eastAsia="Arial" w:hAnsi="Arial"/>
                  <w:sz w:val="18"/>
                  <w:szCs w:val="18"/>
                  <w:color w:val="0000EE"/>
                  <w:w w:val="92"/>
                </w:rPr>
                <w:t>CONTROL PERSONS AND PRINCIPAL STOCKHOLDERS</w:t>
              </w:r>
            </w:hyperlink>
          </w:p>
        </w:tc>
        <w:tc>
          <w:tcPr>
            <w:tcW w:w="662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CERTAIN RELATIONSHIPS AND TRANSACTIONS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330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4"/>
              </w:rPr>
            </w:pPr>
            <w:hyperlink w:anchor="page76">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gridSpan w:val="6"/>
          </w:tcPr>
          <w:p>
            <w:pPr>
              <w:spacing w:after="0"/>
              <w:rPr>
                <w:sz w:val="17"/>
                <w:szCs w:val="17"/>
                <w:color w:val="auto"/>
              </w:rPr>
            </w:pPr>
          </w:p>
        </w:tc>
        <w:tc>
          <w:tcPr>
            <w:tcW w:w="7140" w:type="dxa"/>
            <w:vAlign w:val="bottom"/>
            <w:gridSpan w:val="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w:anchor="page79">
              <w:r>
                <w:rPr>
                  <w:rFonts w:ascii="Arial" w:cs="Arial" w:eastAsia="Arial" w:hAnsi="Arial"/>
                  <w:sz w:val="18"/>
                  <w:szCs w:val="18"/>
                  <w:color w:val="0000EE"/>
                  <w:w w:val="96"/>
                </w:rPr>
                <w:t>DIVIDEND REINVESTMENT PLAN</w:t>
              </w:r>
            </w:hyperlink>
          </w:p>
        </w:tc>
        <w:tc>
          <w:tcPr>
            <w:tcW w:w="8300" w:type="dxa"/>
            <w:vAlign w:val="bottom"/>
            <w:gridSpan w:val="1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w:anchor="page80">
              <w:r>
                <w:rPr>
                  <w:rFonts w:ascii="Arial" w:cs="Arial" w:eastAsia="Arial" w:hAnsi="Arial"/>
                  <w:sz w:val="18"/>
                  <w:szCs w:val="18"/>
                  <w:color w:val="0000EE"/>
                  <w:w w:val="92"/>
                </w:rPr>
                <w:t>DESCRIPTION OF OUR CAPITAL STOCK</w:t>
              </w:r>
            </w:hyperlink>
          </w:p>
        </w:tc>
        <w:tc>
          <w:tcPr>
            <w:tcW w:w="7840" w:type="dxa"/>
            <w:vAlign w:val="bottom"/>
            <w:gridSpan w:val="1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DESCRIPTION OF OUR PREFERRED STOCK</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34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DESCRIPTION OF OUR WARRANTS</w:t>
              </w:r>
            </w:hyperlink>
          </w:p>
        </w:tc>
        <w:tc>
          <w:tcPr>
            <w:tcW w:w="7580" w:type="dxa"/>
            <w:vAlign w:val="bottom"/>
            <w:gridSpan w:val="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DESCRIPTION OF OUR SUBSCRIPTION RIGHTS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2"/>
              </w:rPr>
            </w:pPr>
            <w:hyperlink w:anchor="page90">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3"/>
          </w:tcPr>
          <w:p>
            <w:pPr>
              <w:spacing w:after="0"/>
              <w:rPr>
                <w:sz w:val="17"/>
                <w:szCs w:val="17"/>
                <w:color w:val="auto"/>
              </w:rPr>
            </w:pPr>
          </w:p>
        </w:tc>
        <w:tc>
          <w:tcPr>
            <w:tcW w:w="7260" w:type="dxa"/>
            <w:vAlign w:val="bottom"/>
            <w:gridSpan w:val="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03">
              <w:r>
                <w:rPr>
                  <w:rFonts w:ascii="Arial" w:cs="Arial" w:eastAsia="Arial" w:hAnsi="Arial"/>
                  <w:sz w:val="18"/>
                  <w:szCs w:val="18"/>
                  <w:color w:val="0000EE"/>
                  <w:w w:val="93"/>
                </w:rPr>
                <w:t>REGULATION</w:t>
              </w:r>
            </w:hyperlink>
          </w:p>
        </w:tc>
        <w:tc>
          <w:tcPr>
            <w:tcW w:w="9940" w:type="dxa"/>
            <w:vAlign w:val="bottom"/>
            <w:gridSpan w:val="3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0000EE"/>
            </w:tcBorders>
            <w:gridSpan w:val="29"/>
          </w:tcPr>
          <w:p>
            <w:pPr>
              <w:spacing w:after="0" w:line="196" w:lineRule="exact"/>
              <w:rPr>
                <w:rFonts w:ascii="Arial" w:cs="Arial" w:eastAsia="Arial" w:hAnsi="Arial"/>
                <w:sz w:val="18"/>
                <w:szCs w:val="18"/>
                <w:color w:val="0000EE"/>
                <w:w w:val="93"/>
              </w:rPr>
            </w:pPr>
            <w:hyperlink w:anchor="page108">
              <w:r>
                <w:rPr>
                  <w:rFonts w:ascii="Arial" w:cs="Arial" w:eastAsia="Arial" w:hAnsi="Arial"/>
                  <w:sz w:val="18"/>
                  <w:szCs w:val="18"/>
                  <w:color w:val="0000EE"/>
                  <w:w w:val="93"/>
                </w:rPr>
                <w:t>BROKERAGE ALLOCATIONS AND OTHER PRACTICES</w:t>
              </w:r>
            </w:hyperlink>
          </w:p>
        </w:tc>
        <w:tc>
          <w:tcPr>
            <w:tcW w:w="6680" w:type="dxa"/>
            <w:vAlign w:val="bottom"/>
            <w:gridSpan w:val="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32"/>
          </w:tcPr>
          <w:p>
            <w:pPr>
              <w:spacing w:after="0" w:line="196" w:lineRule="exact"/>
              <w:rPr>
                <w:rFonts w:ascii="Arial" w:cs="Arial" w:eastAsia="Arial" w:hAnsi="Arial"/>
                <w:sz w:val="18"/>
                <w:szCs w:val="18"/>
                <w:color w:val="0000EE"/>
                <w:w w:val="94"/>
              </w:rPr>
            </w:pPr>
            <w:hyperlink w:anchor="page109">
              <w:r>
                <w:rPr>
                  <w:rFonts w:ascii="Arial" w:cs="Arial" w:eastAsia="Arial" w:hAnsi="Arial"/>
                  <w:sz w:val="18"/>
                  <w:szCs w:val="18"/>
                  <w:color w:val="0000EE"/>
                  <w:w w:val="94"/>
                </w:rPr>
                <w:t>MATERIAL U.S. FEDERAL INCOME TAX CONSIDERATIONS</w:t>
              </w:r>
            </w:hyperlink>
          </w:p>
        </w:tc>
        <w:tc>
          <w:tcPr>
            <w:tcW w:w="630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PLAN OF DISTRIBUTION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CUSTODIAN, TRANSFER AGENT AND TRUSTEE</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96"/>
        </w:trPr>
        <w:tc>
          <w:tcPr>
            <w:tcW w:w="388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LEGAL MATTERS</w:t>
              </w:r>
            </w:hyperlink>
          </w:p>
        </w:tc>
        <w:tc>
          <w:tcPr>
            <w:tcW w:w="7180" w:type="dxa"/>
            <w:vAlign w:val="bottom"/>
            <w:gridSpan w:val="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1700" w:type="dxa"/>
            <w:vAlign w:val="bottom"/>
            <w:gridSpan w:val="11"/>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INDEPENDENT REGISTERED PUBLIC ACCOUNTING FIRM</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96"/>
        </w:trPr>
        <w:tc>
          <w:tcPr>
            <w:tcW w:w="468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PRIVACY PRINCIPLES</w:t>
              </w:r>
            </w:hyperlink>
          </w:p>
        </w:tc>
        <w:tc>
          <w:tcPr>
            <w:tcW w:w="6380" w:type="dxa"/>
            <w:vAlign w:val="bottom"/>
            <w:gridSpan w:val="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700" w:type="dxa"/>
            <w:vAlign w:val="bottom"/>
            <w:gridSpan w:val="9"/>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8080" w:type="dxa"/>
            <w:vAlign w:val="bottom"/>
            <w:gridSpan w:val="1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tcBorders>
              <w:bottom w:val="single" w:sz="8" w:color="0000EE"/>
            </w:tcBorders>
            <w:gridSpan w:val="20"/>
          </w:tcPr>
          <w:p>
            <w:pPr>
              <w:spacing w:after="0" w:line="196" w:lineRule="exact"/>
              <w:rPr>
                <w:rFonts w:ascii="Arial" w:cs="Arial" w:eastAsia="Arial" w:hAnsi="Arial"/>
                <w:sz w:val="18"/>
                <w:szCs w:val="18"/>
                <w:color w:val="0000EE"/>
                <w:w w:val="95"/>
              </w:rPr>
            </w:pPr>
            <w:hyperlink w:anchor="page118">
              <w:r>
                <w:rPr>
                  <w:rFonts w:ascii="Arial" w:cs="Arial" w:eastAsia="Arial" w:hAnsi="Arial"/>
                  <w:sz w:val="18"/>
                  <w:szCs w:val="18"/>
                  <w:color w:val="0000EE"/>
                  <w:w w:val="95"/>
                </w:rPr>
                <w:t>INDEX TO FINANCIAL STATEMENTS</w:t>
              </w:r>
            </w:hyperlink>
          </w:p>
        </w:tc>
        <w:tc>
          <w:tcPr>
            <w:tcW w:w="8080" w:type="dxa"/>
            <w:vAlign w:val="bottom"/>
            <w:gridSpan w:val="1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159">
              <w:r>
                <w:rPr>
                  <w:rFonts w:ascii="Arial" w:cs="Arial" w:eastAsia="Arial" w:hAnsi="Arial"/>
                  <w:sz w:val="18"/>
                  <w:szCs w:val="18"/>
                  <w:color w:val="0000EE"/>
                  <w:w w:val="92"/>
                </w:rPr>
                <w:t>Part C OTHER INFORMATION</w:t>
              </w:r>
            </w:hyperlink>
          </w:p>
        </w:tc>
        <w:tc>
          <w:tcPr>
            <w:tcW w:w="8720" w:type="dxa"/>
            <w:vAlign w:val="bottom"/>
            <w:gridSpan w:val="2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SIGNATURES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C-5</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prospectus is part of a registration statement that we have filed with the SEC using the “shelf” registration process. Under the shelf registration process, we may offer from time to time up to $250,000,000 of our common stock, preferred stock, debt securities, warrants representing rights to purchase shares of our common stock, preferred stock or debt securities and subscription rights to purchase common stock on the terms to be determined at the time of the offering. The securities may be offered at prices and on terms described in one or more supplements to this prospectus. This prospectus provides you with a general description of the securities that we may offer.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and the additional information described under the headings “Additional Information” and “Risk Factors” before you make an investment decision.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You should read carefully the more detailed information set forth under “Risk Factors” and the other information included in this prospectus. In this prospectus and accompanying prospectus supplement, if any, except where the context suggests otherwise, the terms “we,” “us,” “our” and “PennantPark” refer to PennantPark Investment Corporation; “PennantPark Investment Advisers” or the “Investment Adviser” refers to PennantPark Investment Advisers, LLC; “PennantPark Investment Administration” or the “Administrator” refers to PennantPark Investment Administration, LLC.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PennantPark Investment Corporation, a Maryland corporation organized on January 11, 2007, is a closed-end, externally managed, non-diversified investment company that has elected to be treated as a business development company, or BDC, under the Investment Company Act of 1940, as amended, or the “1940 Act.”</w:t>
      </w:r>
    </w:p>
    <w:p>
      <w:pPr>
        <w:spacing w:after="0" w:line="140" w:lineRule="exact"/>
        <w:rPr>
          <w:sz w:val="20"/>
          <w:szCs w:val="20"/>
          <w:color w:val="auto"/>
        </w:rPr>
      </w:pPr>
    </w:p>
    <w:p>
      <w:pPr>
        <w:jc w:val="both"/>
        <w:ind w:right="440" w:firstLine="456"/>
        <w:spacing w:after="0" w:line="306"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subordinated debt, second lien secured debt and, to a lesser extent, equity investments.</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PennantPark Investment seeks to create a diversified portfolio that includes mezzanine debt, senior secured loans and equity investments by investing approximately $10 to $50 million of capital, on average, in the securities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 In this prospectus, we use the term “middle-market” to refer to companies with annual revenues between $50 million and $1 billion.</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Advisers</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investment activities are managed by the Investment Adviser under an investment management agreement (the “Investment Management Agreement”). The Investment Adviser is responsible for sourcing potential investments, conducting research on prospective investments, analyzing investment opportunities, structuring our investments and monitoring our investments and portfolio companies on an ongoing basis. The Investment Adviser is led by Arthur H. Penn, its founder and the founder of PennantPark. Mr. Penn has over 20 years of experience in the mezzanine lending, leveraged finance, distressed debt and private equity businesses. He has been involved in originating, structuring, negotiating, consummating, managing and monitoring investments in each of these businesses. Mr. Penn is a Co-founder and former Managing Partner of Apollo Investment Management, L.P., or Apollo Investment Management, which is the Investment Adviser of Apollo Investment Corporation, or Apollo Investment, a publicly traded business development company. Mr. Penn served as the Chief Operating Officer and a member of the investment committee of Apollo Investment from its inception in April 2004 through February 2006 and was President and Chief Operating Officer from February 2006 through November 2006.</w:t>
      </w:r>
    </w:p>
    <w:p>
      <w:pPr>
        <w:spacing w:after="0" w:line="12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During the period in which Mr. Penn was the Chief Operating Officer, Apollo Investment raised approximately $930 million of gross proceeds in an initial public offering in April 2004 and raised an additional $308 million in a follow-on offering of public equity in March 2006. Mr. Penn supervised the negotiation and execution of a senior secured credit facility with a syndicate of banks which, as amended, provides for borrowings up to $2.0 billion. During Mr. Penn’s tenure with Apollo Investment, it invested approximately $2.8 billion in 73 companies in partnership with 54 different financial sponsors.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During his more than 20-year career in the financial services industry, Mr. Penn has developed a network of financial sponsor relationships as well as relationships with management teams, investment bankers, attorneys and accountants that we believe will provide us with access to substantial investment opportunities.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Investment Adviser has three experienced investment professionals, in addition to Mr. Penn, who are partners of the firm. These investment professionals, Geoffrey Chang, Salvatore Giannetti III and Whit Williams, have a combined 44 years of experience in the mezzanine, private equity and leveraged finance businesses. See “Management,” “Certain Relationships and Transactions—Investment Management Agreement” and “Risk Factors—Risks Relating to our Business and Structure.”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Administration</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Under our administration agreement (the “Administration Agreement”), the Administrator furnishes us with clerical, bookkeeping and record keeping services and also oversees our financial records as well as the preparation of our reports to stockholders and reports filed with the SEC. The Administrator oversees the determination and publication of our net asset value, oversees the preparation and filing of our tax returns and generally monitors the payment of our expenses and the performance of administrative and professional services rendered to us by others. Furthermore, our Administrator provides, on our behalf, managerial assistance to those portfolio companies to which we are required to provide such assistance. See “Certain Relationships and Transactions— Administration Agreement” and “Risk Factors—Risks Relating to our Business and Structure.”</w:t>
      </w:r>
    </w:p>
    <w:p>
      <w:pPr>
        <w:spacing w:after="0" w:line="12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Administrator has experienced professionals including, Aviv Efrat, who serves as our Chief Financial Officer and Treasurer. Mr. Efrat, who is also a Managing Director of PennantPark Investment Administration, has extensive experience in finance and administration of registered investment companies, having served for a decade as a Director at BlackRock, Inc., a leading investment firm.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believe that the size of the middle-market, coupled with the demands of these companies for flexible sources of capital, creates an attractive investment environment for PennantPark.</w:t>
      </w:r>
    </w:p>
    <w:p>
      <w:pPr>
        <w:spacing w:after="0" w:line="45" w:lineRule="exact"/>
        <w:rPr>
          <w:sz w:val="20"/>
          <w:szCs w:val="20"/>
          <w:color w:val="auto"/>
        </w:rPr>
      </w:pPr>
    </w:p>
    <w:p>
      <w:pPr>
        <w:ind w:left="900" w:right="60" w:hanging="325"/>
        <w:spacing w:after="0" w:line="25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rFonts w:ascii="Arial" w:cs="Arial" w:eastAsia="Arial" w:hAnsi="Arial"/>
          <w:sz w:val="18"/>
          <w:szCs w:val="18"/>
          <w:color w:val="auto"/>
        </w:rPr>
      </w:pPr>
    </w:p>
    <w:p>
      <w:pPr>
        <w:ind w:left="900" w:right="420" w:hanging="325"/>
        <w:spacing w:after="0" w:line="275"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the current credit market dislocation improves the risk/reward of our investments. </w:t>
      </w:r>
      <w:r>
        <w:rPr>
          <w:rFonts w:ascii="Arial" w:cs="Arial" w:eastAsia="Arial" w:hAnsi="Arial"/>
          <w:sz w:val="18"/>
          <w:szCs w:val="18"/>
          <w:color w:val="auto"/>
        </w:rPr>
        <w:t>The downturn in the credit market has</w:t>
      </w:r>
      <w:r>
        <w:rPr>
          <w:rFonts w:ascii="Arial" w:cs="Arial" w:eastAsia="Arial" w:hAnsi="Arial"/>
          <w:sz w:val="18"/>
          <w:szCs w:val="18"/>
          <w:b w:val="1"/>
          <w:bCs w:val="1"/>
          <w:color w:val="auto"/>
        </w:rPr>
        <w:t xml:space="preserve"> </w:t>
      </w:r>
      <w:r>
        <w:rPr>
          <w:rFonts w:ascii="Arial" w:cs="Arial" w:eastAsia="Arial" w:hAnsi="Arial"/>
          <w:sz w:val="18"/>
          <w:szCs w:val="18"/>
          <w:color w:val="auto"/>
        </w:rPr>
        <w:t>resulted in less competition, more conservative capital structures, higher yields and stronger covenants.</w:t>
      </w:r>
    </w:p>
    <w:p>
      <w:pPr>
        <w:spacing w:after="0" w:line="38" w:lineRule="exact"/>
        <w:rPr>
          <w:rFonts w:ascii="Arial" w:cs="Arial" w:eastAsia="Arial" w:hAnsi="Arial"/>
          <w:sz w:val="18"/>
          <w:szCs w:val="18"/>
          <w:color w:val="auto"/>
        </w:rPr>
      </w:pPr>
    </w:p>
    <w:p>
      <w:pPr>
        <w:ind w:left="900" w:right="120" w:hanging="325"/>
        <w:spacing w:after="0" w:line="301"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mezzanine capital to support private investments. </w:t>
      </w:r>
      <w:r>
        <w:rPr>
          <w:rFonts w:ascii="Arial" w:cs="Arial" w:eastAsia="Arial" w:hAnsi="Arial"/>
          <w:sz w:val="16"/>
          <w:szCs w:val="16"/>
          <w:color w:val="auto"/>
        </w:rPr>
        <w:t>We</w:t>
      </w:r>
      <w:r>
        <w:rPr>
          <w:rFonts w:ascii="Arial" w:cs="Arial" w:eastAsia="Arial" w:hAnsi="Arial"/>
          <w:sz w:val="16"/>
          <w:szCs w:val="16"/>
          <w:b w:val="1"/>
          <w:bCs w:val="1"/>
          <w:color w:val="auto"/>
        </w:rPr>
        <w:t xml:space="preserve"> </w:t>
      </w:r>
      <w:r>
        <w:rPr>
          <w:rFonts w:ascii="Arial" w:cs="Arial" w:eastAsia="Arial" w:hAnsi="Arial"/>
          <w:sz w:val="16"/>
          <w:szCs w:val="16"/>
          <w:color w:val="auto"/>
        </w:rPr>
        <w:t>expect that private equity firms will continue to be active investors in middle-market companies and that these private equity funds will seek to leverage their investments by combining capital with mezzanine loans and/or senior secured loans from other sources. We expect such activity to be funded by the record amounts of private equity capital that have been raised in recent years.</w:t>
      </w:r>
    </w:p>
    <w:p>
      <w:pPr>
        <w:spacing w:after="0" w:line="22" w:lineRule="exact"/>
        <w:rPr>
          <w:rFonts w:ascii="Arial" w:cs="Arial" w:eastAsia="Arial" w:hAnsi="Arial"/>
          <w:sz w:val="16"/>
          <w:szCs w:val="16"/>
          <w:color w:val="auto"/>
        </w:rPr>
      </w:pPr>
    </w:p>
    <w:p>
      <w:pPr>
        <w:ind w:left="900" w:right="60" w:hanging="325"/>
        <w:spacing w:after="0" w:line="301"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opportunities to invest mezzanine and other debt capital will remain strong. </w:t>
      </w:r>
      <w:r>
        <w:rPr>
          <w:rFonts w:ascii="Arial" w:cs="Arial" w:eastAsia="Arial" w:hAnsi="Arial"/>
          <w:sz w:val="16"/>
          <w:szCs w:val="16"/>
          <w:color w:val="auto"/>
        </w:rPr>
        <w:t>We expect that the volume of domestic “public-to-private” transactions as well as the number of companies selecting a “sale” alternative versus raising capital in the public equity markets as a means of increasing liquidity will remain large. Additionally, the cost and effort associated with being a public company in the United States have become more onerous, causing many management teams to consider alternative liquidity strategies.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employ a disciplined approach in selecting investments that meet our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do not intend to pursue short-term origination targets. We believe our approach will enable us to build an attractive investment portfolio that meets our return and value criteria over the long-term.</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professionals of our Investment Adviser have long-term relationships.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believe the in-depth coverage and experience of Mr. Penn, as well as that of the other investment professionals of our Investment Adviser, enable us to invest throughout various stages of the economic cycle and provide us with ongoing market insights in addition to a significant investment sourcing engine.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Longer Investment Horizon with Attractive Publicly Traded Model</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returns on invested capital and to be a better long-term partner for our portfolio companies.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primary competitors provide financing to middle-market companies and include other business development companies, commercial and investment banks, commercial financing companies and, to the extent they provide an alternative form of financing, private equity funds. Additionally, because competition for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investment opportunities generally has increased prior to downturn in the credit market which began in mid-2007 among alternative investment vehicles, such as hedge funds, those entities have begun to invest in areas they have not traditionally invested in, including investments in middle-market companies. As a result of these new entrants, competition for investment opportunities at middle-market companies had intensified. However, we believe that there has been a reduction in the amount of debt capital available for lending in leveraged buyout transactions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use the industry information available to our Investment Adviser to assess investment risks and determine appropriate pricing for our investments in portfolio companies. We benefit from the relationships of Messrs. Penn, Chang, Giannetti and Williams and other of our senior investment professionals retained by our Investment Adviser, who enable us to learn about, and compete effectively for, financing opportunities with attractive middle-market companies in the industries in which we invest. For additional information concerning the competitive risks we face, please see “Risk Factors—Risks Relating to our Business and Structure-We operate in a highly competitive market for investment opportunities.”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We maintain a five-year, multi-currency $300 million senior secured credit facility with a group of lenders, under which we had $10 million and $204.1 million of indebtedness outstanding (including a $40.0 million temporary draw) at September 30, 2007 and June 30, 2008, respectively. Pricing on borrowings under our credit facility is set at 100 basis points over LIBOR. We expect that our substantial debt capital resources will provide us with the flexibility to take advantage of market opportunities when they arise. See note 11 to our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investment activities are managed by PennantPark Investment Advisers and supervised by our board of directors, a majority of whom are independent of PennantPark. PennantPark Investment Advisers is an Investment Adviser that is registered under the Investment Advisers Act of 1940, or the Advisers Act. Under our Investment Management Agreement, we pay PennantPark Investment Advisers an annual base management fee based on our gross assets as well as an incentive fee based on our performance. See “Certain Relationships and Transactions—Investment Management Agreement.”</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a BDC, we are required to comply with certain regulatory requirements. Also, while we are permitted to finance investments using debt, our ability to use debt is limited in certain significant respects. See “Regulation.” We have elected to be treated for federal income tax purposes as a regulated investment company or “RIC.” For more information, see “Material U.S. Federal Income Tax Considerations.”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expect to use the net proceeds from selling securities pursuant to this prospectus primarily to reduce our outstanding obligations under our credit facility. We may also use such proceeds to invest in new or existing portfolio companies, or for other general corporate purposes. Any supplements to this prospectus relating to an offering will more fully identify the use of the proceeds from such offering. See “Use of Proceeds” for information regarding our outstanding borrowings as of June 30, 2008, the corresponding interest rate charged on such borrowings as of that date and the length of time that it may take us to invest any proceeds in new or existing portfolio companies.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intend to continue to distribute quarterly dividends to our common stockholders. The amount and general timing of our quarterly dividends, if any, will be determined by our board of directors. For more information, see “Distributions.”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Preferred Stock</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will be quarterly and for any auction rate preferred stock, or ARPS, will be weekly and subject to extension. With respect to ARPS, we expect the dividend rate to be variable and determined for each dividend period. See “Risk Factors—Risks Related to Issuance of our Preferred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For more information, see “Dividend Reinvestment Plan.”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We may offer, from time to time, up to $250 million of our securities, on terms to be determined at the time of each such offering and set forth in a supplement to this prospectus.</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Securities may be offered at prices and on terms described in one or more supplements to this prospectus directly to one or more purchasers, through agents designated from time to time by us, or to or through underwriters or dealers.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2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For more information, see “Distributions.”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23" w:lineRule="exact"/>
        <w:rPr>
          <w:sz w:val="20"/>
          <w:szCs w:val="20"/>
          <w:color w:val="auto"/>
        </w:rPr>
      </w:pPr>
    </w:p>
    <w:p>
      <w:pPr>
        <w:ind w:right="200" w:firstLine="456"/>
        <w:spacing w:after="0" w:line="227" w:lineRule="auto"/>
        <w:rPr>
          <w:sz w:val="20"/>
          <w:szCs w:val="20"/>
          <w:color w:val="auto"/>
        </w:rPr>
      </w:pPr>
      <w:r>
        <w:rPr>
          <w:rFonts w:ascii="Arial" w:cs="Arial" w:eastAsia="Arial" w:hAnsi="Arial"/>
          <w:sz w:val="18"/>
          <w:szCs w:val="18"/>
          <w:color w:val="auto"/>
        </w:rPr>
        <w:t>Our administrative and principal executive offices are located at 590 Madison Avenue,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NY 10022. Our common stock is quoted on NASDAQ under the symbol “PNNT”. Our Internet website address is www.pennantpark.com. Information contained on our website is not incorporated by reference into this prospectus or any supplements to this prospectus, and you should not consider information contained on our website to be part of this prospectus or any supplements to this prospectus.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fees or expenses, stockholders will indirectly bear such fees or expenses as investors in the Company.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Sales load (as a percentage of offering price) %</w:t>
            </w: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 (as a percentage of offering price)</w:t>
            </w:r>
          </w:p>
        </w:tc>
        <w:tc>
          <w:tcPr>
            <w:tcW w:w="60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20"/>
        </w:trPr>
        <w:tc>
          <w:tcPr>
            <w:tcW w:w="10820" w:type="dxa"/>
            <w:vAlign w:val="bottom"/>
            <w:vMerge w:val="restart"/>
          </w:tcPr>
          <w:p>
            <w:pPr>
              <w:spacing w:after="0"/>
              <w:rPr>
                <w:sz w:val="20"/>
                <w:szCs w:val="20"/>
                <w:color w:val="auto"/>
              </w:rPr>
            </w:pPr>
            <w:r>
              <w:rPr>
                <w:rFonts w:ascii="Arial" w:cs="Arial" w:eastAsia="Arial" w:hAnsi="Arial"/>
                <w:sz w:val="18"/>
                <w:szCs w:val="18"/>
                <w:b w:val="1"/>
                <w:bCs w:val="1"/>
                <w:color w:val="auto"/>
              </w:rPr>
              <w:t>Total common stockholder expenses (as a percentage of offering price) %</w:t>
            </w: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20" w:type="dxa"/>
            <w:vAlign w:val="bottom"/>
            <w:vMerge w:val="continue"/>
          </w:tcPr>
          <w:p>
            <w:pPr>
              <w:spacing w:after="0"/>
              <w:rPr>
                <w:sz w:val="24"/>
                <w:szCs w:val="24"/>
                <w:color w:val="auto"/>
              </w:rPr>
            </w:pPr>
          </w:p>
        </w:tc>
        <w:tc>
          <w:tcPr>
            <w:tcW w:w="600" w:type="dxa"/>
            <w:vAlign w:val="bottom"/>
            <w:gridSpan w:val="2"/>
          </w:tcPr>
          <w:p>
            <w:pPr>
              <w:jc w:val="right"/>
              <w:spacing w:after="0" w:line="331"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10820" w:type="dxa"/>
            <w:vAlign w:val="bottom"/>
            <w:shd w:val="clear" w:color="auto" w:fill="CCEEFF"/>
          </w:tcPr>
          <w:p>
            <w:pPr>
              <w:spacing w:after="0" w:line="217" w:lineRule="exact"/>
              <w:rPr>
                <w:sz w:val="20"/>
                <w:szCs w:val="20"/>
                <w:color w:val="auto"/>
              </w:rPr>
            </w:pPr>
            <w:r>
              <w:rPr>
                <w:rFonts w:ascii="Arial" w:cs="Arial" w:eastAsia="Arial" w:hAnsi="Arial"/>
                <w:sz w:val="18"/>
                <w:szCs w:val="18"/>
                <w:b w:val="1"/>
                <w:bCs w:val="1"/>
                <w:color w:val="auto"/>
              </w:rPr>
              <w:t>Estimated annual expenses (as a percentage of net assets attributable to common shares)</w:t>
            </w:r>
            <w:r>
              <w:rPr>
                <w:rFonts w:ascii="Arial" w:cs="Arial" w:eastAsia="Arial" w:hAnsi="Arial"/>
                <w:sz w:val="22"/>
                <w:szCs w:val="22"/>
                <w:b w:val="1"/>
                <w:bCs w:val="1"/>
                <w:color w:val="auto"/>
                <w:vertAlign w:val="superscript"/>
              </w:rPr>
              <w:t>(4)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Management fees</w:t>
            </w:r>
          </w:p>
        </w:tc>
        <w:tc>
          <w:tcPr>
            <w:tcW w:w="600" w:type="dxa"/>
            <w:vAlign w:val="bottom"/>
            <w:gridSpan w:val="2"/>
          </w:tcPr>
          <w:p>
            <w:pPr>
              <w:jc w:val="right"/>
              <w:spacing w:after="0" w:line="217" w:lineRule="exact"/>
              <w:rPr>
                <w:sz w:val="20"/>
                <w:szCs w:val="20"/>
                <w:color w:val="auto"/>
              </w:rPr>
            </w:pPr>
            <w:r>
              <w:rPr>
                <w:rFonts w:ascii="Arial" w:cs="Arial" w:eastAsia="Arial" w:hAnsi="Arial"/>
                <w:sz w:val="18"/>
                <w:szCs w:val="18"/>
                <w:color w:val="auto"/>
                <w:w w:val="84"/>
              </w:rPr>
              <w:t>3.46%</w:t>
            </w:r>
            <w:r>
              <w:rPr>
                <w:rFonts w:ascii="Arial" w:cs="Arial" w:eastAsia="Arial" w:hAnsi="Arial"/>
                <w:sz w:val="22"/>
                <w:szCs w:val="22"/>
                <w:color w:val="auto"/>
                <w:w w:val="84"/>
                <w:vertAlign w:val="superscript"/>
              </w:rPr>
              <w:t>(5)</w:t>
            </w:r>
          </w:p>
        </w:tc>
        <w:tc>
          <w:tcPr>
            <w:tcW w:w="0" w:type="dxa"/>
            <w:vAlign w:val="bottom"/>
          </w:tcPr>
          <w:p>
            <w:pPr>
              <w:spacing w:after="0"/>
              <w:rPr>
                <w:sz w:val="1"/>
                <w:szCs w:val="1"/>
                <w:color w:val="auto"/>
              </w:rPr>
            </w:pPr>
          </w:p>
        </w:tc>
      </w:t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600" w:type="dxa"/>
            <w:vAlign w:val="bottom"/>
            <w:gridSpan w:val="2"/>
            <w:shd w:val="clear" w:color="auto" w:fill="CCEEFF"/>
          </w:tcPr>
          <w:p>
            <w:pPr>
              <w:jc w:val="right"/>
              <w:spacing w:after="0" w:line="217" w:lineRule="exact"/>
              <w:rPr>
                <w:sz w:val="20"/>
                <w:szCs w:val="20"/>
                <w:color w:val="auto"/>
              </w:rPr>
            </w:pPr>
            <w:r>
              <w:rPr>
                <w:rFonts w:ascii="Arial" w:cs="Arial" w:eastAsia="Arial" w:hAnsi="Arial"/>
                <w:sz w:val="18"/>
                <w:szCs w:val="18"/>
                <w:color w:val="auto"/>
                <w:w w:val="84"/>
              </w:rPr>
              <w:t>1.51%</w:t>
            </w:r>
            <w:r>
              <w:rPr>
                <w:rFonts w:ascii="Arial" w:cs="Arial" w:eastAsia="Arial" w:hAnsi="Arial"/>
                <w:sz w:val="22"/>
                <w:szCs w:val="22"/>
                <w:color w:val="auto"/>
                <w:w w:val="84"/>
                <w:vertAlign w:val="superscript"/>
              </w:rPr>
              <w:t>(6)</w:t>
            </w:r>
          </w:p>
        </w:tc>
        <w:tc>
          <w:tcPr>
            <w:tcW w:w="0" w:type="dxa"/>
            <w:vAlign w:val="bottom"/>
          </w:tcPr>
          <w:p>
            <w:pPr>
              <w:spacing w:after="0"/>
              <w:rPr>
                <w:sz w:val="1"/>
                <w:szCs w:val="1"/>
                <w:color w:val="auto"/>
              </w:rPr>
            </w:pP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600" w:type="dxa"/>
            <w:vAlign w:val="bottom"/>
            <w:gridSpan w:val="2"/>
          </w:tcPr>
          <w:p>
            <w:pPr>
              <w:jc w:val="right"/>
              <w:spacing w:after="0" w:line="217" w:lineRule="exact"/>
              <w:rPr>
                <w:sz w:val="20"/>
                <w:szCs w:val="20"/>
                <w:color w:val="auto"/>
              </w:rPr>
            </w:pPr>
            <w:r>
              <w:rPr>
                <w:rFonts w:ascii="Arial" w:cs="Arial" w:eastAsia="Arial" w:hAnsi="Arial"/>
                <w:sz w:val="18"/>
                <w:szCs w:val="18"/>
                <w:color w:val="auto"/>
                <w:w w:val="84"/>
              </w:rPr>
              <w:t>1.94%</w:t>
            </w:r>
            <w:r>
              <w:rPr>
                <w:rFonts w:ascii="Arial" w:cs="Arial" w:eastAsia="Arial" w:hAnsi="Arial"/>
                <w:sz w:val="22"/>
                <w:szCs w:val="22"/>
                <w:color w:val="auto"/>
                <w:w w:val="84"/>
                <w:vertAlign w:val="superscript"/>
              </w:rPr>
              <w:t>(7)</w:t>
            </w:r>
          </w:p>
        </w:tc>
        <w:tc>
          <w:tcPr>
            <w:tcW w:w="0" w:type="dxa"/>
            <w:vAlign w:val="bottom"/>
          </w:tcPr>
          <w:p>
            <w:pPr>
              <w:spacing w:after="0"/>
              <w:rPr>
                <w:sz w:val="1"/>
                <w:szCs w:val="1"/>
                <w:color w:val="auto"/>
              </w:rPr>
            </w:pPr>
          </w:p>
        </w:tc>
      </w:t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600" w:type="dxa"/>
            <w:vAlign w:val="bottom"/>
            <w:gridSpan w:val="2"/>
            <w:shd w:val="clear" w:color="auto" w:fill="CCEEFF"/>
          </w:tcPr>
          <w:p>
            <w:pPr>
              <w:jc w:val="right"/>
              <w:spacing w:after="0" w:line="217" w:lineRule="exact"/>
              <w:rPr>
                <w:sz w:val="20"/>
                <w:szCs w:val="20"/>
                <w:color w:val="auto"/>
              </w:rPr>
            </w:pPr>
            <w:r>
              <w:rPr>
                <w:rFonts w:ascii="Arial" w:cs="Arial" w:eastAsia="Arial" w:hAnsi="Arial"/>
                <w:sz w:val="18"/>
                <w:szCs w:val="18"/>
                <w:color w:val="auto"/>
                <w:w w:val="84"/>
              </w:rPr>
              <w:t>2.15%</w:t>
            </w:r>
            <w:r>
              <w:rPr>
                <w:rFonts w:ascii="Arial" w:cs="Arial" w:eastAsia="Arial" w:hAnsi="Arial"/>
                <w:sz w:val="22"/>
                <w:szCs w:val="22"/>
                <w:color w:val="auto"/>
                <w:w w:val="84"/>
                <w:vertAlign w:val="superscript"/>
              </w:rPr>
              <w:t>(8)</w:t>
            </w:r>
          </w:p>
        </w:tc>
        <w:tc>
          <w:tcPr>
            <w:tcW w:w="0" w:type="dxa"/>
            <w:vAlign w:val="bottom"/>
          </w:tcPr>
          <w:p>
            <w:pPr>
              <w:spacing w:after="0"/>
              <w:rPr>
                <w:sz w:val="1"/>
                <w:szCs w:val="1"/>
                <w:color w:val="auto"/>
              </w:rPr>
            </w:pPr>
          </w:p>
        </w:tc>
      </w:tr>
      <w:tr>
        <w:trPr>
          <w:trHeight w:val="20"/>
        </w:trPr>
        <w:tc>
          <w:tcPr>
            <w:tcW w:w="10820" w:type="dxa"/>
            <w:vAlign w:val="bottom"/>
            <w:vMerge w:val="restart"/>
          </w:tcPr>
          <w:p>
            <w:pPr>
              <w:spacing w:after="0"/>
              <w:rPr>
                <w:sz w:val="20"/>
                <w:szCs w:val="20"/>
                <w:color w:val="auto"/>
              </w:rPr>
            </w:pPr>
            <w:r>
              <w:rPr>
                <w:rFonts w:ascii="Arial" w:cs="Arial" w:eastAsia="Arial" w:hAnsi="Arial"/>
                <w:sz w:val="18"/>
                <w:szCs w:val="18"/>
                <w:b w:val="1"/>
                <w:bCs w:val="1"/>
                <w:color w:val="auto"/>
              </w:rPr>
              <w:t>Total annual expenses</w:t>
            </w: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10820" w:type="dxa"/>
            <w:vAlign w:val="bottom"/>
            <w:vMerge w:val="continue"/>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4"/>
              </w:rPr>
              <w:t>9.06%</w:t>
            </w:r>
            <w:r>
              <w:rPr>
                <w:rFonts w:ascii="Arial" w:cs="Arial" w:eastAsia="Arial" w:hAnsi="Arial"/>
                <w:sz w:val="22"/>
                <w:szCs w:val="22"/>
                <w:color w:val="auto"/>
                <w:w w:val="84"/>
                <w:vertAlign w:val="superscript"/>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46" w:lineRule="exact"/>
        <w:rPr>
          <w:sz w:val="20"/>
          <w:szCs w:val="20"/>
          <w:color w:val="auto"/>
        </w:rPr>
      </w:pPr>
    </w:p>
    <w:p>
      <w:pPr>
        <w:ind w:left="460" w:right="8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a corresponding prospectus supplement will disclose the applicable sales load.</w:t>
      </w:r>
    </w:p>
    <w:p>
      <w:pPr>
        <w:spacing w:after="0" w:line="37"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expenses of our dividend reinvestment plan are included in “other expenses” because they are not material expenses.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assets attributable to common shares” equal net assets at June 30, 2008.</w:t>
      </w:r>
    </w:p>
    <w:p>
      <w:pPr>
        <w:spacing w:after="0" w:line="76" w:lineRule="exact"/>
        <w:rPr>
          <w:rFonts w:ascii="Arial" w:cs="Arial" w:eastAsia="Arial" w:hAnsi="Arial"/>
          <w:sz w:val="18"/>
          <w:szCs w:val="18"/>
          <w:color w:val="auto"/>
        </w:rPr>
      </w:pPr>
    </w:p>
    <w:p>
      <w:pPr>
        <w:ind w:left="460" w:right="68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total assets. See “Certain Relationships and Transactions—Investment Management Agreement.”</w:t>
      </w:r>
    </w:p>
    <w:p>
      <w:pPr>
        <w:spacing w:after="0" w:line="37" w:lineRule="exact"/>
        <w:rPr>
          <w:rFonts w:ascii="Arial" w:cs="Arial" w:eastAsia="Arial" w:hAnsi="Arial"/>
          <w:sz w:val="18"/>
          <w:szCs w:val="18"/>
          <w:color w:val="auto"/>
        </w:rPr>
      </w:pPr>
    </w:p>
    <w:p>
      <w:pPr>
        <w:ind w:left="460" w:right="20" w:hanging="452"/>
        <w:spacing w:after="0" w:line="287"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during the nine months ended June 30, 2008,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advisory and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we cannot predict our future net investment income or capital gains, the incentive fee paid in future years, if any, may be substantially different than the fee earned during the nine months ended June 30, 2008. For more detailed information about the incentive fee, please see the section of this prospectus captioned “Certain Relationships and Transactions—Investment Management Agreement” and Note 3 to our financial statements included elsewhere in this prospectus.</w:t>
      </w:r>
    </w:p>
    <w:p>
      <w:pPr>
        <w:spacing w:after="0" w:line="28" w:lineRule="exact"/>
        <w:rPr>
          <w:rFonts w:ascii="Arial" w:cs="Arial" w:eastAsia="Arial" w:hAnsi="Arial"/>
          <w:sz w:val="16"/>
          <w:szCs w:val="16"/>
          <w:color w:val="auto"/>
        </w:rPr>
      </w:pPr>
    </w:p>
    <w:p>
      <w:pPr>
        <w:ind w:left="460" w:right="320" w:hanging="452"/>
        <w:spacing w:after="0" w:line="256"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June 30, 2008, we had $95.9 million unused, subject to maintenance of the applicable total assets to debt ratio of 200%, and $204.1 million in borrowings outstanding (including a $40.0 million temporary draw) under our $300.0 million credit facility. We intend to use proceeds of an offering of securities under this registration statement primarily to repay outstanding obligations under our credit facility. After completing any such offering, we intend to continue to borrow under our credit facility to finance portfolio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spacing w:after="0" w:line="256" w:lineRule="auto"/>
        <w:rPr>
          <w:sz w:val="20"/>
          <w:szCs w:val="20"/>
          <w:color w:val="auto"/>
        </w:rPr>
      </w:pPr>
      <w:r>
        <w:rPr>
          <w:rFonts w:ascii="Arial" w:cs="Arial" w:eastAsia="Arial" w:hAnsi="Arial"/>
          <w:sz w:val="18"/>
          <w:szCs w:val="18"/>
          <w:color w:val="auto"/>
        </w:rPr>
        <w:t>investments and are permitted to do so under the terms of our credit facility. We have estimated the interest payments on borrowed funds to take this into account; however, we caution you that our actual interest expense will depend on prevailing interest rates and our rate of borrowing and may be substantially higher than the estimate provided in this table. For more information, see “Risk Factors—We currently use borrowed funds to make investments and are exposed to the typical risks associated with leverage.”</w:t>
      </w:r>
    </w:p>
    <w:p>
      <w:pPr>
        <w:spacing w:after="0" w:line="62" w:lineRule="exact"/>
        <w:rPr>
          <w:sz w:val="20"/>
          <w:szCs w:val="20"/>
          <w:color w:val="auto"/>
        </w:rPr>
      </w:pPr>
    </w:p>
    <w:p>
      <w:pPr>
        <w:ind w:left="460" w:right="220" w:hanging="452"/>
        <w:spacing w:after="0" w:line="256"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and the expenses of the Investment Adviser reimbursable under our Investment Management Agreement and of the Administrator reimbursable under our Administration Agreement. Such expenses are based on actual other expenses for the nine months ended June 30, 2008 annualized for a full year. See our “Consolidated Statement of Operations” in our financial statements.</w:t>
      </w:r>
    </w:p>
    <w:p>
      <w:pPr>
        <w:spacing w:after="0" w:line="48" w:lineRule="exact"/>
        <w:rPr>
          <w:rFonts w:ascii="Arial" w:cs="Arial" w:eastAsia="Arial" w:hAnsi="Arial"/>
          <w:sz w:val="18"/>
          <w:szCs w:val="18"/>
          <w:color w:val="auto"/>
        </w:rPr>
      </w:pPr>
    </w:p>
    <w:p>
      <w:pPr>
        <w:ind w:left="460" w:right="40" w:hanging="452"/>
        <w:spacing w:after="0" w:line="291"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“Total annual expenses” as a percentage of net assets attributable to common shares, to the extent we borrow money to make investments, are higher than the total annual expenses percentage would be for a company that is not leveraged. We may borrow money to leverage our net assets and increase our total assets. The SEC requires that the “total annual expenses” percentage be calculated as a percentage of net assets (defined as total assets less indebtedness), rather than the total assets, including assets that have been funded with borrowed monies. If the “total annual expenses” percentage were calculated instead as a percentage of total assets, our “total annual expenses” would be 5.23% of total assets. For a presentation and calculation of total annual expenses based on total assets, see page 33 of this prospectus.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The following example illustrates the projected dollar amount of total cumulative expenses that you would pay on a $1,000 hypothetical investment in common shares, assuming (1) a 4.25% sales load (underwriting discounts and commissions) and offering expenses totaling 0.20%, (2) total net annual expenses of 7.55% of net assets attributable to common shares as set forth in the table above (other than performance-based incentive fees) and (3) a 5% annual return: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1 Year</w:t>
            </w:r>
          </w:p>
        </w:tc>
        <w:tc>
          <w:tcPr>
            <w:tcW w:w="44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3 Years</w:t>
            </w:r>
          </w:p>
        </w:tc>
        <w:tc>
          <w:tcPr>
            <w:tcW w:w="440" w:type="dxa"/>
            <w:vAlign w:val="bottom"/>
          </w:tcPr>
          <w:p>
            <w:pPr>
              <w:spacing w:after="0"/>
              <w:rPr>
                <w:sz w:val="14"/>
                <w:szCs w:val="1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0"/>
              </w:rPr>
              <w:t>5 Years</w:t>
            </w:r>
          </w:p>
        </w:tc>
        <w:tc>
          <w:tcPr>
            <w:tcW w:w="44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10 Years</w:t>
            </w:r>
          </w:p>
        </w:tc>
        <w:tc>
          <w:tcPr>
            <w:tcW w:w="20" w:type="dxa"/>
            <w:vAlign w:val="bottom"/>
          </w:tcPr>
          <w:p>
            <w:pPr>
              <w:spacing w:after="0"/>
              <w:rPr>
                <w:sz w:val="14"/>
                <w:szCs w:val="14"/>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incurred</w:t>
            </w:r>
          </w:p>
        </w:tc>
        <w:tc>
          <w:tcPr>
            <w:tcW w:w="374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w w:val="79"/>
              </w:rPr>
              <w:t>$ 116</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$ 253</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$ 383</w:t>
            </w: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5"/>
              </w:rPr>
              <w:t>$  680</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Under certain circumstances, reinvestment of dividends and distributions under our dividend reinvestment plan may occur at a price per share that differs from net asset value. See “Distributions” for additional information regarding our dividend reinvestment plan.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i w:val="1"/>
          <w:iCs w:val="1"/>
          <w:color w:val="auto"/>
        </w:rPr>
        <w:t>Before you invest in our securities, you should be aware of various risks, including those described below. You should carefully consider these risk factors, together with all of the other information included in this prospectus and the accompanying prospectus supplement, if any,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or the value of our preferred stock, debt securities, warrants or subscription rights may decline, and you may lose all or part of your investment.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limited operating history.</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were incorporated in January 2007. We are subject to all of the business risks and uncertainties associated with any new business, including the risk that we will not achieve our investment objectives and that the value of our common stock could decline substantially. Although we have used, and will continue to use, the proceeds of our initial public offering and of our credit facility, we anticipate that it will take us up to two years from the date of our initial public offering to invest all of our assets in accordance with our investment objectives. Any distributions we make during such period may be substantially lower than the distributions that we expect to pay when our portfolio is fully invested.</w:t>
      </w:r>
    </w:p>
    <w:p>
      <w:pPr>
        <w:spacing w:after="0" w:line="191" w:lineRule="exact"/>
        <w:rPr>
          <w:sz w:val="20"/>
          <w:szCs w:val="20"/>
          <w:color w:val="auto"/>
        </w:rPr>
      </w:pPr>
    </w:p>
    <w:p>
      <w:pPr>
        <w:ind w:right="80"/>
        <w:spacing w:after="0" w:line="361" w:lineRule="auto"/>
        <w:rPr>
          <w:sz w:val="20"/>
          <w:szCs w:val="20"/>
          <w:color w:val="auto"/>
        </w:rPr>
      </w:pPr>
      <w:r>
        <w:rPr>
          <w:rFonts w:ascii="Arial" w:cs="Arial" w:eastAsia="Arial" w:hAnsi="Arial"/>
          <w:sz w:val="15"/>
          <w:szCs w:val="15"/>
          <w:b w:val="1"/>
          <w:bCs w:val="1"/>
          <w:color w:val="auto"/>
        </w:rPr>
        <w:t>We are dependent upon our Investment Adviser’s key personnel for our future success, and if we or our Investment Adviser is unable to hire and retain qualified personnel or if we lose any member of our management team, our ability to achieve our investment objectives could be significantly harmed.</w:t>
      </w:r>
    </w:p>
    <w:p>
      <w:pPr>
        <w:ind w:right="100" w:firstLine="456"/>
        <w:spacing w:after="0" w:line="291" w:lineRule="auto"/>
        <w:rPr>
          <w:sz w:val="20"/>
          <w:szCs w:val="20"/>
          <w:color w:val="auto"/>
        </w:rPr>
      </w:pPr>
      <w:r>
        <w:rPr>
          <w:rFonts w:ascii="Arial" w:cs="Arial" w:eastAsia="Arial" w:hAnsi="Arial"/>
          <w:sz w:val="16"/>
          <w:szCs w:val="16"/>
          <w:color w:val="auto"/>
        </w:rPr>
        <w:t>We depend on the diligence, skill and network of business contacts of the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Mr. Penn and other managers of our Investment Adviser evaluate, negotiate, structure, close and monitor our investments. Our future success depends on the continued service of Mr. Penn and other management personnel of our Investment Adviser. The departure of Mr. Penn or any other managers of PennantPark Investment Advisers could have a material adverse effect on our ability to achieve our investment objectives. In addition, we can offer no assurance that PennantPark Investment Advisers will remain our Investment Adviser.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borrowers may default on their payments, which may have a materially negative effect on our financial performance.</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make long-term, subordinated loans and invest in equity investments,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its secured assets, which could trigger cross 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materially negative effect on our financial results.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condition and results of operation will depend on our ability to manage future growth effectively.</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ability to achieve our investment objectives will depend on our ability to grow, which will depend, in turn, on our Investment Adviser’s ability to identify, invest in and monitor companies that meet our investment criteria. Accomplishing this result on a cost-effective basis will be largely a function of our Investment Adviser’s structuring of the investment process, its ability to provide competent, attentive and efficient services to us and our access to financing on acceptable terms. The management team of PennantPark Investment Advisers will have substantial responsibilities under our Investment Management Agreement. In order to grow, we and our Investment Adviser will need to hire, train, supervise and manage new employees. However, we can offer no assurance that any such employees will contribute effectively to the work of the Investment Adviser. We caution you that the Investment Adviser may also be called upon to provide managerial assistance to portfolio companies as the principals of our Administrator and other investment vehicles which may be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highly competitive market for investment opportunities.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number of entities compete with us to make the types of investments that we make in middle-market companies. We compete with public and private funds, including other business development companies, commercial and investment banks, commercial financing companies, and, to the extent they provide an alternative form of financing, private equity funds. Additionally, because competition for investment opportunities generally has increased among alternative investment vehicles, such as hedge funds, those entities have begun to invest in areas they have not traditionally invested in, including making investments in middle-market companies. As a result of these new entrants, competition for investment opportunities at middle-market companies has intensified. Most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 We cannot offer any assurances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4"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Entrants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73"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PennantPark may not replicate the historical performance of other investment companies with which Mr. Penn and our other investment professionals have been affiliated.</w:t>
      </w:r>
    </w:p>
    <w:p>
      <w:pPr>
        <w:spacing w:after="0" w:line="4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1940 Act imposes numerous constraints on the investment activities of business development companies. For example, business development companies are required to invest at least 70% of their total assets primarily in securities of U.S. private or thinly traded public companies, cash, cash equivalents, U.S. government securities and other high quality debt investments that mature in one year or less. These constraints may hinder our Investment Adviser’s ability to take advantage of attractive investment opportunities and to achieve our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investment objectives. Mr. Penn, our Chief Executive Officer and the Managing Member of our Investment Adviser, has had more than one year of experience managing the investments of PennantPark and approximately three years of experience managing another business development company. However, current market conditions and the current stage of the economic cycle present significant challenges to us that have not been present in recent years, if ever. In addition, the investment philosophy and techniques used by our Investment Adviser may differ from those used by other investment companies. Accordingly, we can offer no assurance that PennantPark will replicate the historical performance of other investment companies with which Mr. Penn and our other investment professionals have been affiliated, and we caution that our investment returns could be substantially lower than the returns achieved by such other companies.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failure on our part to maintain our status as a business development company would reduce our operating flexibility.</w:t>
      </w:r>
    </w:p>
    <w:p>
      <w:pPr>
        <w:spacing w:after="0" w:line="9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If we do not remain a business development company, we might be regulated as a closed-end investment company under the 1940 Act, which would subject us to substantially more regulatory restrictions under the 1940 Act and correspondingly decrease our operating flexibility.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be subject to corporate-level income tax if we are unable to qualify as a RIC.</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To qualify as a RIC under the Code, we must meet certain source-of-income, asset diversification and annual distribution requirements. The annual distribution requirement for a RIC is satisfied if we distribute at least 90% of our ordinary income and realized net short-term capital gains in excess of realized net long-term capital losses, if any, to our stockholders on an annual basis. To the extent we use debt financing, we are subject to certain asset coverage ratio requirements under the 1940 Act and financial covenants under loan and credit agreements that could, under certain circumstances, restrict us from making distributions necessary to qualify as a RIC. If we are unable to obtain cash from other sources, we may fail to qualify as a RIC and, thus, may be subject to corporate-level income tax. To qualify as a RIC, we must also meet certain asset diversification requirements at the end of each calendar quarter. Failure to meet these tests may result in having to dispose of certain investments quickly in order to prevent the loss of RIC status. Because most of our investments are in private companies, any such dispositions could be made at disadvantageous prices and may result in substantial losses. If we fail to qualify as a RIC for any reason and become subject to corporate income tax, the resulting corporate taxes could substantially reduce our net assets, the amount of income available for distribution and the amount of our distributions. Such a failure would have a material adverse effect on us and our stockholders.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have difficulty paying our required distributions if we recognize income before or without receiving cash representing such income.</w:t>
      </w:r>
    </w:p>
    <w:p>
      <w:pPr>
        <w:spacing w:after="0" w:line="119"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For federal income tax purposes, we will include in income certain amounts that we have not yet received in cash, such as original issue discount or contracted payment-in-kind, or “PIK,” interest, which represents contractual interest added to the loan balance and due at the end of the loan term. Such original issue discount, which could be significant relative to our overall investment assets, and increases in loan balances as a result of contracted PIK interest will be included in income before we receive any corresponding cash payments. We also may be required to include in income certain other amounts that we will not receive in cash.</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part of the incentive fee payable by us that relates to our net investment income will be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some cases we may recognize income before or without receiving cash representing such income. As a result, we may have difficulty meeting the tax requirement to distribute at least 90% of our ordinary income and realized net short-term capital gains in excess of realized net long-term capital losses, if any, to obtain RIC tax</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benefits. Accordingly, we may have to sell some of our investments at times we would not consider advantageous, raise additional debt or equity capital or reduce new investment originations to meet these distribution requirements. If we are not able to obtain cash from other sources, we may fail to qualify for RIC tax benefits and thus be subject to corporate level income tax.</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governing our operation as a BDC will affect our ability to, and the way in which we, raise additional capital.</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business requires a substantial amount of capital. We may acquire additional capital from the issuance of senior securities or other indebtedness, the issuance of additional shares of our common stock, the issuance of warrants to purchase certain of our securities, the issuance of subscription rights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such that our asset coverage, as defined in the 1940 Act, equals at least 200% after such issuance or incurrence. Our ability to pay dividends or issue additional senior securities would be restricted if our asset coverage ratio were not at least 200%.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39" w:lineRule="exact"/>
        <w:rPr>
          <w:sz w:val="20"/>
          <w:szCs w:val="20"/>
          <w:color w:val="auto"/>
        </w:rPr>
      </w:pPr>
    </w:p>
    <w:p>
      <w:pPr>
        <w:ind w:left="900" w:right="40" w:hanging="325"/>
        <w:spacing w:after="0" w:line="294"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Senior Securities. </w:t>
      </w:r>
      <w:r>
        <w:rPr>
          <w:rFonts w:ascii="Arial" w:cs="Arial" w:eastAsia="Arial" w:hAnsi="Arial"/>
          <w:sz w:val="16"/>
          <w:szCs w:val="16"/>
          <w:color w:val="auto"/>
        </w:rPr>
        <w:t>As a result of issuing senior securities, we would also be exposed to typical risks associated with leverage, including an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risk of loss. If we issue preferred securities they would rank “senior” to common stock in our capital structure. Preferred stockholders would have separate voting rights and may have rights, preferences or privileges more favorable than those of our common stock. Furthermore, the issuance of preferred securities could have the effect of delaying, deferring or preventing a transaction or a change of control that might involve a premium price for our common stockholders or otherwise be in your best interest.</w:t>
      </w:r>
    </w:p>
    <w:p>
      <w:pPr>
        <w:spacing w:after="0" w:line="34" w:lineRule="exact"/>
        <w:rPr>
          <w:rFonts w:ascii="Arial" w:cs="Arial" w:eastAsia="Arial" w:hAnsi="Arial"/>
          <w:sz w:val="16"/>
          <w:szCs w:val="16"/>
          <w:color w:val="auto"/>
        </w:rPr>
      </w:pPr>
    </w:p>
    <w:p>
      <w:pPr>
        <w:ind w:left="900" w:hanging="325"/>
        <w:spacing w:after="0" w:line="286"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Additional Common Stock. </w:t>
      </w:r>
      <w:r>
        <w:rPr>
          <w:rFonts w:ascii="Arial" w:cs="Arial" w:eastAsia="Arial" w:hAnsi="Arial"/>
          <w:sz w:val="16"/>
          <w:szCs w:val="16"/>
          <w:color w:val="auto"/>
        </w:rPr>
        <w:t>Our Board of Directors may decide to issue common stock to finance our operations rather than issuing debt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senior securities. As a BDC, we are generally not able to issue our common stock at a price below net asset value without first obtaining required approvals from our stockholders and our board of directors. We may, however, subject to the requirements of the 1940 Act,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S-3.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39" w:lineRule="exact"/>
        <w:rPr>
          <w:rFonts w:ascii="Arial" w:cs="Arial" w:eastAsia="Arial" w:hAnsi="Arial"/>
          <w:sz w:val="16"/>
          <w:szCs w:val="16"/>
          <w:color w:val="auto"/>
        </w:rPr>
      </w:pPr>
    </w:p>
    <w:p>
      <w:pPr>
        <w:ind w:left="900" w:right="100" w:hanging="325"/>
        <w:spacing w:after="0" w:line="25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Securitization. </w:t>
      </w:r>
      <w:r>
        <w:rPr>
          <w:rFonts w:ascii="Arial" w:cs="Arial" w:eastAsia="Arial" w:hAnsi="Arial"/>
          <w:sz w:val="18"/>
          <w:szCs w:val="18"/>
          <w:color w:val="auto"/>
        </w:rPr>
        <w:t>In addition to issuing securities to raise capital as described above, we anticipate that in the future, as market conditions permit, we</w:t>
      </w:r>
      <w:r>
        <w:rPr>
          <w:rFonts w:ascii="Arial" w:cs="Arial" w:eastAsia="Arial" w:hAnsi="Arial"/>
          <w:sz w:val="18"/>
          <w:szCs w:val="18"/>
          <w:i w:val="1"/>
          <w:iCs w:val="1"/>
          <w:color w:val="auto"/>
        </w:rPr>
        <w:t xml:space="preserve"> </w:t>
      </w:r>
      <w:r>
        <w:rPr>
          <w:rFonts w:ascii="Arial" w:cs="Arial" w:eastAsia="Arial" w:hAnsi="Arial"/>
          <w:sz w:val="18"/>
          <w:szCs w:val="18"/>
          <w:color w:val="auto"/>
        </w:rPr>
        <w:t>may 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We would retain all or a portion of the equity in the securitized pool of loans. Our retained equity would be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80"/>
        <w:spacing w:after="0" w:line="290" w:lineRule="auto"/>
        <w:rPr>
          <w:sz w:val="20"/>
          <w:szCs w:val="20"/>
          <w:color w:val="auto"/>
        </w:rPr>
      </w:pPr>
      <w:r>
        <w:rPr>
          <w:rFonts w:ascii="Arial" w:cs="Arial" w:eastAsia="Arial" w:hAnsi="Arial"/>
          <w:sz w:val="16"/>
          <w:szCs w:val="16"/>
          <w:color w:val="auto"/>
        </w:rPr>
        <w:t>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would not treat the debt issued by such a subsidiary as senior securities. An inability to successfully securitize our loan portfolio could limit our ability to grow our business and fully execute our business strategy and adversely affect our earnings, if any. Moreover, the successful securitization of our loan portfolio might expose us to losses as the residual loans in which we do not sell interests will tend to be those that are riskier and more apt to generate losses.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use borrowed funds to make investments and are exposed to the typical risks associated with leverage.</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Because we borrow funds to make investments we are exposed to increased risk of loss due to our use of debt to make investments. A decrease in the value of our investments will have a greater negative impact on the value of our common stock than it would if we did not use debt. Our ability to pay distributions is restricted when our asset coverage ratio is not at least 200% and any amounts that we use to service our indebtedness is not available for distribution to our common stockholders.</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Our current and future debt is governed by the terms of our credit facility and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incur additional debt, it could increase the risk of investing in our shares.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indebtedness outstanding pursuant to our $300 million revolving credit facility and expect in the future to borrow additional amounts under our credit facility and to increase the size of our credit facility. Lenders have fixed dollar claims on our assets that are superior to the claims of our common stockholders or preferred stockholders, if any, and we have granted a security interest in our assets in connection with our credit facility borrowings. In the case of a liquidation event, those lenders would receive proceeds before our stockholders. In addition, borrowings, also known as leverage, magnify the potential for gain or loss on amounts invested and, therefore, increase the risks associated with investing in our securities. Leverage is generally considered a speculative investment technique. If the value of our assets decreases, leveraging would cause the net asset value attributable to our common stock to decline more than it otherwise would have had we not leveraged.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2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As of June 30, 2008 we had outstanding borrowings of $204.1 million (including a $40.0 million temporary draw) under our credit facility with an annual interest rate at that time of 3.65%. Accordingly, to cover the annual interest on our borrowings outstanding at June 30, 2008 at the then current rate we would have to receive an annual return of at least 1.4%. This projection is for illustrative purposes only, and actual interest rates on our credit facility borrowings are likely to fluctuate. The costs associated with our borrowings, including any increase in the management fee payable to our Investment Adviser, will be borne by our common stockholders.</w:t>
      </w:r>
    </w:p>
    <w:p>
      <w:pPr>
        <w:spacing w:after="0" w:line="14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As a BDC, we generally are required to meet a coverage ratio of total assets to total borrowings and other senior securities, which include all of our borrowings and any preferred stock we may issue in the future, of at least 200%. If this ratio declines below 200%, we may not be able to incur additional debt and may need to sell a portion of our investments to repay some debt when it is disadvantageous to do so, and we may not be able to make distributions.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following table is designed to illustrate the effect on return to a holder of our common stock of the leverage created by our use of borrowing at June 30, 2008 of 33% of our total assets (including such borrowed funds), at the weighted average annual interest rate of 3.65% and assuming hypothetical annual returns on our portfolio of minus 10 to plus 10 percent.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Assumed return on portfolio (net of expenses)</w:t>
            </w:r>
            <w:r>
              <w:rPr>
                <w:rFonts w:ascii="Arial" w:cs="Arial" w:eastAsia="Arial" w:hAnsi="Arial"/>
                <w:sz w:val="22"/>
                <w:szCs w:val="22"/>
                <w:color w:val="auto"/>
                <w:vertAlign w:val="superscript"/>
              </w:rPr>
              <w:t>(1)</w:t>
            </w:r>
          </w:p>
        </w:tc>
        <w:tc>
          <w:tcPr>
            <w:tcW w:w="27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-10.0%</w:t>
            </w: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-5.0%</w:t>
            </w:r>
          </w:p>
        </w:tc>
        <w:tc>
          <w:tcPr>
            <w:tcW w:w="8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93"/>
        </w:trPr>
        <w:tc>
          <w:tcPr>
            <w:tcW w:w="5460" w:type="dxa"/>
            <w:vAlign w:val="bottom"/>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22"/>
                <w:szCs w:val="22"/>
                <w:color w:val="auto"/>
                <w:vertAlign w:val="superscript"/>
              </w:rPr>
              <w:t>(2)</w:t>
            </w:r>
          </w:p>
        </w:tc>
        <w:tc>
          <w:tcPr>
            <w:tcW w:w="2760" w:type="dxa"/>
            <w:vAlign w:val="bottom"/>
          </w:tcPr>
          <w:p>
            <w:pPr>
              <w:jc w:val="right"/>
              <w:ind w:right="112"/>
              <w:spacing w:after="0"/>
              <w:rPr>
                <w:sz w:val="20"/>
                <w:szCs w:val="20"/>
                <w:color w:val="auto"/>
              </w:rPr>
            </w:pPr>
            <w:r>
              <w:rPr>
                <w:rFonts w:ascii="Arial" w:cs="Arial" w:eastAsia="Arial" w:hAnsi="Arial"/>
                <w:sz w:val="18"/>
                <w:szCs w:val="18"/>
                <w:color w:val="auto"/>
              </w:rPr>
              <w:t>-19.8%</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-11.2%</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-2.6%</w:t>
            </w: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6.0%</w:t>
            </w:r>
          </w:p>
        </w:tc>
        <w:tc>
          <w:tcPr>
            <w:tcW w:w="660" w:type="dxa"/>
            <w:vAlign w:val="bottom"/>
          </w:tcPr>
          <w:p>
            <w:pPr>
              <w:jc w:val="right"/>
              <w:spacing w:after="0"/>
              <w:rPr>
                <w:sz w:val="20"/>
                <w:szCs w:val="20"/>
                <w:color w:val="auto"/>
              </w:rPr>
            </w:pPr>
            <w:r>
              <w:rPr>
                <w:rFonts w:ascii="Arial" w:cs="Arial" w:eastAsia="Arial" w:hAnsi="Arial"/>
                <w:sz w:val="18"/>
                <w:szCs w:val="18"/>
                <w:color w:val="auto"/>
              </w:rPr>
              <w:t>14.6%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4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assumed portfolio return is required by regulation of the SEC and is not a prediction of, and does not represent, our projected or actual performance.</w:t>
      </w:r>
    </w:p>
    <w:p>
      <w:pPr>
        <w:spacing w:after="0" w:line="99" w:lineRule="exact"/>
        <w:rPr>
          <w:rFonts w:ascii="Arial" w:cs="Arial" w:eastAsia="Arial" w:hAnsi="Arial"/>
          <w:sz w:val="16"/>
          <w:szCs w:val="16"/>
          <w:color w:val="auto"/>
        </w:rPr>
      </w:pPr>
    </w:p>
    <w:p>
      <w:pPr>
        <w:jc w:val="both"/>
        <w:ind w:left="460" w:right="60" w:hanging="452"/>
        <w:spacing w:after="0" w:line="298"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1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 table also assumes that we will maintain a constant level of leverage. The amount of leverage that we use will vary from time to time.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interest rates may affect our cost of capital and net investment income.</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period from June 25, 2007, when we executed our credit facility, through June 30, 2008, the applicable LIBOR rate has decreased from 5.32% to 2.80%. In periods of rising interest rates, our cost of funds will increase, which could reduce our net investment income. We may use interest rate risk management techniques in an effort to limit our exposure to interest rate fluctuations. These techniques may include various interest rate hedging activities to the extent permitted by the 1940 Act.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“Quantitative and Qualitative Disclosures about Market Risk.”</w:t>
      </w:r>
    </w:p>
    <w:p>
      <w:pPr>
        <w:spacing w:after="0" w:line="12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 For a definition of Pre-Incentive Fee Net Investment Income, see “Certain Relationships and Transactions—Investment Management Agreement.”</w:t>
      </w:r>
    </w:p>
    <w:p>
      <w:pPr>
        <w:spacing w:after="0" w:line="188"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preferred stock, which would magnify the potential for loss and the risks of investing in us in the same way as our borrowings.</w:t>
      </w:r>
    </w:p>
    <w:p>
      <w:pPr>
        <w:spacing w:after="0" w:line="45"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must take preference over any dividends or other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payments to our common stockholders, and preferred stockholders are not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188"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debt securities, which would magnify the potential for loss and the risks of investing in us in the same way as our borrowings.</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result of an issuance of debt securities, we would be exposed to typical risks associated with leverage, including an increased risk of loss and an increase in expenses, which are ultimately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issue preferred stock and/or debt securities, the net asset value and market value of our common stock may become more volatile.</w:t>
      </w:r>
    </w:p>
    <w:p>
      <w:pPr>
        <w:spacing w:after="0" w:line="11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cannot assure you that the issuance of preferred stock and/or debt securities would result in a higher yield or return to the holders of our common stock. The issuance of preferred stock and/or debt securities would likely cause the net asset value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decline in net asset value would also tend to cause a greater decline in the market price for our common stock.</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which may be required by the preferred stock and/or debt securities or of a downgrade in the ratings of the preferred stock and/or debt securities or our current investment income might not be sufficient to meet the dividend requirements on the preferred stock or the interest payments on the debt securities. In order to counteract such an event, we might need to liquidate investments in order to fund a redemption of some or all of the preferred stock and/or debt securities. In addition, we would pay (and the holders of our common stock would bear) all costs and expenses relating to the issuance and ongoing maintenance of the preferred stock and/or debt securities. Holders of preferred stock and/or debt securities may have different interests than holders of common stock and may at times have disproportionate influence over our affairs.</w:t>
      </w:r>
    </w:p>
    <w:p>
      <w:pPr>
        <w:spacing w:after="0" w:line="193"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Holders of any preferred stock that we may issue will have the right to elect members of the board of directors and have class voting rights on certain matters.</w:t>
      </w:r>
    </w:p>
    <w:p>
      <w:pPr>
        <w:spacing w:after="0" w:line="4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1940 Act requires that holders of shares of preferred stock must be entitled as a class to elect two directors at all times and to elect a majority of the directors if dividends on such preferred stock are in arrears by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market or market value of any publicly issued debt securities may be volatile.</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If we publicly issue debt securities, they may or may not have an established trading market. We cannot assure investors that a trading market for our publicly issued debt securities would develop or be maintained if developed. In addition to our creditworthiness, many factors may materially adversely affect the trading market for, and market value of, our publicly issued debt securities. These factors include the following:</w:t>
      </w:r>
    </w:p>
    <w:p>
      <w:pPr>
        <w:spacing w:after="0" w:line="26"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to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redemption or repayment features, if any, of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generally;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There also may be a limited number of buyers for our debt securities. This too may materially adversely affect the market value of the debt securities or the trading market for the debt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credit ratings may not reflect all risks of an investment in debt securities.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credit ratings are an assessment of our ability to pay our obligations. Consequently, real or anticipated changes in our credit ratings will generally affect the market value of any publicly issued debt securities. Our credit ratings, however, may not reflect the potential impact of risks related to market conditions generally or other factors discussed above on the market value of, or trading market for, any publicly issued debt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relating to redemption may materially adversely affect the return on any debt securities.</w:t>
      </w:r>
    </w:p>
    <w:p>
      <w:pPr>
        <w:spacing w:after="0" w:line="96"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issue subscription rights or warrants for our common stock, your interest in us may be diluted as a result of such rights or warrants offering.</w:t>
      </w:r>
    </w:p>
    <w:p>
      <w:pPr>
        <w:spacing w:after="0" w:line="119"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the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4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In addition, if the subscription price or warrant price is less than our net asset value per share of common stock at the time of such offering, then our stockholders would experience an immediate dilution of the aggregate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asset value of their shares as a result of the offering. The amount of any such decrease in net asset value is not predictable because it is not known at this time what the subscription price, warrant price or net asset value per share will be on the expiration date of such rights offering or what proportion of our common stock will be purchased as a result of any such offering.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be exposed to risks associated with changes in interest rates.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including subordinated loans, senior and junior secured and unsecured debt securities and loans and high-yield bonds, and also could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need to raise additional capital to grow because we must distribute most of our income.</w:t>
      </w:r>
    </w:p>
    <w:p>
      <w:pPr>
        <w:spacing w:after="0" w:line="96" w:lineRule="exact"/>
        <w:rPr>
          <w:sz w:val="20"/>
          <w:szCs w:val="20"/>
          <w:color w:val="auto"/>
        </w:rPr>
      </w:pPr>
    </w:p>
    <w:p>
      <w:pPr>
        <w:jc w:val="both"/>
        <w:ind w:right="160" w:firstLine="456"/>
        <w:spacing w:after="0" w:line="255" w:lineRule="auto"/>
        <w:rPr>
          <w:sz w:val="20"/>
          <w:szCs w:val="20"/>
          <w:color w:val="auto"/>
        </w:rPr>
      </w:pPr>
      <w:r>
        <w:rPr>
          <w:rFonts w:ascii="Arial" w:cs="Arial" w:eastAsia="Arial" w:hAnsi="Arial"/>
          <w:sz w:val="18"/>
          <w:szCs w:val="18"/>
          <w:color w:val="auto"/>
        </w:rPr>
        <w:t>We may need additional capital to fund the growth of our investments. We have issued equity securities and have borrowed from financial institutions. A reduction in the availability of new capital could limit our ability to grow. We will be required to distribute at least 90% of our ordinary income and realized net short-term capital gains in excess of realized net long-term capital losses, if any, to our stockholders to maintain our RIC status. As a result, these earnings will not be available to fund new investments. If we fail to obtain additional capital to fund our investments, this could limit our ability to grow, which may have an adverse effect on the value of our securities.</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as a business development company, we are generally required to maintain a ratio of total assets to total borrowings of at least 200%. This may restrict our ability to borrow in certain circumstances.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fluctuations in our quarterly results.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potential conflicts of interest which could impact our investment returns.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partners of our Investment Adviser may serve as officers, directors or principals of entities that operate in the same or a related line of business as we do or of investment funds managed by affiliates of PennantPark that may be formed in the future. The Investment Adviser has not yet undertaken any such services, but may do so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the course of our investing activities, we will pay investment advisory and incentive fees to our Investment Adviser, and will reimburse our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entered into a license agreement (the “License Agreement”) with PennantPark Investment Advisers, pursuant to which our Investment Adviser has agreed to grant us a royalty-free non-exclusive license to use the name “PennantPark.” Under the License Agreement, we will have the right to use the “PennantPark” name for so long as the Investment Adviser or one of its affiliates remains our Investment Adviser. Other than with respect to this limited license, we will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our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or regulations governing our operations may adversely affect our business.</w:t>
      </w:r>
    </w:p>
    <w:p>
      <w:pPr>
        <w:spacing w:after="0" w:line="96" w:lineRule="exact"/>
        <w:rPr>
          <w:sz w:val="20"/>
          <w:szCs w:val="20"/>
          <w:color w:val="auto"/>
        </w:rPr>
      </w:pPr>
    </w:p>
    <w:p>
      <w:pPr>
        <w:ind w:right="400" w:firstLine="456"/>
        <w:spacing w:after="0" w:line="370" w:lineRule="auto"/>
        <w:rPr>
          <w:sz w:val="20"/>
          <w:szCs w:val="20"/>
          <w:color w:val="auto"/>
        </w:rPr>
      </w:pPr>
      <w:r>
        <w:rPr>
          <w:rFonts w:ascii="Arial" w:cs="Arial" w:eastAsia="Arial" w:hAnsi="Arial"/>
          <w:sz w:val="15"/>
          <w:szCs w:val="15"/>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effect on our business.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board of directors may change our investment objectives, operating policies and strategies without prior notice or stockholder approval.</w:t>
      </w:r>
    </w:p>
    <w:p>
      <w:pPr>
        <w:spacing w:after="0" w:line="119"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90"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We invest in illiquid assets, and our valuation procedures with respect to such assets may result in our recording values that are materially different than the values we ultimately receive upon disposition of such assets.</w:t>
      </w:r>
    </w:p>
    <w:p>
      <w:pPr>
        <w:spacing w:after="0" w:line="4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All of our investments are recorded using broker/dealers quotes, or at fair value as determined in good faith by our board of directors. As a result, there will be uncertainty as to the value of our portfolio investments. We expect that a large percentage of our portfolio investments will be in the form of securities that have no broker/dealers quotes. The fair value of such securities may not be readily determinable. We value these securities quarterly at fair value as determined in good faith by our board of directors.</w:t>
      </w:r>
    </w:p>
    <w:p>
      <w:pPr>
        <w:spacing w:after="0" w:line="14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At June 30, 2008, most of our portfolio assets were recorded using broker/dealers quotes. As we invest a greater percentage of our total assets in core assets, more of our portfolio assets will be recorded at fair value as determined in good faith by our board of directors. Our board of directors uses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values that would have been used if a ready market for these securities existed. Additionally, valuations of private securities and private companies are inherently uncertain. Our net asset value could be adversely affected if our determinations regarding the fair value of our investments were materially higher than the values that we ultimately realize upon the disposal of such securities.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value each individual investment on a quarterly basis and record unrealized depreciation for an investment that we believe has become impaired, including where collection of a loan or realization of an equity investment is doubtful, or when the enterprise value of the portfolio company does not currently support the cost of our debt or equity investment. Enterprise value means the entire value of the company to a potential buyer, including the sum of the values of debt and equity investments used to capitalize the enterprise at a point in time. We will record unrealized appreciation if we believe that the underlying portfolio company has appreciated in value. Without a readily available market value and because of the inherent uncertainty of valuation, the fair value of our investments determined in good faith by the board of directors may differ significantly from the values that would have been used had a ready market existed for the investments, and the differences could be material. Our net asset value could be affected if our determination of the fair value of our investments is materially different than the value that we ultimately realize.</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adjust quarterly the valuation of our portfolio to reflect our board of directors’ determination of the fair value of each investment in our portfolio. Any changes in fair value are recorded in our statement of operations as net change in unrealized appreciation or depreciation.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lack of liquidity in our investments may adversely affect our business.</w:t>
      </w:r>
    </w:p>
    <w:p>
      <w:pPr>
        <w:spacing w:after="0" w:line="96"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We may acquire our core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recapitalization, or initial public offering of the company, but we are not required to do so.</w:t>
      </w:r>
    </w:p>
    <w:p>
      <w:pPr>
        <w:spacing w:after="0" w:line="10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illiquidity of our investments may make it difficult or impossible for us to sell such investments if the need arises, particularly in light of current market developments in which investor appetite for illiquid securities has substantially diminished. In addition, if we are required to liquidate all or a portion of our portfolio quickly, we may realize significantly less than the value at which we have previously recorded our investments. In addition, we may face other restrictions on our ability to liquidate an investment in a portfolio company to the extent that we have material non-public information regarding such portfolio company.</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general disruption in the credit markets could materially damage our business.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are susceptible to the risk of significant loss if we are forced to discount the value of our investments in order to provide liquidity to meet our liability maturities. Our borrowings under our credit facility are collateralized by the assets in our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ratios stipulated by the 1940 Act, which could, in turn, cause us to lose our status as a business development company and materially impair our business operations. Our liquidity could be impaired further by an inability to access the capital markets or to draw down our credit facility. These situations may arise due to circumstances that we may be unable to control, such as a general disruption in the credit markets, a severe decline in the value of the United States dollar, a sharp economic downturn or an operational problem that affects third parties or us, and could materially damage our business.</w:t>
      </w:r>
    </w:p>
    <w:p>
      <w:pPr>
        <w:spacing w:after="0" w:line="218"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We rely in part on our senior secured securities to provide us with adequate liquidity, but even these securities face liquidity constraints under current market conditions.</w:t>
      </w:r>
    </w:p>
    <w:p>
      <w:pPr>
        <w:spacing w:after="0" w:line="45"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Even the market for senior secured debt securities and other over-the-counter traded securities has weakened as the viability of any over-the-counter secondary market depends on the continued willingness of dealers and other participants to purchase the securities, which has slackened under current market conditions.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prospective portfolio companies may be risky, and you could lose all or part of your investment.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invest primarily in mezzanine debt, senior secured loans and selected equity investments issued by U.S. middle-market companies.</w:t>
      </w:r>
    </w:p>
    <w:p>
      <w:pPr>
        <w:spacing w:after="0" w:line="19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Mezzanine Debt: </w:t>
      </w:r>
      <w:r>
        <w:rPr>
          <w:rFonts w:ascii="Arial" w:cs="Arial" w:eastAsia="Arial" w:hAnsi="Arial"/>
          <w:sz w:val="16"/>
          <w:szCs w:val="16"/>
          <w:color w:val="auto"/>
        </w:rPr>
        <w:t>Our mezzanine debt investments will generally be subordinated to senior secured loans and will generally be unsecured. This may result</w:t>
      </w:r>
      <w:r>
        <w:rPr>
          <w:rFonts w:ascii="Arial" w:cs="Arial" w:eastAsia="Arial" w:hAnsi="Arial"/>
          <w:sz w:val="16"/>
          <w:szCs w:val="16"/>
          <w:i w:val="1"/>
          <w:iCs w:val="1"/>
          <w:color w:val="auto"/>
        </w:rPr>
        <w:t xml:space="preserve"> </w:t>
      </w:r>
      <w:r>
        <w:rPr>
          <w:rFonts w:ascii="Arial" w:cs="Arial" w:eastAsia="Arial" w:hAnsi="Arial"/>
          <w:sz w:val="16"/>
          <w:szCs w:val="16"/>
          <w:color w:val="auto"/>
        </w:rPr>
        <w:t>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will not receive cash prior to the maturity of some of our mezzanine debt investments, such investments may be of greater risk than cash paying loans.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Senior Secured Loans: </w:t>
      </w:r>
      <w:r>
        <w:rPr>
          <w:rFonts w:ascii="Arial" w:cs="Arial" w:eastAsia="Arial" w:hAnsi="Arial"/>
          <w:sz w:val="16"/>
          <w:szCs w:val="16"/>
          <w:color w:val="auto"/>
        </w:rPr>
        <w:t>When we extend senior secured loans, we will generally take a security interest in the available assets of these portfolio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equity interests of their subsidiaries, although this will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118" w:lineRule="exact"/>
        <w:rPr>
          <w:sz w:val="20"/>
          <w:szCs w:val="20"/>
          <w:color w:val="auto"/>
        </w:rPr>
      </w:pPr>
    </w:p>
    <w:p>
      <w:pPr>
        <w:jc w:val="both"/>
        <w:ind w:right="240" w:firstLine="456"/>
        <w:spacing w:after="0" w:line="303" w:lineRule="auto"/>
        <w:rPr>
          <w:sz w:val="20"/>
          <w:szCs w:val="20"/>
          <w:color w:val="auto"/>
        </w:rPr>
      </w:pPr>
      <w:r>
        <w:rPr>
          <w:rFonts w:ascii="Arial" w:cs="Arial" w:eastAsia="Arial" w:hAnsi="Arial"/>
          <w:sz w:val="15"/>
          <w:szCs w:val="15"/>
          <w:i w:val="1"/>
          <w:iCs w:val="1"/>
          <w:color w:val="auto"/>
        </w:rPr>
        <w:t xml:space="preserve">Equity Investments: </w:t>
      </w:r>
      <w:r>
        <w:rPr>
          <w:rFonts w:ascii="Arial" w:cs="Arial" w:eastAsia="Arial" w:hAnsi="Arial"/>
          <w:sz w:val="15"/>
          <w:szCs w:val="15"/>
          <w:color w:val="auto"/>
        </w:rPr>
        <w:t>We have made and expect to continue to make selected equity investments. In addition, when we invest in senior secured loans or</w:t>
      </w:r>
      <w:r>
        <w:rPr>
          <w:rFonts w:ascii="Arial" w:cs="Arial" w:eastAsia="Arial" w:hAnsi="Arial"/>
          <w:sz w:val="15"/>
          <w:szCs w:val="15"/>
          <w:i w:val="1"/>
          <w:iCs w:val="1"/>
          <w:color w:val="auto"/>
        </w:rPr>
        <w:t xml:space="preserve"> </w:t>
      </w:r>
      <w:r>
        <w:rPr>
          <w:rFonts w:ascii="Arial" w:cs="Arial" w:eastAsia="Arial" w:hAnsi="Arial"/>
          <w:sz w:val="15"/>
          <w:szCs w:val="15"/>
          <w:color w:val="auto"/>
        </w:rPr>
        <w:t>mezzanine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Accordingly, we may not be able to realize gains from our equity investments, and any gains that we do realize on the disposition of any equity investments may not be sufficient to offset any other losses we experience.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90" w:lineRule="exact"/>
        <w:rPr>
          <w:sz w:val="20"/>
          <w:szCs w:val="20"/>
          <w:color w:val="auto"/>
        </w:rPr>
      </w:pPr>
    </w:p>
    <w:p>
      <w:pPr>
        <w:jc w:val="both"/>
        <w:ind w:left="900" w:right="26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9" w:lineRule="exact"/>
        <w:rPr>
          <w:rFonts w:ascii="Arial" w:cs="Arial" w:eastAsia="Arial" w:hAnsi="Arial"/>
          <w:sz w:val="18"/>
          <w:szCs w:val="18"/>
          <w:color w:val="auto"/>
        </w:rPr>
      </w:pPr>
    </w:p>
    <w:p>
      <w:pPr>
        <w:ind w:left="900" w:right="220" w:hanging="325"/>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4" w:lineRule="exact"/>
        <w:rPr>
          <w:rFonts w:ascii="Arial" w:cs="Arial" w:eastAsia="Arial" w:hAnsi="Arial"/>
          <w:sz w:val="16"/>
          <w:szCs w:val="16"/>
          <w:color w:val="auto"/>
        </w:rPr>
      </w:pPr>
    </w:p>
    <w:p>
      <w:pPr>
        <w:ind w:left="900" w:right="440" w:hanging="325"/>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4" w:lineRule="exact"/>
        <w:rPr>
          <w:rFonts w:ascii="Arial" w:cs="Arial" w:eastAsia="Arial" w:hAnsi="Arial"/>
          <w:sz w:val="16"/>
          <w:szCs w:val="16"/>
          <w:color w:val="auto"/>
        </w:rPr>
      </w:pPr>
    </w:p>
    <w:p>
      <w:pPr>
        <w:ind w:left="900" w:right="120" w:hanging="325"/>
        <w:spacing w:after="0" w:line="298"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31"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207" w:lineRule="exact"/>
        <w:rPr>
          <w:sz w:val="20"/>
          <w:szCs w:val="20"/>
          <w:color w:val="auto"/>
        </w:rPr>
      </w:pPr>
    </w:p>
    <w:p>
      <w:pPr>
        <w:ind w:right="260"/>
        <w:spacing w:after="0" w:line="361" w:lineRule="auto"/>
        <w:rPr>
          <w:sz w:val="20"/>
          <w:szCs w:val="20"/>
          <w:color w:val="auto"/>
        </w:rPr>
      </w:pPr>
      <w:r>
        <w:rPr>
          <w:rFonts w:ascii="Arial" w:cs="Arial" w:eastAsia="Arial" w:hAnsi="Arial"/>
          <w:sz w:val="15"/>
          <w:szCs w:val="15"/>
          <w:b w:val="1"/>
          <w:bCs w:val="1"/>
          <w:color w:val="auto"/>
        </w:rPr>
        <w:t>We may invest up to 30% of our assets in investments that are not qualifying assets for business development companies under the 1940 Act. If we do not invest a sufficient portion of our assets in qualifying assets, we could be precluded from investing in assets that we deem to be attractive.</w:t>
      </w:r>
    </w:p>
    <w:p>
      <w:pPr>
        <w:ind w:right="40" w:firstLine="456"/>
        <w:spacing w:after="0" w:line="294" w:lineRule="auto"/>
        <w:rPr>
          <w:sz w:val="20"/>
          <w:szCs w:val="20"/>
          <w:color w:val="auto"/>
        </w:rPr>
      </w:pPr>
      <w:r>
        <w:rPr>
          <w:rFonts w:ascii="Arial" w:cs="Arial" w:eastAsia="Arial" w:hAnsi="Arial"/>
          <w:sz w:val="16"/>
          <w:szCs w:val="16"/>
          <w:color w:val="auto"/>
        </w:rPr>
        <w:t>As a business development company,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effective July 2008, companies listed on a national securities exchange subject to a market capitalization limit of $250 million. Qualifying assets also include cash, cash items, government securities and high quality debt securities maturing in one year or less from the time of investment. See “Regulation” for a complete list of the qualifying assets in which we may invest.</w:t>
      </w:r>
    </w:p>
    <w:p>
      <w:pPr>
        <w:spacing w:after="0" w:line="11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believe that most of our senior secured loans and mezzanine debt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93"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45"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stakeholdings in investment companies. To the extent that we assume large positions in the securities of a small number of issuers, our net asset value may fluctuate to 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recessions or downturns could impair our portfolio companies and harm our operating results.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Many financial experts believe that we are about to enter into a recession or are already in a recession. Many of our portfolio companies may be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even though we may have structured our investment as senior secured loans.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make follow-on investments in our portfolio companies, this could impair the value of our portfolio.</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5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 We may elect not to make follow-on investments or otherwise lack sufficient funds to make those investments.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the discretion to make any follow-on investments, subject to the availability of capital resources.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business development company requirements or the desire to maintain our tax status.</w:t>
      </w:r>
    </w:p>
    <w:p>
      <w:pPr>
        <w:spacing w:after="0" w:line="191" w:lineRule="exact"/>
        <w:rPr>
          <w:sz w:val="20"/>
          <w:szCs w:val="20"/>
          <w:color w:val="auto"/>
        </w:rPr>
      </w:pPr>
    </w:p>
    <w:p>
      <w:pPr>
        <w:ind w:right="620"/>
        <w:spacing w:after="0" w:line="338" w:lineRule="auto"/>
        <w:rPr>
          <w:sz w:val="20"/>
          <w:szCs w:val="20"/>
          <w:color w:val="auto"/>
        </w:rPr>
      </w:pPr>
      <w:r>
        <w:rPr>
          <w:rFonts w:ascii="Arial" w:cs="Arial" w:eastAsia="Arial" w:hAnsi="Arial"/>
          <w:sz w:val="16"/>
          <w:szCs w:val="16"/>
          <w:b w:val="1"/>
          <w:bCs w:val="1"/>
          <w:color w:val="auto"/>
        </w:rPr>
        <w:t>Because we do not generally hold controlling equity interests in our portfolio companies, we may not be in a position to exercise control over our portfolio companies or to prevent decisions by management of our portfolio companies that could decrease the value of our investments.</w:t>
      </w:r>
    </w:p>
    <w:p>
      <w:pPr>
        <w:spacing w:after="0" w:line="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Although we may do so in the future, we do not currently have controlling equity positions in our portfolio companies. As a result, we are subject to the risk that a portfolio company may make business decisions with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which we disagree, and the stockholders and management of a portfolio company may take risks or otherwise act in ways that are adverse to our interests. Due to the lack of liquidity for the debt and equity investments that we will typically hold in our portfolio companies, we may not be able to dispose of our investments in the event we disagree with the actions of a portfolio company, and may therefore suffer a decrease in the value of our investments.</w:t>
      </w:r>
    </w:p>
    <w:p>
      <w:pPr>
        <w:spacing w:after="0" w:line="182"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color w:val="auto"/>
        </w:rPr>
        <w:t>An investment strategy focused primarily on privately held companies presents certain challenges, including the lack of available information about these companies, a dependence on the talents and efforts of only a few key portfolio company personnel and a greater vulnerability to economic downturns.</w:t>
      </w:r>
    </w:p>
    <w:p>
      <w:pPr>
        <w:spacing w:after="0" w:line="5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will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money on our investments. Also, privately held companies frequently have less diverse product lines and smaller market presence than larger competitors. These factors could materially adversely affect our investment returns as compared to companies investing primarily in the securities of public companies.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 companies may incur debt that ranks equally with, or senior to, our investments in such companies.</w:t>
      </w:r>
    </w:p>
    <w:p>
      <w:pPr>
        <w:spacing w:after="0" w:line="96" w:lineRule="exact"/>
        <w:rPr>
          <w:sz w:val="20"/>
          <w:szCs w:val="20"/>
          <w:color w:val="auto"/>
        </w:rPr>
      </w:pPr>
    </w:p>
    <w:p>
      <w:pPr>
        <w:ind w:right="20" w:firstLine="456"/>
        <w:spacing w:after="0" w:line="252" w:lineRule="auto"/>
        <w:rPr>
          <w:sz w:val="20"/>
          <w:szCs w:val="20"/>
          <w:color w:val="auto"/>
        </w:rPr>
      </w:pPr>
      <w:r>
        <w:rPr>
          <w:rFonts w:ascii="Arial" w:cs="Arial" w:eastAsia="Arial" w:hAnsi="Arial"/>
          <w:sz w:val="18"/>
          <w:szCs w:val="18"/>
          <w:color w:val="auto"/>
        </w:rPr>
        <w:t>We invest primarily in mezzanine debt, senior secured loans and equity investments issued by our portfolio companies. The portfolio companies usually will have, or may be permitted to incur, other debt that ranks equally with, or senior to, the debt securities in which we invest.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incentive fee may induce the Investment Adviser to make speculative investments.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We may make investments that cause our shareholders to bear investment advisory fees and other expenses on such investments in addition to our management fees and expenses.</w:t>
      </w:r>
    </w:p>
    <w:p>
      <w:pPr>
        <w:spacing w:after="0" w:line="45"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obligated to pay our Investment Adviser incentive compensation even if we incur a loss.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statement of operations for that quarter. Thus, we may be required to pay our manager incentive compensation for a fiscal quarter even if there is a decline in the value of our portfolio or we incur a net loss for that quarter.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foreign debt securities may involve significant risks in addition to the risks inherent in U.S. investments.</w:t>
      </w:r>
    </w:p>
    <w:p>
      <w:pPr>
        <w:spacing w:after="0" w:line="96" w:lineRule="exact"/>
        <w:rPr>
          <w:sz w:val="20"/>
          <w:szCs w:val="20"/>
          <w:color w:val="auto"/>
        </w:rPr>
      </w:pPr>
    </w:p>
    <w:p>
      <w:pPr>
        <w:jc w:val="both"/>
        <w:ind w:right="80" w:firstLine="456"/>
        <w:spacing w:after="0" w:line="294" w:lineRule="auto"/>
        <w:rPr>
          <w:sz w:val="20"/>
          <w:szCs w:val="20"/>
          <w:color w:val="auto"/>
        </w:rPr>
      </w:pPr>
      <w:r>
        <w:rPr>
          <w:rFonts w:ascii="Arial" w:cs="Arial" w:eastAsia="Arial" w:hAnsi="Arial"/>
          <w:sz w:val="16"/>
          <w:szCs w:val="16"/>
          <w:color w:val="auto"/>
        </w:rPr>
        <w:t>Our investment strategy contemplates potential investments in securities of companies located outside of the United States.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1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expose ourselves to risks if we engage in hedging transactions.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borrow under a credit facility in currencies selected to minimize our foreign currency exposure or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93"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Provisions of the Maryland General Corporation Law and of our charter and bylaws could deter takeover attempts and have an adverse impact on the price of our common stock.</w:t>
      </w:r>
    </w:p>
    <w:p>
      <w:pPr>
        <w:spacing w:after="0" w:line="4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PennantPark or the removal of our directors. We are subject to the Maryland Business Combination Act, the application of which is subject to any applicable requirements of the 1940 Act. Our board of directors has adopted a resolution exempting us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 Our bylaws exempt from the Maryland Control Share Acquisition Act acquisitions of our common stock by any person. If we amend our bylaws to repeal the exemption from the Control Share Acquisition Act, the Control Share Acquisition Act also may make it more difficult for a third party to obtain control of us and increase the difficulty of consummating such an offer.</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have also adopted other measures that may make it difficult for a third party to obtain control of us, including provisions of our charter classifying our board of directors in three classes serving staggered three-year terms, and provisions of our charter authorizing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our stockholders may not receive distributions or that our distributions may not grow over time.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applicable to us as a business development company,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shares may involve an above average degree of risk.</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shares may trade at discounts from net asset value or at premiums that are unsustainable over the long term.</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Shares of business development companies may trade at a market price that is less than the net asset value that is attributable to those shares. Our shares have traded above and below our NAV. Our shares traded on NASDAQ at $7.21 and $13.40 as of June 30, 2008 and September 30, 2007, respectively. Our NAV was $10.77 and $12.83, as of June 30, 2008 and September 30, 2007, respectively. The possibility that our shares of common stock will trade at a discount from net asset value or at a premium that is unsustainable over the long term is separate and distinct from the risk that our net asset value will decrease. It is not possible to predict whether our shares will trade at, above, or below net asset value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fluctuate significantly.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1" w:lineRule="exact"/>
        <w:rPr>
          <w:sz w:val="20"/>
          <w:szCs w:val="20"/>
          <w:color w:val="auto"/>
        </w:rPr>
      </w:pPr>
    </w:p>
    <w:p>
      <w:pPr>
        <w:ind w:left="900" w:right="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business development companies or other companies in our sector, which are not necessarily related to the operating performance of these companies;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business development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loss of RIC status;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90"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 including Mr. Penn;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unable to invest the net proceeds raised from offerings on acceptable terms, which would harm our financial condition and operating results.</w:t>
      </w:r>
    </w:p>
    <w:p>
      <w:pPr>
        <w:spacing w:after="0" w:line="131"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This prospectus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involve risks and uncertainties, including statements as to:</w:t>
      </w:r>
    </w:p>
    <w:p>
      <w:pPr>
        <w:spacing w:after="0" w:line="26"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fluctuation in interest rates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71"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set forth in our preliminary prospectus entitled “Risk Factors” and elsewhere.</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based the forward-looking statements included in this prospectus on information available to us on the date of this prospectus ,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supplemental prospectus that we in the future may file with the Securities and Exchange Commission (“SEC”), including annual reports on Form 10-K, reports on Form 10-Q and current reports on Form 8-K.</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460" w:firstLine="456"/>
        <w:spacing w:after="0" w:line="306" w:lineRule="auto"/>
        <w:rPr>
          <w:sz w:val="20"/>
          <w:szCs w:val="20"/>
          <w:color w:val="auto"/>
        </w:rPr>
      </w:pPr>
      <w:r>
        <w:rPr>
          <w:rFonts w:ascii="Arial" w:cs="Arial" w:eastAsia="Arial" w:hAnsi="Arial"/>
          <w:sz w:val="16"/>
          <w:szCs w:val="16"/>
          <w:color w:val="auto"/>
        </w:rPr>
        <w:t>We expect to use the net proceeds from selling securities pursuant to this prospectus primarily to reduce our outstanding obligations under our credit facility. We may also use such proceeds to invest in new or existing portfolio companies, or for other general corporate purposes. Any supplements to this prospectus relating to an offering will more fully identify the use of the proceeds from such offering.</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of June 30, 2008, we had $95.9 million unused, subject to maintenance of the applicable total assets to debt ratio of 200%, and $204.1 million (including a $40.0 million temporary draw) in borrowings outstanding under our $300 million credit facility. Borrowings under our credit facility bear an interest rate equal to LIBOR + 100 basis points, per annum. At June 30, 2008, this corresponded to an interest rate of 3.65%. The credit facility is a five-year revolving facility with a stated maturity date of June 25, 2012 and is secured by substantially all of the assets in our investment portfolio. See “Credit Facility” in notes to the financial statements for more information.</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we invest proceeds from an offering of securities in new or existing portfolio companies, such investments may take up to two years from the closing of such offering, in part because privately negotiated investments in illiquid securities or private middle-market companies require substantial due diligence and structuring. During this period, we would expect to invest such proceeds in first lien secured debt, cash or cash equivalents. We expect to earn yields on such proceeds that are substantially lower than the interest income that we anticipate receiving in respect of investments in our core assets. As a result, any distributions we make during this period may be lower than the distributions that we would expect to pay when such proceeds are fully invested in core assets. The management fee payable by us will not be reduced while our assets are invested in such securities. See “Regulation—Temporary Investments” for additional information about temporary investments we may make prior to investing in core assets.</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Quarterly financial information is derived from unaudited financial data and, in the opinion of management, reflects all adjustments (consisting of normal recurring adjustments) that are necessary to present fairly the results of such interim periods. Interim results as of and for the nine months ended June 30, 2008 are not necessarily indicative of the results that may be expected for the year ending September 30, 2008. The Statement of Operations, Per Share Data and Balance Sheet Data for the period from January 11, 2007 (inception ) through September 30, 2007 are derived from our financial statements which have been audited by KPMG LLP, our independent registered public accounting firm. This selected financial data should be read in conjunction with our financial statements and related notes thereto and “Management’s Discussion and Analysis of Financial Condition and Results of Operations” and “Regulation—Senior Securities” included elsewhere in this prospectus.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January 11, 2007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2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(inception) to</w:t>
            </w:r>
          </w:p>
        </w:tc>
        <w:tc>
          <w:tcPr>
            <w:tcW w:w="0" w:type="dxa"/>
            <w:vAlign w:val="bottom"/>
          </w:tcPr>
          <w:p>
            <w:pPr>
              <w:spacing w:after="0"/>
              <w:rPr>
                <w:sz w:val="1"/>
                <w:szCs w:val="1"/>
                <w:color w:val="auto"/>
              </w:rPr>
            </w:pPr>
          </w:p>
        </w:tc>
      </w:tr>
      <w:tr>
        <w:trPr>
          <w:trHeight w:val="161"/>
        </w:trPr>
        <w:tc>
          <w:tcPr>
            <w:tcW w:w="7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120" w:type="dxa"/>
            <w:vAlign w:val="bottom"/>
          </w:tcPr>
          <w:p>
            <w:pPr>
              <w:spacing w:after="0"/>
              <w:rPr>
                <w:sz w:val="14"/>
                <w:szCs w:val="14"/>
                <w:color w:val="auto"/>
              </w:rPr>
            </w:pPr>
          </w:p>
        </w:tc>
        <w:tc>
          <w:tcPr>
            <w:tcW w:w="2300" w:type="dxa"/>
            <w:vAlign w:val="bottom"/>
            <w:gridSpan w:val="2"/>
          </w:tcPr>
          <w:p>
            <w:pPr>
              <w:jc w:val="right"/>
              <w:ind w:right="1480"/>
              <w:spacing w:after="0"/>
              <w:rPr>
                <w:sz w:val="20"/>
                <w:szCs w:val="20"/>
                <w:color w:val="auto"/>
              </w:rPr>
            </w:pPr>
            <w:r>
              <w:rPr>
                <w:rFonts w:ascii="Arial" w:cs="Arial" w:eastAsia="Arial" w:hAnsi="Arial"/>
                <w:sz w:val="14"/>
                <w:szCs w:val="14"/>
                <w:b w:val="1"/>
                <w:bCs w:val="1"/>
                <w:color w:val="auto"/>
                <w:w w:val="87"/>
              </w:rPr>
              <w:t>June 30, 2008</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September 30, 2007</w:t>
            </w:r>
          </w:p>
        </w:tc>
        <w:tc>
          <w:tcPr>
            <w:tcW w:w="0" w:type="dxa"/>
            <w:vAlign w:val="bottom"/>
          </w:tcPr>
          <w:p>
            <w:pPr>
              <w:spacing w:after="0"/>
              <w:rPr>
                <w:sz w:val="1"/>
                <w:szCs w:val="1"/>
                <w:color w:val="auto"/>
              </w:rPr>
            </w:pPr>
          </w:p>
        </w:tc>
      </w:tr>
      <w:tr>
        <w:trPr>
          <w:trHeight w:val="142"/>
        </w:trPr>
        <w:tc>
          <w:tcPr>
            <w:tcW w:w="758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7"/>
              </w:rPr>
              <w:t>(Unaudited)</w:t>
            </w:r>
          </w:p>
        </w:tc>
        <w:tc>
          <w:tcPr>
            <w:tcW w:w="1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55"/>
              <w:spacing w:after="0" w:line="142" w:lineRule="exact"/>
              <w:rPr>
                <w:sz w:val="20"/>
                <w:szCs w:val="20"/>
                <w:color w:val="auto"/>
              </w:rPr>
            </w:pPr>
            <w:r>
              <w:rPr>
                <w:rFonts w:ascii="Arial" w:cs="Arial" w:eastAsia="Arial" w:hAnsi="Arial"/>
                <w:sz w:val="14"/>
                <w:szCs w:val="14"/>
                <w:b w:val="1"/>
                <w:bCs w:val="1"/>
                <w:color w:val="auto"/>
                <w:w w:val="91"/>
              </w:rPr>
              <w:t>(audited)</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Total investment income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300" w:type="dxa"/>
            <w:vAlign w:val="bottom"/>
            <w:gridSpan w:val="2"/>
          </w:tcPr>
          <w:p>
            <w:pPr>
              <w:jc w:val="right"/>
              <w:ind w:right="1300"/>
              <w:spacing w:after="0"/>
              <w:rPr>
                <w:sz w:val="20"/>
                <w:szCs w:val="20"/>
                <w:color w:val="auto"/>
              </w:rPr>
            </w:pPr>
            <w:r>
              <w:rPr>
                <w:rFonts w:ascii="Arial" w:cs="Arial" w:eastAsia="Arial" w:hAnsi="Arial"/>
                <w:sz w:val="18"/>
                <w:szCs w:val="18"/>
                <w:color w:val="auto"/>
              </w:rPr>
              <w:t>28,380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13,107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expenses before base management fee waiver</w:t>
            </w:r>
          </w:p>
        </w:tc>
        <w:tc>
          <w:tcPr>
            <w:tcW w:w="1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15,679</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line="217" w:lineRule="exact"/>
              <w:rPr>
                <w:sz w:val="20"/>
                <w:szCs w:val="20"/>
                <w:color w:val="auto"/>
              </w:rPr>
            </w:pPr>
            <w:r>
              <w:rPr>
                <w:rFonts w:ascii="Arial" w:cs="Arial" w:eastAsia="Arial" w:hAnsi="Arial"/>
                <w:sz w:val="18"/>
                <w:szCs w:val="18"/>
                <w:color w:val="auto"/>
              </w:rPr>
              <w:t>Net expenses after base management fee waiver</w:t>
            </w:r>
            <w:r>
              <w:rPr>
                <w:rFonts w:ascii="Arial" w:cs="Arial" w:eastAsia="Arial" w:hAnsi="Arial"/>
                <w:sz w:val="22"/>
                <w:szCs w:val="22"/>
                <w:color w:val="auto"/>
                <w:vertAlign w:val="superscript"/>
              </w:rPr>
              <w:t>(1)</w:t>
            </w:r>
          </w:p>
        </w:tc>
        <w:tc>
          <w:tcPr>
            <w:tcW w:w="120" w:type="dxa"/>
            <w:vAlign w:val="bottom"/>
          </w:tcPr>
          <w:p>
            <w:pPr>
              <w:spacing w:after="0"/>
              <w:rPr>
                <w:sz w:val="18"/>
                <w:szCs w:val="18"/>
                <w:color w:val="auto"/>
              </w:rPr>
            </w:pPr>
          </w:p>
        </w:tc>
        <w:tc>
          <w:tcPr>
            <w:tcW w:w="2300" w:type="dxa"/>
            <w:vAlign w:val="bottom"/>
            <w:gridSpan w:val="2"/>
          </w:tcPr>
          <w:p>
            <w:pPr>
              <w:jc w:val="right"/>
              <w:ind w:right="1300"/>
              <w:spacing w:after="0"/>
              <w:rPr>
                <w:sz w:val="20"/>
                <w:szCs w:val="20"/>
                <w:color w:val="auto"/>
              </w:rPr>
            </w:pPr>
            <w:r>
              <w:rPr>
                <w:rFonts w:ascii="Arial" w:cs="Arial" w:eastAsia="Arial" w:hAnsi="Arial"/>
                <w:sz w:val="18"/>
                <w:szCs w:val="18"/>
                <w:color w:val="auto"/>
              </w:rPr>
              <w:t>15,258</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13,122</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Net realized and unrealized loss</w:t>
            </w:r>
          </w:p>
        </w:tc>
        <w:tc>
          <w:tcPr>
            <w:tcW w:w="120" w:type="dxa"/>
            <w:vAlign w:val="bottom"/>
          </w:tcPr>
          <w:p>
            <w:pPr>
              <w:spacing w:after="0"/>
              <w:rPr>
                <w:sz w:val="18"/>
                <w:szCs w:val="18"/>
                <w:color w:val="auto"/>
              </w:rPr>
            </w:pPr>
          </w:p>
        </w:tc>
        <w:tc>
          <w:tcPr>
            <w:tcW w:w="2300" w:type="dxa"/>
            <w:vAlign w:val="bottom"/>
            <w:gridSpan w:val="2"/>
          </w:tcPr>
          <w:p>
            <w:pPr>
              <w:jc w:val="right"/>
              <w:ind w:right="1240"/>
              <w:spacing w:after="0"/>
              <w:rPr>
                <w:sz w:val="20"/>
                <w:szCs w:val="20"/>
                <w:color w:val="auto"/>
              </w:rPr>
            </w:pPr>
            <w:r>
              <w:rPr>
                <w:rFonts w:ascii="Arial" w:cs="Arial" w:eastAsia="Arial" w:hAnsi="Arial"/>
                <w:sz w:val="18"/>
                <w:szCs w:val="18"/>
                <w:color w:val="auto"/>
              </w:rPr>
              <w:t>(42,783)</w:t>
            </w: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(24,004)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1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(29,661)</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(16,699)</w:t>
            </w:r>
          </w:p>
        </w:tc>
        <w:tc>
          <w:tcPr>
            <w:tcW w:w="0" w:type="dxa"/>
            <w:vAlign w:val="bottom"/>
          </w:tcPr>
          <w:p>
            <w:pPr>
              <w:spacing w:after="0"/>
              <w:rPr>
                <w:sz w:val="1"/>
                <w:szCs w:val="1"/>
                <w:color w:val="auto"/>
              </w:rPr>
            </w:pPr>
          </w:p>
        </w:tc>
      </w:tr>
      <w:tr>
        <w:trPr>
          <w:trHeight w:val="322"/>
        </w:trPr>
        <w:tc>
          <w:tcPr>
            <w:tcW w:w="7580" w:type="dxa"/>
            <w:vAlign w:val="bottom"/>
            <w:gridSpan w:val="3"/>
          </w:tcPr>
          <w:p>
            <w:pPr>
              <w:spacing w:after="0"/>
              <w:rPr>
                <w:sz w:val="20"/>
                <w:szCs w:val="20"/>
                <w:color w:val="auto"/>
              </w:rPr>
            </w:pPr>
            <w:r>
              <w:rPr>
                <w:rFonts w:ascii="Arial" w:cs="Arial" w:eastAsia="Arial" w:hAnsi="Arial"/>
                <w:sz w:val="18"/>
                <w:szCs w:val="18"/>
                <w:b w:val="1"/>
                <w:bCs w:val="1"/>
                <w:color w:val="auto"/>
              </w:rPr>
              <w:t>Per share data:</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asset value (at period end)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30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10.77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120" w:type="dxa"/>
            <w:vAlign w:val="bottom"/>
          </w:tcPr>
          <w:p>
            <w:pPr>
              <w:spacing w:after="0"/>
              <w:rPr>
                <w:sz w:val="18"/>
                <w:szCs w:val="18"/>
                <w:color w:val="auto"/>
              </w:rPr>
            </w:pPr>
          </w:p>
        </w:tc>
        <w:tc>
          <w:tcPr>
            <w:tcW w:w="2300" w:type="dxa"/>
            <w:vAlign w:val="bottom"/>
            <w:gridSpan w:val="2"/>
          </w:tcPr>
          <w:p>
            <w:pPr>
              <w:jc w:val="right"/>
              <w:ind w:right="1300"/>
              <w:spacing w:after="0"/>
              <w:rPr>
                <w:sz w:val="20"/>
                <w:szCs w:val="20"/>
                <w:color w:val="auto"/>
              </w:rPr>
            </w:pPr>
            <w:r>
              <w:rPr>
                <w:rFonts w:ascii="Arial" w:cs="Arial" w:eastAsia="Arial" w:hAnsi="Arial"/>
                <w:sz w:val="18"/>
                <w:szCs w:val="18"/>
                <w:color w:val="auto"/>
              </w:rPr>
              <w:t>0.62</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loss</w:t>
            </w:r>
          </w:p>
        </w:tc>
        <w:tc>
          <w:tcPr>
            <w:tcW w:w="1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120" w:type="dxa"/>
            <w:vAlign w:val="bottom"/>
          </w:tcPr>
          <w:p>
            <w:pPr>
              <w:spacing w:after="0"/>
              <w:rPr>
                <w:sz w:val="18"/>
                <w:szCs w:val="18"/>
                <w:color w:val="auto"/>
              </w:rPr>
            </w:pPr>
          </w:p>
        </w:tc>
        <w:tc>
          <w:tcPr>
            <w:tcW w:w="2300" w:type="dxa"/>
            <w:vAlign w:val="bottom"/>
            <w:gridSpan w:val="2"/>
          </w:tcPr>
          <w:p>
            <w:pPr>
              <w:jc w:val="right"/>
              <w:ind w:right="1240"/>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 declared</w:t>
            </w:r>
          </w:p>
        </w:tc>
        <w:tc>
          <w:tcPr>
            <w:tcW w:w="1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0.66</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322"/>
        </w:trPr>
        <w:tc>
          <w:tcPr>
            <w:tcW w:w="7580" w:type="dxa"/>
            <w:vAlign w:val="bottom"/>
            <w:gridSpan w:val="3"/>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30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432,286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555,008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line="217" w:lineRule="exact"/>
              <w:rPr>
                <w:sz w:val="20"/>
                <w:szCs w:val="20"/>
                <w:color w:val="auto"/>
              </w:rPr>
            </w:pPr>
            <w:r>
              <w:rPr>
                <w:rFonts w:ascii="Arial" w:cs="Arial" w:eastAsia="Arial" w:hAnsi="Arial"/>
                <w:sz w:val="18"/>
                <w:szCs w:val="18"/>
                <w:color w:val="auto"/>
              </w:rPr>
              <w:t>Total investment portfolio</w:t>
            </w:r>
            <w:r>
              <w:rPr>
                <w:rFonts w:ascii="Arial" w:cs="Arial" w:eastAsia="Arial" w:hAnsi="Arial"/>
                <w:sz w:val="22"/>
                <w:szCs w:val="22"/>
                <w:color w:val="auto"/>
                <w:vertAlign w:val="superscript"/>
              </w:rPr>
              <w:t>(3)</w:t>
            </w:r>
          </w:p>
        </w:tc>
        <w:tc>
          <w:tcPr>
            <w:tcW w:w="120" w:type="dxa"/>
            <w:vAlign w:val="bottom"/>
          </w:tcPr>
          <w:p>
            <w:pPr>
              <w:spacing w:after="0"/>
              <w:rPr>
                <w:sz w:val="18"/>
                <w:szCs w:val="18"/>
                <w:color w:val="auto"/>
              </w:rPr>
            </w:pPr>
          </w:p>
        </w:tc>
        <w:tc>
          <w:tcPr>
            <w:tcW w:w="2300" w:type="dxa"/>
            <w:vAlign w:val="bottom"/>
            <w:gridSpan w:val="2"/>
          </w:tcPr>
          <w:p>
            <w:pPr>
              <w:jc w:val="right"/>
              <w:ind w:right="1300"/>
              <w:spacing w:after="0"/>
              <w:rPr>
                <w:sz w:val="20"/>
                <w:szCs w:val="20"/>
                <w:color w:val="auto"/>
              </w:rPr>
            </w:pPr>
            <w:r>
              <w:rPr>
                <w:rFonts w:ascii="Arial" w:cs="Arial" w:eastAsia="Arial" w:hAnsi="Arial"/>
                <w:sz w:val="18"/>
                <w:szCs w:val="18"/>
                <w:color w:val="auto"/>
              </w:rPr>
              <w:t>426,737</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548,976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Borrowings outstanding</w:t>
            </w:r>
          </w:p>
        </w:tc>
        <w:tc>
          <w:tcPr>
            <w:tcW w:w="1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204,100</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Payable for investments and cash equivalents purchased</w:t>
            </w:r>
          </w:p>
        </w:tc>
        <w:tc>
          <w:tcPr>
            <w:tcW w:w="120" w:type="dxa"/>
            <w:vAlign w:val="bottom"/>
          </w:tcPr>
          <w:p>
            <w:pPr>
              <w:spacing w:after="0"/>
              <w:rPr>
                <w:sz w:val="18"/>
                <w:szCs w:val="18"/>
                <w:color w:val="auto"/>
              </w:rPr>
            </w:pPr>
          </w:p>
        </w:tc>
        <w:tc>
          <w:tcPr>
            <w:tcW w:w="2300" w:type="dxa"/>
            <w:vAlign w:val="bottom"/>
            <w:gridSpan w:val="2"/>
          </w:tcPr>
          <w:p>
            <w:pPr>
              <w:jc w:val="right"/>
              <w:ind w:right="1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269,344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1,359</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5,271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Total net asset value</w:t>
            </w:r>
          </w:p>
        </w:tc>
        <w:tc>
          <w:tcPr>
            <w:tcW w:w="120" w:type="dxa"/>
            <w:vAlign w:val="bottom"/>
          </w:tcPr>
          <w:p>
            <w:pPr>
              <w:spacing w:after="0"/>
              <w:rPr>
                <w:sz w:val="19"/>
                <w:szCs w:val="19"/>
                <w:color w:val="auto"/>
              </w:rPr>
            </w:pPr>
          </w:p>
        </w:tc>
        <w:tc>
          <w:tcPr>
            <w:tcW w:w="2300" w:type="dxa"/>
            <w:vAlign w:val="bottom"/>
            <w:gridSpan w:val="2"/>
          </w:tcPr>
          <w:p>
            <w:pPr>
              <w:jc w:val="right"/>
              <w:ind w:right="1300"/>
              <w:spacing w:after="0"/>
              <w:rPr>
                <w:sz w:val="20"/>
                <w:szCs w:val="20"/>
                <w:color w:val="auto"/>
              </w:rPr>
            </w:pPr>
            <w:r>
              <w:rPr>
                <w:rFonts w:ascii="Arial" w:cs="Arial" w:eastAsia="Arial" w:hAnsi="Arial"/>
                <w:sz w:val="18"/>
                <w:szCs w:val="18"/>
                <w:color w:val="auto"/>
              </w:rPr>
              <w:t>226,827</w:t>
            </w:r>
          </w:p>
        </w:tc>
        <w:tc>
          <w:tcPr>
            <w:tcW w:w="14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270,393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6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line="217" w:lineRule="exact"/>
              <w:rPr>
                <w:sz w:val="20"/>
                <w:szCs w:val="20"/>
                <w:color w:val="auto"/>
              </w:rPr>
            </w:pPr>
            <w:r>
              <w:rPr>
                <w:rFonts w:ascii="Arial" w:cs="Arial" w:eastAsia="Arial" w:hAnsi="Arial"/>
                <w:sz w:val="18"/>
                <w:szCs w:val="18"/>
                <w:color w:val="auto"/>
              </w:rPr>
              <w:t>Total return</w:t>
            </w:r>
            <w:r>
              <w:rPr>
                <w:rFonts w:ascii="Arial" w:cs="Arial" w:eastAsia="Arial" w:hAnsi="Arial"/>
                <w:sz w:val="22"/>
                <w:szCs w:val="22"/>
                <w:color w:val="auto"/>
                <w:vertAlign w:val="superscript"/>
              </w:rPr>
              <w:t>(2)</w:t>
            </w:r>
          </w:p>
        </w:tc>
        <w:tc>
          <w:tcPr>
            <w:tcW w:w="120" w:type="dxa"/>
            <w:vAlign w:val="bottom"/>
          </w:tcPr>
          <w:p>
            <w:pPr>
              <w:spacing w:after="0"/>
              <w:rPr>
                <w:sz w:val="18"/>
                <w:szCs w:val="18"/>
                <w:color w:val="auto"/>
              </w:rPr>
            </w:pPr>
          </w:p>
        </w:tc>
        <w:tc>
          <w:tcPr>
            <w:tcW w:w="2300" w:type="dxa"/>
            <w:vAlign w:val="bottom"/>
            <w:gridSpan w:val="2"/>
          </w:tcPr>
          <w:p>
            <w:pPr>
              <w:jc w:val="right"/>
              <w:ind w:right="1100"/>
              <w:spacing w:after="0"/>
              <w:rPr>
                <w:sz w:val="20"/>
                <w:szCs w:val="20"/>
                <w:color w:val="auto"/>
              </w:rPr>
            </w:pPr>
            <w:r>
              <w:rPr>
                <w:rFonts w:ascii="Arial" w:cs="Arial" w:eastAsia="Arial" w:hAnsi="Arial"/>
                <w:sz w:val="18"/>
                <w:szCs w:val="18"/>
                <w:color w:val="auto"/>
              </w:rPr>
              <w:t>(42.00)%</w:t>
            </w: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portfolio companies (at period end)</w:t>
            </w:r>
          </w:p>
        </w:tc>
        <w:tc>
          <w:tcPr>
            <w:tcW w:w="1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Value of long-term investments (at period end)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300" w:type="dxa"/>
            <w:vAlign w:val="bottom"/>
            <w:gridSpan w:val="2"/>
          </w:tcPr>
          <w:p>
            <w:pPr>
              <w:jc w:val="right"/>
              <w:ind w:right="1300"/>
              <w:spacing w:after="0"/>
              <w:rPr>
                <w:sz w:val="20"/>
                <w:szCs w:val="20"/>
                <w:color w:val="auto"/>
              </w:rPr>
            </w:pPr>
            <w:r>
              <w:rPr>
                <w:rFonts w:ascii="Arial" w:cs="Arial" w:eastAsia="Arial" w:hAnsi="Arial"/>
                <w:sz w:val="18"/>
                <w:szCs w:val="18"/>
                <w:color w:val="auto"/>
              </w:rPr>
              <w:t>385,707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291,017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Yield on debt portfolio (at period end)</w:t>
            </w:r>
          </w:p>
        </w:tc>
        <w:tc>
          <w:tcPr>
            <w:tcW w:w="1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line="217" w:lineRule="exact"/>
              <w:rPr>
                <w:sz w:val="20"/>
                <w:szCs w:val="20"/>
                <w:color w:val="auto"/>
              </w:rPr>
            </w:pPr>
            <w:r>
              <w:rPr>
                <w:rFonts w:ascii="Arial" w:cs="Arial" w:eastAsia="Arial" w:hAnsi="Arial"/>
                <w:sz w:val="18"/>
                <w:szCs w:val="18"/>
                <w:color w:val="auto"/>
              </w:rPr>
              <w:t>10.1%</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6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base management fee waiver was in effect through March 31, 2008. See “Certain Relationships and Transactions-Investment Advisory Fees.”</w:t>
      </w:r>
    </w:p>
    <w:p>
      <w:pPr>
        <w:spacing w:after="0" w:line="72" w:lineRule="exact"/>
        <w:rPr>
          <w:rFonts w:ascii="Arial" w:cs="Arial" w:eastAsia="Arial" w:hAnsi="Arial"/>
          <w:sz w:val="16"/>
          <w:szCs w:val="16"/>
          <w:color w:val="auto"/>
        </w:rPr>
      </w:pPr>
    </w:p>
    <w:p>
      <w:pPr>
        <w:ind w:left="460" w:right="120" w:hanging="452"/>
        <w:spacing w:after="0" w:line="276"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Total return is based on the change in market price per share and takes into account dividends and distributions, if any, reinvested in accordance with our dividend reinvestment plan. Total return would have been (42.27)%</w:t>
      </w:r>
      <w:r>
        <w:rPr>
          <w:rFonts w:ascii="Arial" w:cs="Arial" w:eastAsia="Arial" w:hAnsi="Arial"/>
          <w:sz w:val="20"/>
          <w:szCs w:val="20"/>
          <w:color w:val="auto"/>
          <w:vertAlign w:val="superscript"/>
        </w:rPr>
        <w:t>(4)</w:t>
      </w:r>
      <w:r>
        <w:rPr>
          <w:rFonts w:ascii="Arial" w:cs="Arial" w:eastAsia="Arial" w:hAnsi="Arial"/>
          <w:sz w:val="16"/>
          <w:szCs w:val="16"/>
          <w:color w:val="auto"/>
        </w:rPr>
        <w:t xml:space="preserve"> and (8.49)%</w:t>
      </w:r>
      <w:r>
        <w:rPr>
          <w:rFonts w:ascii="Arial" w:cs="Arial" w:eastAsia="Arial" w:hAnsi="Arial"/>
          <w:sz w:val="20"/>
          <w:szCs w:val="20"/>
          <w:color w:val="auto"/>
          <w:vertAlign w:val="superscript"/>
        </w:rPr>
        <w:t>(4)</w:t>
      </w:r>
      <w:r>
        <w:rPr>
          <w:rFonts w:ascii="Arial" w:cs="Arial" w:eastAsia="Arial" w:hAnsi="Arial"/>
          <w:sz w:val="16"/>
          <w:szCs w:val="16"/>
          <w:color w:val="auto"/>
        </w:rPr>
        <w:t>, respectively, for the nine months ended June 30, 2008 and the period from January 11, 2007 (inception) to September 30, 2007 without the base management fee waiver. Total return is not annualized.</w:t>
      </w:r>
    </w:p>
    <w:p>
      <w:pPr>
        <w:spacing w:after="0" w:line="14"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cash equivalent.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June 30,</w:t>
            </w:r>
          </w:p>
        </w:tc>
        <w:tc>
          <w:tcPr>
            <w:tcW w:w="340" w:type="dxa"/>
            <w:vAlign w:val="bottom"/>
          </w:tcPr>
          <w:p>
            <w:pPr>
              <w:spacing w:after="0"/>
              <w:rPr>
                <w:sz w:val="14"/>
                <w:szCs w:val="14"/>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5"/>
              </w:rPr>
              <w:t>June 30,</w:t>
            </w: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1"/>
        </w:trPr>
        <w:tc>
          <w:tcPr>
            <w:tcW w:w="5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6"/>
              </w:rPr>
              <w:t>2007</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6"/>
              </w:rPr>
              <w:t>2007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Q3</w:t>
            </w: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85"/>
              </w:rPr>
              <w:t>Q2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77"/>
              <w:spacing w:after="0" w:line="142" w:lineRule="exact"/>
              <w:rPr>
                <w:sz w:val="20"/>
                <w:szCs w:val="20"/>
                <w:color w:val="auto"/>
              </w:rPr>
            </w:pPr>
            <w:r>
              <w:rPr>
                <w:rFonts w:ascii="Arial" w:cs="Arial" w:eastAsia="Arial" w:hAnsi="Arial"/>
                <w:sz w:val="14"/>
                <w:szCs w:val="14"/>
                <w:b w:val="1"/>
                <w:bCs w:val="1"/>
                <w:color w:val="auto"/>
                <w:w w:val="96"/>
              </w:rPr>
              <w:t>Q1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97"/>
              <w:spacing w:after="0" w:line="142" w:lineRule="exact"/>
              <w:rPr>
                <w:sz w:val="20"/>
                <w:szCs w:val="20"/>
                <w:color w:val="auto"/>
              </w:rPr>
            </w:pPr>
            <w:r>
              <w:rPr>
                <w:rFonts w:ascii="Arial" w:cs="Arial" w:eastAsia="Arial" w:hAnsi="Arial"/>
                <w:sz w:val="14"/>
                <w:szCs w:val="14"/>
                <w:b w:val="1"/>
                <w:bCs w:val="1"/>
                <w:color w:val="auto"/>
                <w:w w:val="96"/>
              </w:rPr>
              <w:t>Q4</w:t>
            </w: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Q3</w:t>
            </w: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ind w:right="40"/>
              <w:spacing w:after="0" w:line="142" w:lineRule="exact"/>
              <w:rPr>
                <w:sz w:val="20"/>
                <w:szCs w:val="20"/>
                <w:color w:val="auto"/>
              </w:rPr>
            </w:pPr>
            <w:r>
              <w:rPr>
                <w:rFonts w:ascii="Arial" w:cs="Arial" w:eastAsia="Arial" w:hAnsi="Arial"/>
                <w:sz w:val="14"/>
                <w:szCs w:val="14"/>
                <w:b w:val="1"/>
                <w:bCs w:val="1"/>
                <w:color w:val="auto"/>
                <w:w w:val="99"/>
              </w:rPr>
              <w:t>Q2*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3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360" w:type="dxa"/>
            <w:vAlign w:val="bottom"/>
          </w:tcPr>
          <w:p>
            <w:pPr>
              <w:spacing w:after="0"/>
              <w:rPr>
                <w:sz w:val="20"/>
                <w:szCs w:val="20"/>
                <w:color w:val="auto"/>
              </w:rPr>
            </w:pPr>
            <w:r>
              <w:rPr>
                <w:rFonts w:ascii="Arial" w:cs="Arial" w:eastAsia="Arial" w:hAnsi="Arial"/>
                <w:sz w:val="14"/>
                <w:szCs w:val="14"/>
                <w:b w:val="1"/>
                <w:bCs w:val="1"/>
                <w:color w:val="auto"/>
              </w:rPr>
              <w:t>data)</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9,714</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9,004</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5,425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3,941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4,449</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4,732</w:t>
            </w:r>
          </w:p>
        </w:tc>
        <w:tc>
          <w:tcPr>
            <w:tcW w:w="240" w:type="dxa"/>
            <w:vAlign w:val="bottom"/>
          </w:tcPr>
          <w:p>
            <w:pPr>
              <w:spacing w:after="0"/>
              <w:rPr>
                <w:sz w:val="18"/>
                <w:szCs w:val="18"/>
                <w:color w:val="auto"/>
              </w:rPr>
            </w:pP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4,348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3,208</w:t>
            </w:r>
          </w:p>
        </w:tc>
        <w:tc>
          <w:tcPr>
            <w:tcW w:w="4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11,263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(37,778)</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(16,269)</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(18,870)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(5,152)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15,204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(33,329)</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(11,537)</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(14,522)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(1,944)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(0.54)</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10.77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10.26</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12.07</w:t>
            </w:r>
          </w:p>
        </w:tc>
        <w:tc>
          <w:tcPr>
            <w:tcW w:w="240" w:type="dxa"/>
            <w:vAlign w:val="bottom"/>
          </w:tcPr>
          <w:p>
            <w:pPr>
              <w:spacing w:after="0"/>
              <w:rPr>
                <w:sz w:val="18"/>
                <w:szCs w:val="18"/>
                <w:color w:val="auto"/>
              </w:rPr>
            </w:pP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12.83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13.74</w:t>
            </w:r>
          </w:p>
        </w:tc>
        <w:tc>
          <w:tcPr>
            <w:tcW w:w="4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8.51</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14.04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08"/>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From January 11, 2007 (inception of operations).</w:t>
      </w:r>
    </w:p>
    <w:p>
      <w:pPr>
        <w:spacing w:after="0" w:line="7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common stock began trading on April 19,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We intend to make distributions on a quarterly basis to our stockholders. The amount and general timing of our quarterly distributions, if any, will be determined by our Board of Directors. We intend to distribute to our stockholders substantially all of our income. We may elect to make deemed distributions to our stockholders of certain net capital gains. If this happens, you will be treated as if you received an actual distribution of the capital gains we retain and reinvested the after-tax net proceeds in us. You also may be eligible to claim a tax credit (or, in certain circumstances, a tax refund) equal to your allocable share of the tax we paid on the capital gains deemed distributed to you. See “Material U.S. Federal Income Tax Considerations.” With respect to the dividends paid to stockholders, income from origination, structuring, closing, commitment and other upfront fees associated with investments in portfolio companies is treated as taxable income and accordingly, distributed to stockholders.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2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 summarizes our dividends declared since shares of our common stock began being regularly quoted on the NASDAQ Global Select Market:</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w w:val="98"/>
              </w:rPr>
              <w:t>Dividend</w:t>
            </w:r>
          </w:p>
        </w:tc>
      </w:tr>
      <w:tr>
        <w:trPr>
          <w:trHeight w:val="161"/>
        </w:trPr>
        <w:tc>
          <w:tcPr>
            <w:tcW w:w="898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Declared</w:t>
            </w:r>
          </w:p>
        </w:tc>
      </w:tr>
      <w:tr>
        <w:trPr>
          <w:trHeight w:val="142"/>
        </w:trPr>
        <w:tc>
          <w:tcPr>
            <w:tcW w:w="89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Fiscal year ending September 30, 2008</w:t>
            </w:r>
          </w:p>
        </w:tc>
        <w:tc>
          <w:tcPr>
            <w:tcW w:w="1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8980" w:type="dxa"/>
            <w:vAlign w:val="bottom"/>
          </w:tcPr>
          <w:p>
            <w:pPr>
              <w:ind w:left="440"/>
              <w:spacing w:after="0" w:line="149" w:lineRule="exact"/>
              <w:rPr>
                <w:sz w:val="20"/>
                <w:szCs w:val="20"/>
                <w:color w:val="auto"/>
              </w:rPr>
            </w:pPr>
            <w:r>
              <w:rPr>
                <w:rFonts w:ascii="Arial" w:cs="Arial" w:eastAsia="Arial" w:hAnsi="Arial"/>
                <w:sz w:val="14"/>
                <w:szCs w:val="14"/>
                <w:color w:val="auto"/>
              </w:rPr>
              <w:t>Fourth quarter</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0.24</w:t>
            </w:r>
          </w:p>
        </w:tc>
        <w:tc>
          <w:tcPr>
            <w:tcW w:w="60" w:type="dxa"/>
            <w:vAlign w:val="bottom"/>
          </w:tcPr>
          <w:p>
            <w:pPr>
              <w:spacing w:after="0"/>
              <w:rPr>
                <w:sz w:val="12"/>
                <w:szCs w:val="12"/>
                <w:color w:val="auto"/>
              </w:rPr>
            </w:pPr>
          </w:p>
        </w:tc>
      </w:tr>
      <w:tr>
        <w:trPr>
          <w:trHeight w:val="149"/>
        </w:trPr>
        <w:tc>
          <w:tcPr>
            <w:tcW w:w="89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Third quarter</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0.22</w:t>
            </w:r>
          </w:p>
        </w:tc>
        <w:tc>
          <w:tcPr>
            <w:tcW w:w="60" w:type="dxa"/>
            <w:vAlign w:val="bottom"/>
            <w:shd w:val="clear" w:color="auto" w:fill="CCEEFF"/>
          </w:tcPr>
          <w:p>
            <w:pPr>
              <w:spacing w:after="0"/>
              <w:rPr>
                <w:sz w:val="12"/>
                <w:szCs w:val="12"/>
                <w:color w:val="auto"/>
              </w:rPr>
            </w:pPr>
          </w:p>
        </w:tc>
      </w:tr>
      <w:tr>
        <w:trPr>
          <w:trHeight w:val="149"/>
        </w:trPr>
        <w:tc>
          <w:tcPr>
            <w:tcW w:w="8980" w:type="dxa"/>
            <w:vAlign w:val="bottom"/>
          </w:tcPr>
          <w:p>
            <w:pPr>
              <w:ind w:left="440"/>
              <w:spacing w:after="0" w:line="149" w:lineRule="exact"/>
              <w:rPr>
                <w:sz w:val="20"/>
                <w:szCs w:val="20"/>
                <w:color w:val="auto"/>
              </w:rPr>
            </w:pPr>
            <w:r>
              <w:rPr>
                <w:rFonts w:ascii="Arial" w:cs="Arial" w:eastAsia="Arial" w:hAnsi="Arial"/>
                <w:sz w:val="14"/>
                <w:szCs w:val="14"/>
                <w:color w:val="auto"/>
              </w:rPr>
              <w:t>Second quarter</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0.22</w:t>
            </w:r>
          </w:p>
        </w:tc>
        <w:tc>
          <w:tcPr>
            <w:tcW w:w="60" w:type="dxa"/>
            <w:vAlign w:val="bottom"/>
          </w:tcPr>
          <w:p>
            <w:pPr>
              <w:spacing w:after="0"/>
              <w:rPr>
                <w:sz w:val="12"/>
                <w:szCs w:val="12"/>
                <w:color w:val="auto"/>
              </w:rPr>
            </w:pPr>
          </w:p>
        </w:tc>
      </w:tr>
      <w:tr>
        <w:trPr>
          <w:trHeight w:val="149"/>
        </w:trPr>
        <w:tc>
          <w:tcPr>
            <w:tcW w:w="89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First quarter</w:t>
            </w:r>
          </w:p>
        </w:tc>
        <w:tc>
          <w:tcPr>
            <w:tcW w:w="18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0.22</w:t>
            </w:r>
          </w:p>
        </w:tc>
        <w:tc>
          <w:tcPr>
            <w:tcW w:w="60" w:type="dxa"/>
            <w:vAlign w:val="bottom"/>
            <w:shd w:val="clear" w:color="auto" w:fill="CCEEFF"/>
          </w:tcPr>
          <w:p>
            <w:pPr>
              <w:spacing w:after="0"/>
              <w:rPr>
                <w:sz w:val="12"/>
                <w:szCs w:val="12"/>
                <w:color w:val="auto"/>
              </w:rPr>
            </w:pPr>
          </w:p>
        </w:tc>
      </w:tr>
      <w:tr>
        <w:trPr>
          <w:trHeight w:val="169"/>
        </w:trPr>
        <w:tc>
          <w:tcPr>
            <w:tcW w:w="8980" w:type="dxa"/>
            <w:vAlign w:val="bottom"/>
          </w:tcPr>
          <w:p>
            <w:pPr>
              <w:ind w:left="440"/>
              <w:spacing w:after="0"/>
              <w:rPr>
                <w:sz w:val="20"/>
                <w:szCs w:val="20"/>
                <w:color w:val="auto"/>
              </w:rPr>
            </w:pPr>
            <w:r>
              <w:rPr>
                <w:rFonts w:ascii="Arial" w:cs="Arial" w:eastAsia="Arial" w:hAnsi="Arial"/>
                <w:sz w:val="14"/>
                <w:szCs w:val="14"/>
                <w:b w:val="1"/>
                <w:bCs w:val="1"/>
                <w:color w:val="auto"/>
              </w:rPr>
              <w:t>Total fiscal year ended September 30, 2008</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0.90</w:t>
            </w:r>
          </w:p>
        </w:tc>
        <w:tc>
          <w:tcPr>
            <w:tcW w:w="60" w:type="dxa"/>
            <w:vAlign w:val="bottom"/>
          </w:tcPr>
          <w:p>
            <w:pPr>
              <w:spacing w:after="0"/>
              <w:rPr>
                <w:sz w:val="14"/>
                <w:szCs w:val="14"/>
                <w:color w:val="auto"/>
              </w:rPr>
            </w:pPr>
          </w:p>
        </w:tc>
      </w:tr>
      <w:tr>
        <w:trPr>
          <w:trHeight w:val="95"/>
        </w:trPr>
        <w:tc>
          <w:tcPr>
            <w:tcW w:w="8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8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Fiscal year ended September 30, 2007</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8980" w:type="dxa"/>
            <w:vAlign w:val="bottom"/>
          </w:tcPr>
          <w:p>
            <w:pPr>
              <w:ind w:left="440"/>
              <w:spacing w:after="0" w:line="149" w:lineRule="exact"/>
              <w:rPr>
                <w:sz w:val="20"/>
                <w:szCs w:val="20"/>
                <w:color w:val="auto"/>
              </w:rPr>
            </w:pPr>
            <w:r>
              <w:rPr>
                <w:rFonts w:ascii="Arial" w:cs="Arial" w:eastAsia="Arial" w:hAnsi="Arial"/>
                <w:sz w:val="14"/>
                <w:szCs w:val="14"/>
                <w:color w:val="auto"/>
              </w:rPr>
              <w:t>Fourth quarter</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0.22</w:t>
            </w:r>
          </w:p>
        </w:tc>
        <w:tc>
          <w:tcPr>
            <w:tcW w:w="60" w:type="dxa"/>
            <w:vAlign w:val="bottom"/>
          </w:tcPr>
          <w:p>
            <w:pPr>
              <w:spacing w:after="0"/>
              <w:rPr>
                <w:sz w:val="12"/>
                <w:szCs w:val="12"/>
                <w:color w:val="auto"/>
              </w:rPr>
            </w:pPr>
          </w:p>
        </w:tc>
      </w:tr>
      <w:tr>
        <w:trPr>
          <w:trHeight w:val="149"/>
        </w:trPr>
        <w:tc>
          <w:tcPr>
            <w:tcW w:w="89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Third quarter</w:t>
            </w:r>
          </w:p>
        </w:tc>
        <w:tc>
          <w:tcPr>
            <w:tcW w:w="18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0.14</w:t>
            </w:r>
          </w:p>
        </w:tc>
        <w:tc>
          <w:tcPr>
            <w:tcW w:w="60" w:type="dxa"/>
            <w:vAlign w:val="bottom"/>
            <w:shd w:val="clear" w:color="auto" w:fill="CCEEFF"/>
          </w:tcPr>
          <w:p>
            <w:pPr>
              <w:spacing w:after="0"/>
              <w:rPr>
                <w:sz w:val="12"/>
                <w:szCs w:val="12"/>
                <w:color w:val="auto"/>
              </w:rPr>
            </w:pPr>
          </w:p>
        </w:tc>
      </w:tr>
      <w:tr>
        <w:trPr>
          <w:trHeight w:val="169"/>
        </w:trPr>
        <w:tc>
          <w:tcPr>
            <w:tcW w:w="8980" w:type="dxa"/>
            <w:vAlign w:val="bottom"/>
          </w:tcPr>
          <w:p>
            <w:pPr>
              <w:ind w:left="440"/>
              <w:spacing w:after="0"/>
              <w:rPr>
                <w:sz w:val="20"/>
                <w:szCs w:val="20"/>
                <w:color w:val="auto"/>
              </w:rPr>
            </w:pPr>
            <w:r>
              <w:rPr>
                <w:rFonts w:ascii="Arial" w:cs="Arial" w:eastAsia="Arial" w:hAnsi="Arial"/>
                <w:sz w:val="14"/>
                <w:szCs w:val="14"/>
                <w:b w:val="1"/>
                <w:bCs w:val="1"/>
                <w:color w:val="auto"/>
              </w:rPr>
              <w:t>Total fiscal year ended September 30, 2007</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0.36</w:t>
            </w:r>
          </w:p>
        </w:tc>
        <w:tc>
          <w:tcPr>
            <w:tcW w:w="60" w:type="dxa"/>
            <w:vAlign w:val="bottom"/>
          </w:tcPr>
          <w:p>
            <w:pPr>
              <w:jc w:val="right"/>
              <w:spacing w:after="0"/>
              <w:rPr>
                <w:sz w:val="20"/>
                <w:szCs w:val="20"/>
                <w:color w:val="auto"/>
              </w:rPr>
            </w:pPr>
            <w:r>
              <w:rPr>
                <w:rFonts w:ascii="Arial" w:cs="Arial" w:eastAsia="Arial" w:hAnsi="Arial"/>
                <w:sz w:val="11"/>
                <w:szCs w:val="11"/>
                <w:color w:val="auto"/>
                <w:w w:val="92"/>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 $0.00107 per share is a tax return of capital</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quarterly dividends to our stockholders. Our quarterly dividends, if any, will be determined by our board of directors.</w:t>
      </w:r>
    </w:p>
    <w:p>
      <w:pPr>
        <w:spacing w:after="0" w:line="19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have elected to be taxed as a RIC under Subchapter M of the Internal Revenue Code of 1986. To maintain our RIC status, we must distribute at least 90% of our ordinary income and realized net short-term capital gains in excess of realized net long-term capital losses, if any, out of the assets legally available for distribution. In order to avoid certain excise taxes we must distribute during each calendar year an amount at least equal to the sum of (1) 98% of our ordinary income for the calendar year, (2) 98% of our capital gains in excess of capital losses for the one-year period ending on October 31st and (3) any ordinary income and net capital gains for preceding years that were not distributed during such years. In addition, although we currently intend to distribute realized net capital gains (i.e., realized net long-term capital gains in excess of realized net short-term capital losses), if any, at least annually, out of the assets legally available for such distributions, we may in the future decide to retain such capital gains for investment. In such event, the consequences of our retention of net capital gains are as described under “Material U.S. Federal Income Tax Considerations.”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 See “Dividend Reinvestment Plan.”</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BDC under the 1940 Act and due to provisions in future credit facilities. If we do not distribute a certain percentage of our income annually, we will suffer adverse tax consequences, including possible loss of our RIC status. We cannot assure stockholders that they will receive any dividends and distributions or dividends and distributions at a particular level.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financial statements and notes thereto appearing elsewhere in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60" w:firstLine="456"/>
        <w:spacing w:after="0" w:line="323" w:lineRule="auto"/>
        <w:rPr>
          <w:sz w:val="20"/>
          <w:szCs w:val="20"/>
          <w:color w:val="auto"/>
        </w:rPr>
      </w:pPr>
      <w:r>
        <w:rPr>
          <w:rFonts w:ascii="Arial" w:cs="Arial" w:eastAsia="Arial" w:hAnsi="Arial"/>
          <w:sz w:val="15"/>
          <w:szCs w:val="15"/>
          <w:color w:val="auto"/>
        </w:rPr>
        <w:t>PennantPark was organized under the Maryland General Corporation Law in January 2007. We are an externally managed, closed-end, non-diversified investment company that has elected to be treated as a business development company under the 1940 Act. As such, we are required to comply with certain regulatory requirements. For instance, we generally have to invest at least 70% of our total assets in “qualifying assets,” including securities of U.S. private or thinly traded public companies, cash, cash equivalents, U.S. government securities and high-quality debt investments that mature in one year or less.</w:t>
      </w:r>
    </w:p>
    <w:p>
      <w:pPr>
        <w:spacing w:after="0" w:line="98"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Our investment activities are managed by PennantPark Investment Advisers and supervised by our board of directors, a majority of whom are independent of us and PennantPark Investment Advisers.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7"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subordinated debt, second lien secured debt and, to a lesser extent, equity investments.</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companies in which we invest are typically highly leveraged, often as a result of leveraged buy-outs or other recapitalization transactions,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expect that our investments in mezzanine debt, senior secured loans and other investments will range between $10 million and $50 million each. We expect this investment size to vary proportionately with the size of our capital base.</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level of our investment activity in our core assets depends on many factors, including the amount of debt and equity capital available to middle-market companies, the level of merger and acquisition activity for such companies, the availability of credit to finance transactions, the general economic environment and the competitive environment for the types of investments we make. Although we have used, and will continue to use, the proceeds of our initial public offering and borrowings under our credit facility, we anticipate that it will take us up to two years from the date of our initial public offering to invest all of our assets in accordance with our investment objectives. Any distributions we make during such period may be substantially lower than the distributions that we expect to pay when our portfolio is fully invested.</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mezzanine debt or senior secured loans, typically have a term of three to ten years and bear interest at a fixed or floating rate. Interest on debt securities is generally payable quarterly or semiannually. In some cases, some of our investments provide for deferred interest payments or payment-in-kind (PIK).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interest income. We record prepayment premiums on loans and debt securities as interest income. Dividend income, if any, is recognized on an accrual basis to the extent that we expect to collect such amounts.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We bear all other costs and expenses of our operations and transactions, including:</w:t>
      </w:r>
    </w:p>
    <w:p>
      <w:pPr>
        <w:spacing w:after="0" w:line="62"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Although the base management fee is 2.00% of average adjusted gross total assets, the Investment Adviser agreed to waive a portion of the base management fee such that the base management fee equaled 1.50% from the consummation of the initial public offering through September 30, 2007 and 1.75% from October 1, 2007 through March 31, 2008. The base management fee equals 2.00% after March 31, 2008. For the period from the commencement of operations to the consummation of the initial public offering there were no Management Fees.</w:t>
      </w:r>
    </w:p>
    <w:p>
      <w:pPr>
        <w:spacing w:after="0" w:line="113"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We expect our general and administrative operating expenses related to our ongoing operations to remain relatively stable or decline slightly as a percentage of our assets in future periods. Incentive fees, interest expense and costs relating to future offerings of securities would be additive.</w:t>
      </w:r>
    </w:p>
    <w:p>
      <w:pPr>
        <w:spacing w:after="0" w:line="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SEC requires that “Total Annual Expenses” be calculated as a percentage of net assets in the chart on page 6 rather than as a percentage of total assets. Total assets includes assets that have been funded with borrowed monies (leverage). For reference, the chart below illustrates our “Total Annual Expenses” as a percentage of total assets: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87"/>
              </w:rPr>
              <w:t>Estimated Annual Expenses (as a Percentage of Total Assets)</w:t>
            </w:r>
          </w:p>
        </w:tc>
        <w:tc>
          <w:tcPr>
            <w:tcW w:w="3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4400" w:type="dxa"/>
            <w:vAlign w:val="bottom"/>
            <w:gridSpan w:val="3"/>
            <w:shd w:val="clear" w:color="auto" w:fill="CCEEFF"/>
          </w:tcPr>
          <w:p>
            <w:pPr>
              <w:ind w:left="3800"/>
              <w:spacing w:after="0" w:line="209" w:lineRule="exact"/>
              <w:rPr>
                <w:sz w:val="20"/>
                <w:szCs w:val="20"/>
                <w:color w:val="auto"/>
              </w:rPr>
            </w:pPr>
            <w:r>
              <w:rPr>
                <w:rFonts w:ascii="Arial" w:cs="Arial" w:eastAsia="Arial" w:hAnsi="Arial"/>
                <w:sz w:val="18"/>
                <w:szCs w:val="18"/>
                <w:color w:val="auto"/>
                <w:w w:val="84"/>
              </w:rPr>
              <w:t>2.00%</w:t>
            </w:r>
            <w:r>
              <w:rPr>
                <w:rFonts w:ascii="Arial" w:cs="Arial" w:eastAsia="Arial" w:hAnsi="Arial"/>
                <w:sz w:val="22"/>
                <w:szCs w:val="22"/>
                <w:color w:val="auto"/>
                <w:w w:val="84"/>
                <w:vertAlign w:val="superscript"/>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4400" w:type="dxa"/>
            <w:vAlign w:val="bottom"/>
            <w:gridSpan w:val="3"/>
          </w:tcPr>
          <w:p>
            <w:pPr>
              <w:ind w:left="3800"/>
              <w:spacing w:after="0" w:line="217" w:lineRule="exact"/>
              <w:rPr>
                <w:sz w:val="20"/>
                <w:szCs w:val="20"/>
                <w:color w:val="auto"/>
              </w:rPr>
            </w:pPr>
            <w:r>
              <w:rPr>
                <w:rFonts w:ascii="Arial" w:cs="Arial" w:eastAsia="Arial" w:hAnsi="Arial"/>
                <w:sz w:val="18"/>
                <w:szCs w:val="18"/>
                <w:color w:val="auto"/>
                <w:w w:val="84"/>
              </w:rPr>
              <w:t>0.87%</w:t>
            </w:r>
            <w:r>
              <w:rPr>
                <w:rFonts w:ascii="Arial" w:cs="Arial" w:eastAsia="Arial" w:hAnsi="Arial"/>
                <w:sz w:val="22"/>
                <w:szCs w:val="22"/>
                <w:color w:val="auto"/>
                <w:w w:val="84"/>
                <w:vertAlign w:val="superscript"/>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payments on borrowed funds</w:t>
            </w:r>
          </w:p>
        </w:tc>
        <w:tc>
          <w:tcPr>
            <w:tcW w:w="4400" w:type="dxa"/>
            <w:vAlign w:val="bottom"/>
            <w:gridSpan w:val="3"/>
            <w:shd w:val="clear" w:color="auto" w:fill="CCEEFF"/>
          </w:tcPr>
          <w:p>
            <w:pPr>
              <w:ind w:left="3800"/>
              <w:spacing w:after="0" w:line="217" w:lineRule="exact"/>
              <w:rPr>
                <w:sz w:val="20"/>
                <w:szCs w:val="20"/>
                <w:color w:val="auto"/>
              </w:rPr>
            </w:pPr>
            <w:r>
              <w:rPr>
                <w:rFonts w:ascii="Arial" w:cs="Arial" w:eastAsia="Arial" w:hAnsi="Arial"/>
                <w:sz w:val="18"/>
                <w:szCs w:val="18"/>
                <w:color w:val="auto"/>
                <w:w w:val="84"/>
              </w:rPr>
              <w:t>1.12%</w:t>
            </w:r>
            <w:r>
              <w:rPr>
                <w:rFonts w:ascii="Arial" w:cs="Arial" w:eastAsia="Arial" w:hAnsi="Arial"/>
                <w:sz w:val="22"/>
                <w:szCs w:val="22"/>
                <w:color w:val="auto"/>
                <w:w w:val="84"/>
                <w:vertAlign w:val="superscript"/>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3800" w:type="dxa"/>
            <w:vAlign w:val="bottom"/>
          </w:tcPr>
          <w:p>
            <w:pPr>
              <w:spacing w:after="0"/>
              <w:rPr>
                <w:sz w:val="18"/>
                <w:szCs w:val="18"/>
                <w:color w:val="auto"/>
              </w:rPr>
            </w:pPr>
          </w:p>
        </w:tc>
        <w:tc>
          <w:tcPr>
            <w:tcW w:w="600" w:type="dxa"/>
            <w:vAlign w:val="bottom"/>
            <w:gridSpan w:val="2"/>
          </w:tcPr>
          <w:p>
            <w:pPr>
              <w:spacing w:after="0" w:line="217" w:lineRule="exact"/>
              <w:rPr>
                <w:sz w:val="20"/>
                <w:szCs w:val="20"/>
                <w:color w:val="auto"/>
              </w:rPr>
            </w:pPr>
            <w:r>
              <w:rPr>
                <w:rFonts w:ascii="Arial" w:cs="Arial" w:eastAsia="Arial" w:hAnsi="Arial"/>
                <w:sz w:val="18"/>
                <w:szCs w:val="18"/>
                <w:color w:val="auto"/>
                <w:w w:val="84"/>
              </w:rPr>
              <w:t>1.24%</w:t>
            </w:r>
            <w:r>
              <w:rPr>
                <w:rFonts w:ascii="Arial" w:cs="Arial" w:eastAsia="Arial" w:hAnsi="Arial"/>
                <w:sz w:val="22"/>
                <w:szCs w:val="22"/>
                <w:color w:val="auto"/>
                <w:w w:val="84"/>
                <w:vertAlign w:val="superscript"/>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Annual Expenses</w:t>
            </w:r>
          </w:p>
        </w:tc>
        <w:tc>
          <w:tcPr>
            <w:tcW w:w="38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68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total assets. See “Certain Relationships and Transactions—Investment Management Agreement”</w:t>
      </w:r>
    </w:p>
    <w:p>
      <w:pPr>
        <w:spacing w:after="0" w:line="37" w:lineRule="exact"/>
        <w:rPr>
          <w:rFonts w:ascii="Arial" w:cs="Arial" w:eastAsia="Arial" w:hAnsi="Arial"/>
          <w:sz w:val="18"/>
          <w:szCs w:val="18"/>
          <w:color w:val="auto"/>
        </w:rPr>
      </w:pPr>
    </w:p>
    <w:p>
      <w:pPr>
        <w:ind w:left="460" w:right="20" w:hanging="452"/>
        <w:spacing w:after="0" w:line="287"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portion of incentive fees paid in respect of net investment income is based on actual amounts incurred during the nine months ended June 30, 2008,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advisory and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we cannot predict our future net investment income or capital gains, the incentive fee paid in future years, if any, may be substantially different than the fee earned during the nine months ended June 30, 2008. For more detailed information about the incentive fee, please see the section of this prospectus captioned “Certain Relationships and Transactions—Investment Management Agreement” and Note 3 to our financial statements included elsewhere in this prospectus.</w:t>
      </w:r>
    </w:p>
    <w:p>
      <w:pPr>
        <w:spacing w:after="0" w:line="28" w:lineRule="exact"/>
        <w:rPr>
          <w:rFonts w:ascii="Arial" w:cs="Arial" w:eastAsia="Arial" w:hAnsi="Arial"/>
          <w:sz w:val="16"/>
          <w:szCs w:val="16"/>
          <w:color w:val="auto"/>
        </w:rPr>
      </w:pPr>
    </w:p>
    <w:p>
      <w:pPr>
        <w:ind w:left="460" w:right="60" w:hanging="452"/>
        <w:spacing w:after="0" w:line="290"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 of June 30, 2008, we had $95.9 million unused, subject to maintenance of the applicable total assets to debt ratio of 200%, and $204.1 million in borrowings outstanding (including a $40.0 million temporary draw) under our $300.0 million credit facility. We intend to use proceeds of an offering of securities under this registration statement primarily to repay outstanding obligations under our credit facility. After completing any such offering, we intend to continue to borrow under our credit facility to finance portfolio investments and are permitted to do so under the terms of our credit facility. We have estimated the interest payments on borrowed funds to take this into account; however, we caution you that our actual interest expense will depend on prevailing interest rates and our rate of borrowing and may be substantially higher than the estimate provided in this table. For more information, see “Risk Factors—We currently use borrowed funds to make investments and are exposed to the typical risks associated with leverage.”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80" w:hanging="452"/>
        <w:spacing w:after="0" w:line="256"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Expenses” includes, among other expenses, our general and administrative expenses, professional fees, directors’ fees, insurance costs, and the expenses of the Investment Adviser reimbursable under our Investment Management Agreement and of the Administrator reimbursable under our Administration Agreement. Such expenses are based on actual other expenses for the nine months ended June 30, 2008 annualized for a full year. See our “Consolidated Statement of Operations” in our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discussion of our financial condition and results of operation is based upon our financial statements, which have been prepared in accordance with U.S. generally accepted accounting principles, or “GAAP.” The preparation of these financial statements requires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describe our critical accounting policies in the notes to our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purchased within 60 days of maturity will be valued at cost plus accreted discount, or minus amortized premium, which approximates value. With respect to unquoted securities, our board of directors, together with our independent third party valuation firms, values each investment considering, among other measures, discounted cash flow models, comparisons of financial ratios of peer companies that are public and other factors.</w:t>
      </w:r>
    </w:p>
    <w:p>
      <w:pPr>
        <w:spacing w:after="0" w:line="12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When an external event such as a purchase transaction, public offering or subsequent equity sale occurs in connection with one of our portfolio companies, our board uses the pricing indicated by the external event to corroborate and/or assist us in our valuation of our investments in such portfolio company. Because there are not always readily available markets for many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2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are readily available but believed not to reflect the fair value of an investment, our board of directors undertakes a multi-step valuation process each quarter, as described below:</w:t>
      </w:r>
    </w:p>
    <w:p>
      <w:pPr>
        <w:spacing w:after="0" w:line="51" w:lineRule="exact"/>
        <w:rPr>
          <w:sz w:val="20"/>
          <w:szCs w:val="20"/>
          <w:color w:val="auto"/>
        </w:rPr>
      </w:pPr>
    </w:p>
    <w:p>
      <w:pPr>
        <w:ind w:left="900" w:right="4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jc w:val="both"/>
        <w:ind w:left="900" w:right="40" w:hanging="325"/>
        <w:spacing w:after="0" w:line="306"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board of directors also engages one or more independent valuation firms to conduct independent appraisals of our investments for which market quotations are not readily available or are readily available but believed not to reflect the fair value of an investment. The independent valuation firm reviews management’s preliminary valuations and makes its own independent assessment;</w:t>
      </w:r>
    </w:p>
    <w:p>
      <w:pPr>
        <w:spacing w:after="0" w:line="25" w:lineRule="exact"/>
        <w:rPr>
          <w:rFonts w:ascii="Arial" w:cs="Arial" w:eastAsia="Arial" w:hAnsi="Arial"/>
          <w:sz w:val="16"/>
          <w:szCs w:val="16"/>
          <w:color w:val="auto"/>
        </w:rPr>
      </w:pPr>
    </w:p>
    <w:p>
      <w:pPr>
        <w:ind w:left="900" w:right="260" w:hanging="325"/>
        <w:spacing w:after="0" w:line="33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4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securities with contractual PIK interest, which represents contractual interest accrued and added to the loan balance that generally becomes due at maturity, we generally will not accrue PIK interest if the portfolio company valuation indicates that such PIK interest is not collectible. We do not accrue as a receivable interest on loans and debt securities if we have reason to doubt our ability to collect such interest. Loan origination fees, original issue discount and market discount or premium are capitalized, and we then accrete or amortize such amounts using the effective interest method as interest income. We record prepayment premiums on loans and debt securities as interest income. Dividend income, if any, is recognized on an accrual basis to the extent that we expect to collect such amount.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in Kind Interest</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The PIK interest is added to the principal balance of the investment and is recorded as income. For the Company to maintain its status as a RIC, substantially all of this income must be paid out to stockholders in the form of dividends, even though the Company has not collected any cash.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operate so as to qualify to be taxed as a RIC under Subchapter M of the Code and intend to continue to do so. Accordingly, we are not subject to federal income tax on the portion of our taxable income and gains distributed to stockholders. To qualify as a RIC, we are required to distribute at least 90% of our investment company taxable income as defined by the Code.</w:t>
      </w:r>
    </w:p>
    <w:p>
      <w:pPr>
        <w:spacing w:after="0" w:line="14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of June 30, 2008, our portfolio consisted of $130.6 million of subordinated debt, $107.0 million of second lien secured debt, $14.9 million of equity investments and $133.2 million of senior secured loans. Our core assets totaled $252.5 million and consisted of investments in sixteen different companies with an average investment size of $15.8 million per company and a weighted average yield of 11.9% on the debt investments. On June 30, 2008, our senior secured loan portfolio consisted of twenty-six different companies (including one company also in our core portfolio) with an average investment size of $5.1 million, and a weighted average yield of 5.1%. The overall portfolio had a weighted average yield on debt investments of 9.5%. Due to a more stable market for liquid leveraged finance instruments and the maturation and growth of some of our equity co-investments, our portfolio had unrealized appreciation of $11.7 million for the three months ended June 30, 2008. As of June 30, 2008, our portfolio consisted of forty-one companies and was invested 34% in subordinated debt, 28% in second lien secured debt, 4% in preferred and common equity investments and 34% in senior secured loans.</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As of September 30, 2007, our portfolio consisted of $57.3 million of subordinated debt, $67.8 million of second lien secured debt, $7.0 million of equity investments and $158.9 million of senior secured loans. Our core assets totaled $132.1 million and consisted of investments in eight different companies with an average investment size of $16.5 million per company and a weighted average yield of 13.0% on the debt investments. On September 30, 2007, our senior secured loan portfolio totaled $158.9 million and consisted of thirty-one different companies (including one company also in our core portfolio) with an average investment size of $5.3 million, and a weighted average yield of 7.5%. The overall portfolio had a weighted average yield on debt investments of 10.1%. On September 30, 2007, our portfolio consisted of thirty-eight companies and was invested 20% in subordinated debt, 23% in second lien secured debt, 2% in equity investments and 55% in senior secured loans.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Set forth below are our results of operations for the nine months ended June 30, 2008 and the period from January 11, 2007 (inception) through September 30, 2007.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Investment income for the nine months ended June 30, 2008, was $28.4 million and was primarily attributed to $11.6 million of interest income from senior secured loan investments; $10.5 million from our second lien secured debt investments; and $5.1 million from our subordinated debt investments. The remaining investment income was primarily attributed to interest income from short-term investments and to accretion of discount and amortization of premium.</w:t>
      </w:r>
    </w:p>
    <w:p>
      <w:pPr>
        <w:spacing w:after="0" w:line="107"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Investment income totaled $13.1 million for the period January 11, 2007 (inception) through September 30, 2007. The investment income was generated primarily from senior secured loan investments which had stated interest rates between 6.9% and 8.7%, and a weighted average yield of 7.5%. Our second lien secured debt investments had stated interest rates between 11.1% and 13.3% and weighted average yield of 12.9%. Our subordinated debt investments had stated interest rates between 11.7% and 14.3% and weighted average yield of 13.1%. Our total portfolio had a weighted average yield on debt investments of 10.1%.</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Net expenses totaled $15.3 million and $5.8 million for the nine months ended June 30, 2008 and the period January 11, 2007 (inception) through September 30, 2007, respectively. Of these totals, $4.4 million and $1.8 million was attributable to credit facility related expenses for the nine months ended June 30, 2008 and the period January 11, 2007 (inception) through September 30, 2007, respectively, and $3.6 million and $2.0 million to general and administrative expenses for the nine months ended June 30, 2008 and the period January 11, 2007 (inception) through September 30, 2007, respectively. Net base management fee totaled $4.8 million and $1.9 million for the nine months ended June 30, 2008 and the period January 11, 2007 (inception) through September 30, 2007, respectively. The performance-based incentive fee totaled approximately $2.5 million for the nine months ended June 30, 2008. We paid no performance-based incentive fees for the period January 11, 2007 (inception) through September 30, 2007.</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net investment income totaled $13.1 million and $7.3 million or $0.62 and $0.35 per share, for the nine months ended June 30, 2008 and the period January 11, 2007 (inception) through September 30, 2007,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Loss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Sales and paydowns of long-term investments totaled $14.4 million and $99.6 million, and net realized losses totaled approximately $621,000 and $82,000 for the nine months ended June 30, 2008 and the period January 11, 2007 (inception) through September 30, 2007,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Depreciation on Investments and Cash Equivalents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the nine months ended June 30, 2008, the Company’s investments and cash equivalents had a net increase in unrealized depreciation of $42.2 million.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On June 30, 2008, net unrealized depreciation on investments totaled $66.1 million.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Decrease in Net Assets From Operations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Net decrease in net assets resulting from operations totaled $29.7 million and $16.7 million, or $1.40 and $0.80 per share, for the nine months ended June 30, 2008 and the period January 11, 2007 (inception) through September 30, 2007,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June 25, 2007, we entered into a Senior Secured Revolving Credit Agreement (the “Credit Agreement”) among us, various lenders and SunTrust Bank, as administrative agent for the lenders. SunTrust Robinson Humphrey Capital Markets acted as the joint lead arranger and book-runner, and Bear Stearns Corporate Lending Inc. acted as joint lead arranger and syndication agent. As of June 30, 2008, we had outstanding borrowings of $204.1 million (including a $40.0 million temporary draw) under the Credit Agreement, with an annual interest rate of 3.65%.</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Under the Credit Agreement, the lenders agreed to extend us credit in an initial aggregate principal or face amount not exceeding $300.0 million at any one time outstanding. The Credit Agreement is a five-year revolving facility (with a stated maturity date of June 25, 2012) and is secured by substantially all of our investment portfolio assets. Pricing of borrowings under our credit facility is set at 100 basis points over LIBOR.</w:t>
      </w:r>
    </w:p>
    <w:p>
      <w:pPr>
        <w:spacing w:after="0" w:line="10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On June 30, 2008, we had $41.0 million in cash equivalents. During the nine months ended June 30, 2008, we generated operating cash flows primarily from interest earned on debt investments, and our primary use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of funds for operations during the same period consisted of investments in portfolio companies, payments of fees and other operating expenses we incurred. Our operating activities resulted in a net use of cash of $397.1 million, for the nine months ended June 30, 2008, and our financing activities resulted in a net inflow of cash of $180.2 million for the same period, primarily from borrowings under our credit facility.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 summary of our significant contractual payment obligations for the repayment of outstanding borrowing under the multi-currency $300 million, five-year, revolving credit facility maturing in June 2012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6"/>
          </w:tcPr>
          <w:p>
            <w:pPr>
              <w:jc w:val="right"/>
              <w:ind w:right="860"/>
              <w:spacing w:after="0"/>
              <w:rPr>
                <w:sz w:val="20"/>
                <w:szCs w:val="20"/>
                <w:color w:val="auto"/>
              </w:rPr>
            </w:pPr>
            <w:r>
              <w:rPr>
                <w:rFonts w:ascii="Arial" w:cs="Arial" w:eastAsia="Arial" w:hAnsi="Arial"/>
                <w:sz w:val="14"/>
                <w:szCs w:val="14"/>
                <w:b w:val="1"/>
                <w:bCs w:val="1"/>
                <w:color w:val="auto"/>
              </w:rPr>
              <w:t>Payments due by period (millions)</w:t>
            </w:r>
          </w:p>
        </w:tc>
        <w:tc>
          <w:tcPr>
            <w:tcW w:w="720" w:type="dxa"/>
            <w:vAlign w:val="bottom"/>
            <w:tcBorders>
              <w:bottom w:val="single" w:sz="8" w:color="auto"/>
            </w:tcBorders>
          </w:tcPr>
          <w:p>
            <w:pPr>
              <w:spacing w:after="0"/>
              <w:rPr>
                <w:sz w:val="14"/>
                <w:szCs w:val="14"/>
                <w:color w:val="auto"/>
              </w:rPr>
            </w:pPr>
          </w:p>
        </w:tc>
      </w:tr>
      <w:tr>
        <w:trPr>
          <w:trHeight w:val="129"/>
        </w:trPr>
        <w:tc>
          <w:tcPr>
            <w:tcW w:w="45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Less than 1</w:t>
            </w: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More than 5</w:t>
            </w:r>
          </w:p>
        </w:tc>
      </w:tr>
      <w:tr>
        <w:trPr>
          <w:trHeight w:val="161"/>
        </w:trPr>
        <w:tc>
          <w:tcPr>
            <w:tcW w:w="45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00" w:type="dxa"/>
            <w:vAlign w:val="bottom"/>
          </w:tcPr>
          <w:p>
            <w:pPr>
              <w:ind w:left="100"/>
              <w:spacing w:after="0"/>
              <w:rPr>
                <w:sz w:val="20"/>
                <w:szCs w:val="20"/>
                <w:color w:val="auto"/>
              </w:rPr>
            </w:pPr>
            <w:r>
              <w:rPr>
                <w:rFonts w:ascii="Arial" w:cs="Arial" w:eastAsia="Arial" w:hAnsi="Arial"/>
                <w:sz w:val="14"/>
                <w:szCs w:val="14"/>
                <w:b w:val="1"/>
                <w:bCs w:val="1"/>
                <w:color w:val="auto"/>
              </w:rPr>
              <w:t>Total</w:t>
            </w:r>
          </w:p>
        </w:tc>
        <w:tc>
          <w:tcPr>
            <w:tcW w:w="6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year</w:t>
            </w:r>
          </w:p>
        </w:tc>
        <w:tc>
          <w:tcPr>
            <w:tcW w:w="4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w w:val="85"/>
              </w:rPr>
              <w:t>1-3 years</w:t>
            </w:r>
          </w:p>
        </w:tc>
        <w:tc>
          <w:tcPr>
            <w:tcW w:w="480" w:type="dxa"/>
            <w:vAlign w:val="bottom"/>
          </w:tcPr>
          <w:p>
            <w:pPr>
              <w:spacing w:after="0"/>
              <w:rPr>
                <w:sz w:val="14"/>
                <w:szCs w:val="14"/>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2"/>
              </w:rPr>
              <w:t>3-5 years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years</w:t>
            </w:r>
          </w:p>
        </w:tc>
      </w:tr>
      <w:tr>
        <w:trPr>
          <w:trHeight w:val="20"/>
        </w:trPr>
        <w:tc>
          <w:tcPr>
            <w:tcW w:w="4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0"/>
        </w:trPr>
        <w:tc>
          <w:tcPr>
            <w:tcW w:w="4580" w:type="dxa"/>
            <w:vAlign w:val="bottom"/>
            <w:shd w:val="clear" w:color="auto" w:fill="CCEEFF"/>
          </w:tcPr>
          <w:p>
            <w:pPr>
              <w:spacing w:after="0" w:line="209" w:lineRule="exact"/>
              <w:rPr>
                <w:sz w:val="20"/>
                <w:szCs w:val="20"/>
                <w:color w:val="auto"/>
              </w:rPr>
            </w:pPr>
            <w:r>
              <w:rPr>
                <w:rFonts w:ascii="Arial" w:cs="Arial" w:eastAsia="Arial" w:hAnsi="Arial"/>
                <w:sz w:val="18"/>
                <w:szCs w:val="18"/>
                <w:color w:val="auto"/>
              </w:rPr>
              <w:t>Senior secured revolving credit facility</w:t>
            </w:r>
            <w:r>
              <w:rPr>
                <w:rFonts w:ascii="Arial" w:cs="Arial" w:eastAsia="Arial" w:hAnsi="Arial"/>
                <w:sz w:val="22"/>
                <w:szCs w:val="22"/>
                <w:color w:val="auto"/>
                <w:vertAlign w:val="superscript"/>
              </w:rPr>
              <w:t>(1)</w:t>
            </w:r>
          </w:p>
        </w:tc>
        <w:tc>
          <w:tcPr>
            <w:tcW w:w="2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$204.1</w:t>
            </w:r>
            <w:r>
              <w:rPr>
                <w:rFonts w:ascii="Arial" w:cs="Arial" w:eastAsia="Arial" w:hAnsi="Arial"/>
                <w:sz w:val="11"/>
                <w:szCs w:val="11"/>
                <w:color w:val="auto"/>
              </w:rPr>
              <w:t>(2)</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204.1</w:t>
            </w:r>
            <w:r>
              <w:rPr>
                <w:rFonts w:ascii="Arial" w:cs="Arial" w:eastAsia="Arial" w:hAnsi="Arial"/>
                <w:sz w:val="11"/>
                <w:szCs w:val="11"/>
                <w:color w:val="auto"/>
              </w:rPr>
              <w:t>(2)</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5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June 30, 2008, $95.9 million remained unused under our senior secured revolving credit facility, subject to maintenance of the applicable total assets to debt ratio of 200%.</w:t>
      </w: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Including a $40.0 million temporary draw.</w:t>
      </w:r>
    </w:p>
    <w:p>
      <w:pPr>
        <w:spacing w:after="0" w:line="165"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We have entered into certain contracts under which we have material future commitments. On April 17, 2007 we entered into an Investment Management Agreement with PennantPark Investment Advisers in accordance with the 1940 Act, effective as of the completion of our initial public offering. PennantPark Investment Advisers now serves as our investment adviser in accordance with the terms of our Investment Management Agreement. Payments under our Investment Management Agreement in each reporting period is equal to (1) a management fee equal to a percentage of the value of our gross assets and (2) an incentive fee based on our performance. See “Certain Relationships and Transactions—Investment Management Agreement” and Note 3 to our financial statements for more information).</w:t>
      </w:r>
    </w:p>
    <w:p>
      <w:pPr>
        <w:spacing w:after="0" w:line="144"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Under our Administration Agreement, dated April 17, 2007, PennantPark Investment Administration furnishes us with office facilities and administrative services necessary to conduct our day-to-day operations. If requested to provide managerial assistance to our portfolio companies,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 See “Certain Relationships and Transactions—Administration Agreement” and note 3 to our financial statements for more information.</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engage in no off-balance sheet arrangements, including any risk management of commodity pricing or other hedging practices.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In September 2006, the Financial Accounting Standards Board (“FASB”) issued Statement of Financial Accounting Standards (“SFAS”) 157,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w:t>
      </w:r>
      <w:r>
        <w:rPr>
          <w:rFonts w:ascii="Arial" w:cs="Arial" w:eastAsia="Arial" w:hAnsi="Arial"/>
          <w:sz w:val="18"/>
          <w:szCs w:val="18"/>
          <w:color w:val="auto"/>
        </w:rPr>
        <w:t>, which clarifies the definition of fair value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requires companies to expand their disclosure about the use of fair value to measure assets and liabilities in interim and annual periods subsequent to initial recognition. Adoption of SFAS 157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We plan to implement SFAS 157 for financial statements issued after September 30, 2008 and believe this implementation will not affect the Company’s financial position or its results of operations.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In February 2007, the FASB issued SFAS 159,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—Including an Amendment of FASB 115. This statement permits an entity to choose to measure many financial instruments and certain other items at fair value. This statement applies to all reporting 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We plan to implement SFAS 159 for financial statements issued after September 30, 2008 and continue to evaluate future impact.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order to qualify as a regulated investment company and to avoid corporate level tax on income, we are required, under Subchapter M of the Code, to distribute at least 90% of our ordinary income and net short-term capital gains in excess of realized net long-term capital losses, if any, to our stockholders on an annual basis. Additionally, we must distribute at least 98% of our income (both ordinary income and net capital gains) to avoid an excise tax.</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During the nine months ended June 30, 2008 we paid to stockholders distributions of $0.66 per share, for a total distribution of $13.9 million.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 after the end of the calendar year.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nine months ended June 30, 2008, $1.2 million has been reinvested through open market purchase under our dividend reinvestment plan.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quarterly dividends to our stockholders. Our quarterly dividends, if any, will be determined by our board of directors.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dividends declared since our inception have been as follows:</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w w:val="98"/>
              </w:rPr>
              <w:t>Dividend</w:t>
            </w:r>
          </w:p>
        </w:tc>
      </w:tr>
      <w:tr>
        <w:trPr>
          <w:trHeight w:val="161"/>
        </w:trPr>
        <w:tc>
          <w:tcPr>
            <w:tcW w:w="898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Declared</w:t>
            </w: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2008</w:t>
            </w:r>
          </w:p>
        </w:tc>
        <w:tc>
          <w:tcPr>
            <w:tcW w:w="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98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0.24</w:t>
            </w:r>
          </w:p>
        </w:tc>
        <w:tc>
          <w:tcPr>
            <w:tcW w:w="60" w:type="dxa"/>
            <w:vAlign w:val="bottom"/>
          </w:tcPr>
          <w:p>
            <w:pPr>
              <w:spacing w:after="0"/>
              <w:rPr>
                <w:sz w:val="18"/>
                <w:szCs w:val="18"/>
                <w:color w:val="auto"/>
              </w:rPr>
            </w:pPr>
          </w:p>
        </w:tc>
      </w:tr>
      <w:tr>
        <w:trPr>
          <w:trHeight w:val="216"/>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0.22</w:t>
            </w:r>
          </w:p>
        </w:tc>
        <w:tc>
          <w:tcPr>
            <w:tcW w:w="60" w:type="dxa"/>
            <w:vAlign w:val="bottom"/>
            <w:shd w:val="clear" w:color="auto" w:fill="CCEEFF"/>
          </w:tcPr>
          <w:p>
            <w:pPr>
              <w:spacing w:after="0"/>
              <w:rPr>
                <w:sz w:val="18"/>
                <w:szCs w:val="18"/>
                <w:color w:val="auto"/>
              </w:rPr>
            </w:pPr>
          </w:p>
        </w:tc>
      </w:tr>
      <w:tr>
        <w:trPr>
          <w:trHeight w:val="216"/>
        </w:trPr>
        <w:tc>
          <w:tcPr>
            <w:tcW w:w="898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0.22</w:t>
            </w:r>
          </w:p>
        </w:tc>
        <w:tc>
          <w:tcPr>
            <w:tcW w:w="60" w:type="dxa"/>
            <w:vAlign w:val="bottom"/>
          </w:tcPr>
          <w:p>
            <w:pPr>
              <w:spacing w:after="0"/>
              <w:rPr>
                <w:sz w:val="18"/>
                <w:szCs w:val="18"/>
                <w:color w:val="auto"/>
              </w:rPr>
            </w:pPr>
          </w:p>
        </w:tc>
      </w:tr>
      <w:tr>
        <w:trPr>
          <w:trHeight w:val="216"/>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5"/>
              </w:rPr>
              <w:t>0.22</w:t>
            </w:r>
          </w:p>
        </w:tc>
        <w:tc>
          <w:tcPr>
            <w:tcW w:w="60" w:type="dxa"/>
            <w:vAlign w:val="bottom"/>
            <w:shd w:val="clear" w:color="auto" w:fill="CCEEFF"/>
          </w:tcPr>
          <w:p>
            <w:pPr>
              <w:spacing w:after="0"/>
              <w:rPr>
                <w:sz w:val="18"/>
                <w:szCs w:val="18"/>
                <w:color w:val="auto"/>
              </w:rPr>
            </w:pPr>
          </w:p>
        </w:tc>
      </w:tr>
      <w:tr>
        <w:trPr>
          <w:trHeight w:val="221"/>
        </w:trPr>
        <w:tc>
          <w:tcPr>
            <w:tcW w:w="8980" w:type="dxa"/>
            <w:vAlign w:val="bottom"/>
          </w:tcPr>
          <w:p>
            <w:pPr>
              <w:ind w:left="440"/>
              <w:spacing w:after="0"/>
              <w:rPr>
                <w:sz w:val="20"/>
                <w:szCs w:val="20"/>
                <w:color w:val="auto"/>
              </w:rPr>
            </w:pPr>
            <w:r>
              <w:rPr>
                <w:rFonts w:ascii="Arial" w:cs="Arial" w:eastAsia="Arial" w:hAnsi="Arial"/>
                <w:sz w:val="18"/>
                <w:szCs w:val="18"/>
                <w:b w:val="1"/>
                <w:bCs w:val="1"/>
                <w:color w:val="auto"/>
              </w:rPr>
              <w:t>Total fiscal year ended September 30, 2008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0.90</w:t>
            </w:r>
          </w:p>
        </w:tc>
        <w:tc>
          <w:tcPr>
            <w:tcW w:w="60" w:type="dxa"/>
            <w:vAlign w:val="bottom"/>
          </w:tcPr>
          <w:p>
            <w:pPr>
              <w:spacing w:after="0"/>
              <w:rPr>
                <w:sz w:val="19"/>
                <w:szCs w:val="19"/>
                <w:color w:val="auto"/>
              </w:rPr>
            </w:pPr>
          </w:p>
        </w:tc>
      </w:tr>
      <w:tr>
        <w:trPr>
          <w:trHeight w:val="110"/>
        </w:trPr>
        <w:tc>
          <w:tcPr>
            <w:tcW w:w="8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98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0.22</w:t>
            </w:r>
          </w:p>
        </w:tc>
        <w:tc>
          <w:tcPr>
            <w:tcW w:w="60" w:type="dxa"/>
            <w:vAlign w:val="bottom"/>
          </w:tcPr>
          <w:p>
            <w:pPr>
              <w:spacing w:after="0"/>
              <w:rPr>
                <w:sz w:val="18"/>
                <w:szCs w:val="18"/>
                <w:color w:val="auto"/>
              </w:rPr>
            </w:pPr>
          </w:p>
        </w:tc>
      </w:tr>
      <w:tr>
        <w:trPr>
          <w:trHeight w:val="216"/>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5"/>
              </w:rPr>
              <w:t>0.14</w:t>
            </w:r>
          </w:p>
        </w:tc>
        <w:tc>
          <w:tcPr>
            <w:tcW w:w="60" w:type="dxa"/>
            <w:vAlign w:val="bottom"/>
            <w:shd w:val="clear" w:color="auto" w:fill="CCEEFF"/>
          </w:tcPr>
          <w:p>
            <w:pPr>
              <w:spacing w:after="0"/>
              <w:rPr>
                <w:sz w:val="18"/>
                <w:szCs w:val="18"/>
                <w:color w:val="auto"/>
              </w:rPr>
            </w:pPr>
          </w:p>
        </w:tc>
      </w:tr>
      <w:tr>
        <w:trPr>
          <w:trHeight w:val="221"/>
        </w:trPr>
        <w:tc>
          <w:tcPr>
            <w:tcW w:w="8980" w:type="dxa"/>
            <w:vAlign w:val="bottom"/>
          </w:tcPr>
          <w:p>
            <w:pPr>
              <w:ind w:left="440"/>
              <w:spacing w:after="0"/>
              <w:rPr>
                <w:sz w:val="20"/>
                <w:szCs w:val="20"/>
                <w:color w:val="auto"/>
              </w:rPr>
            </w:pPr>
            <w:r>
              <w:rPr>
                <w:rFonts w:ascii="Arial" w:cs="Arial" w:eastAsia="Arial" w:hAnsi="Arial"/>
                <w:sz w:val="18"/>
                <w:szCs w:val="18"/>
                <w:b w:val="1"/>
                <w:bCs w:val="1"/>
                <w:color w:val="auto"/>
              </w:rPr>
              <w:t>Total fiscal year ended September 30, 2007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1"/>
              </w:rPr>
              <w:t>0.36</w:t>
            </w:r>
            <w:r>
              <w:rPr>
                <w:rFonts w:ascii="Arial" w:cs="Arial" w:eastAsia="Arial" w:hAnsi="Arial"/>
                <w:sz w:val="11"/>
                <w:szCs w:val="11"/>
                <w:color w:val="auto"/>
                <w:w w:val="91"/>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$0.00107 per share is a tax return of capital</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did not experience any compromised liquidity during the recent turmoil in the global credit markets because of our ability to liquidate our portfolio of senior secured loans, which totaled $133.2 million as of June 30, 2008, and availability under our credit facility.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subject to financial market risks, including changes in interest rates. During the period covered by this report, many of the loans in our portfolio had floating interest rates. These loans are usually based on a floating LIBOR rate and typically have durations of three months after which they reset to current market interest rates.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Assuming that the balance sheet as of the period covered by this report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16"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Because we borrow money to make investments, our net investment income is dependent upon the difference between the rate at which we borrow funds and the rate at which we invest these funds. In periods of declining interest rates, our cost of funds would decrease, which may reduce our net investment income. As a result, there can be no assurance that a significant change in market interest rates will not have a material adverse effect on our net investment income.</w:t>
      </w:r>
    </w:p>
    <w:p>
      <w:pPr>
        <w:spacing w:after="0" w:line="8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 for our common stock, the closing sale price as a percentage of net asset value, or NAV, and quarterly dividends per share since shares of our common stock began being regularly quoted on the NASDAQ Global Select Market. On September 2, 2008, the last reported closing price of our common stock was $8.22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Premium/</w:t>
            </w: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Premium/</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Discount</w:t>
            </w: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Discount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87"/>
              </w:rPr>
              <w:t>Closing Sales Price</w:t>
            </w:r>
          </w:p>
        </w:tc>
        <w:tc>
          <w:tcPr>
            <w:tcW w:w="1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of High</w:t>
            </w: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of Low</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gridSpan w:val="2"/>
          </w:tcPr>
          <w:p>
            <w:pPr>
              <w:jc w:val="center"/>
              <w:ind w:right="560"/>
              <w:spacing w:after="0" w:line="116" w:lineRule="exact"/>
              <w:rPr>
                <w:sz w:val="20"/>
                <w:szCs w:val="20"/>
                <w:color w:val="auto"/>
              </w:rPr>
            </w:pPr>
            <w:r>
              <w:rPr>
                <w:rFonts w:ascii="Arial" w:cs="Arial" w:eastAsia="Arial" w:hAnsi="Arial"/>
                <w:sz w:val="12"/>
                <w:szCs w:val="12"/>
                <w:b w:val="1"/>
                <w:bCs w:val="1"/>
                <w:color w:val="auto"/>
                <w:w w:val="89"/>
              </w:rPr>
              <w:t>Sales</w:t>
            </w:r>
          </w:p>
        </w:tc>
        <w:tc>
          <w:tcPr>
            <w:tcW w:w="940" w:type="dxa"/>
            <w:vAlign w:val="bottom"/>
            <w:gridSpan w:val="2"/>
          </w:tcPr>
          <w:p>
            <w:pPr>
              <w:jc w:val="center"/>
              <w:ind w:right="360"/>
              <w:spacing w:after="0" w:line="116" w:lineRule="exact"/>
              <w:rPr>
                <w:sz w:val="20"/>
                <w:szCs w:val="20"/>
                <w:color w:val="auto"/>
              </w:rPr>
            </w:pPr>
            <w:r>
              <w:rPr>
                <w:rFonts w:ascii="Arial" w:cs="Arial" w:eastAsia="Arial" w:hAnsi="Arial"/>
                <w:sz w:val="12"/>
                <w:szCs w:val="12"/>
                <w:b w:val="1"/>
                <w:bCs w:val="1"/>
                <w:color w:val="auto"/>
                <w:w w:val="95"/>
              </w:rPr>
              <w:t>Sales</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NAV</w:t>
            </w:r>
            <w:r>
              <w:rPr>
                <w:rFonts w:ascii="Arial" w:cs="Arial" w:eastAsia="Arial" w:hAnsi="Arial"/>
                <w:sz w:val="22"/>
                <w:szCs w:val="22"/>
                <w:b w:val="1"/>
                <w:bCs w:val="1"/>
                <w:color w:val="auto"/>
                <w:w w:val="84"/>
                <w:vertAlign w:val="superscript"/>
              </w:rPr>
              <w:t>(1)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Price to</w:t>
            </w: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Price to</w:t>
            </w:r>
          </w:p>
        </w:tc>
        <w:tc>
          <w:tcPr>
            <w:tcW w:w="2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176"/>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50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9"/>
              </w:rPr>
              <w:t>High</w:t>
            </w:r>
          </w:p>
        </w:tc>
        <w:tc>
          <w:tcPr>
            <w:tcW w:w="100" w:type="dxa"/>
            <w:vAlign w:val="bottom"/>
          </w:tcPr>
          <w:p>
            <w:pPr>
              <w:spacing w:after="0"/>
              <w:rPr>
                <w:sz w:val="15"/>
                <w:szCs w:val="15"/>
                <w:color w:val="auto"/>
              </w:rPr>
            </w:pPr>
          </w:p>
        </w:tc>
        <w:tc>
          <w:tcPr>
            <w:tcW w:w="8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2"/>
              </w:rPr>
              <w:t>Low</w:t>
            </w:r>
          </w:p>
        </w:tc>
        <w:tc>
          <w:tcPr>
            <w:tcW w:w="1120" w:type="dxa"/>
            <w:vAlign w:val="bottom"/>
            <w:gridSpan w:val="2"/>
          </w:tcPr>
          <w:p>
            <w:pPr>
              <w:jc w:val="center"/>
              <w:ind w:right="560"/>
              <w:spacing w:after="0" w:line="176" w:lineRule="exact"/>
              <w:rPr>
                <w:sz w:val="20"/>
                <w:szCs w:val="20"/>
                <w:color w:val="auto"/>
              </w:rPr>
            </w:pPr>
            <w:r>
              <w:rPr>
                <w:rFonts w:ascii="Arial" w:cs="Arial" w:eastAsia="Arial" w:hAnsi="Arial"/>
                <w:sz w:val="13"/>
                <w:szCs w:val="13"/>
                <w:b w:val="1"/>
                <w:bCs w:val="1"/>
                <w:color w:val="auto"/>
                <w:w w:val="91"/>
              </w:rPr>
              <w:t>NAV</w:t>
            </w:r>
            <w:r>
              <w:rPr>
                <w:rFonts w:ascii="Arial" w:cs="Arial" w:eastAsia="Arial" w:hAnsi="Arial"/>
                <w:sz w:val="20"/>
                <w:szCs w:val="20"/>
                <w:b w:val="1"/>
                <w:bCs w:val="1"/>
                <w:color w:val="auto"/>
                <w:w w:val="91"/>
                <w:vertAlign w:val="superscript"/>
              </w:rPr>
              <w:t>(2)</w:t>
            </w:r>
          </w:p>
        </w:tc>
        <w:tc>
          <w:tcPr>
            <w:tcW w:w="940" w:type="dxa"/>
            <w:vAlign w:val="bottom"/>
            <w:gridSpan w:val="2"/>
          </w:tcPr>
          <w:p>
            <w:pPr>
              <w:jc w:val="center"/>
              <w:ind w:right="340"/>
              <w:spacing w:after="0" w:line="176" w:lineRule="exact"/>
              <w:rPr>
                <w:sz w:val="20"/>
                <w:szCs w:val="20"/>
                <w:color w:val="auto"/>
              </w:rPr>
            </w:pPr>
            <w:r>
              <w:rPr>
                <w:rFonts w:ascii="Arial" w:cs="Arial" w:eastAsia="Arial" w:hAnsi="Arial"/>
                <w:sz w:val="13"/>
                <w:szCs w:val="13"/>
                <w:b w:val="1"/>
                <w:bCs w:val="1"/>
                <w:color w:val="auto"/>
                <w:w w:val="91"/>
              </w:rPr>
              <w:t>NAV</w:t>
            </w:r>
            <w:r>
              <w:rPr>
                <w:rFonts w:ascii="Arial" w:cs="Arial" w:eastAsia="Arial" w:hAnsi="Arial"/>
                <w:sz w:val="20"/>
                <w:szCs w:val="20"/>
                <w:b w:val="1"/>
                <w:bCs w:val="1"/>
                <w:color w:val="auto"/>
                <w:w w:val="91"/>
                <w:vertAlign w:val="superscript"/>
              </w:rPr>
              <w:t>(2)</w:t>
            </w:r>
          </w:p>
        </w:tc>
        <w:tc>
          <w:tcPr>
            <w:tcW w:w="2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3"/>
              </w:rPr>
              <w:t>Dividends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2008</w:t>
            </w:r>
          </w:p>
        </w:tc>
        <w:tc>
          <w:tcPr>
            <w:tcW w:w="1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000" w:type="dxa"/>
            <w:vAlign w:val="bottom"/>
            <w:gridSpan w:val="2"/>
          </w:tcPr>
          <w:p>
            <w:pPr>
              <w:jc w:val="center"/>
              <w:ind w:left="1412"/>
              <w:spacing w:after="0"/>
              <w:rPr>
                <w:sz w:val="20"/>
                <w:szCs w:val="20"/>
                <w:color w:val="auto"/>
              </w:rPr>
            </w:pPr>
            <w:r>
              <w:rPr>
                <w:rFonts w:ascii="Arial" w:cs="Arial" w:eastAsia="Arial" w:hAnsi="Arial"/>
                <w:sz w:val="18"/>
                <w:szCs w:val="18"/>
                <w:color w:val="auto"/>
                <w:w w:val="90"/>
              </w:rPr>
              <w:t>$10.77</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8.60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7.05</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80%</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65%</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000" w:type="dxa"/>
            <w:vAlign w:val="bottom"/>
            <w:gridSpan w:val="2"/>
            <w:shd w:val="clear" w:color="auto" w:fill="CCEEFF"/>
          </w:tcPr>
          <w:p>
            <w:pPr>
              <w:jc w:val="center"/>
              <w:ind w:left="1412"/>
              <w:spacing w:after="0"/>
              <w:rPr>
                <w:sz w:val="20"/>
                <w:szCs w:val="20"/>
                <w:color w:val="auto"/>
              </w:rPr>
            </w:pPr>
            <w:r>
              <w:rPr>
                <w:rFonts w:ascii="Arial" w:cs="Arial" w:eastAsia="Arial" w:hAnsi="Arial"/>
                <w:sz w:val="18"/>
                <w:szCs w:val="18"/>
                <w:color w:val="auto"/>
                <w:w w:val="90"/>
              </w:rPr>
              <w:t>$10.26</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11.31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8.38</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000" w:type="dxa"/>
            <w:vAlign w:val="bottom"/>
            <w:gridSpan w:val="2"/>
          </w:tcPr>
          <w:p>
            <w:pPr>
              <w:jc w:val="center"/>
              <w:ind w:left="1412"/>
              <w:spacing w:after="0"/>
              <w:rPr>
                <w:sz w:val="20"/>
                <w:szCs w:val="20"/>
                <w:color w:val="auto"/>
              </w:rPr>
            </w:pPr>
            <w:r>
              <w:rPr>
                <w:rFonts w:ascii="Arial" w:cs="Arial" w:eastAsia="Arial" w:hAnsi="Arial"/>
                <w:sz w:val="18"/>
                <w:szCs w:val="18"/>
                <w:color w:val="auto"/>
                <w:w w:val="90"/>
              </w:rPr>
              <w:t>$12.07</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14.49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9.08</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120%</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75%</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1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000" w:type="dxa"/>
            <w:vAlign w:val="bottom"/>
            <w:gridSpan w:val="2"/>
          </w:tcPr>
          <w:p>
            <w:pPr>
              <w:jc w:val="center"/>
              <w:ind w:left="1412"/>
              <w:spacing w:after="0"/>
              <w:rPr>
                <w:sz w:val="20"/>
                <w:szCs w:val="20"/>
                <w:color w:val="auto"/>
              </w:rPr>
            </w:pPr>
            <w:r>
              <w:rPr>
                <w:rFonts w:ascii="Arial" w:cs="Arial" w:eastAsia="Arial" w:hAnsi="Arial"/>
                <w:sz w:val="18"/>
                <w:szCs w:val="18"/>
                <w:color w:val="auto"/>
                <w:w w:val="90"/>
              </w:rPr>
              <w:t>$12.83</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14.76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12.61</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115%</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98%</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000" w:type="dxa"/>
            <w:vAlign w:val="bottom"/>
            <w:gridSpan w:val="2"/>
            <w:shd w:val="clear" w:color="auto" w:fill="CCEEFF"/>
          </w:tcPr>
          <w:p>
            <w:pPr>
              <w:jc w:val="center"/>
              <w:ind w:left="1412"/>
              <w:spacing w:after="0"/>
              <w:rPr>
                <w:sz w:val="20"/>
                <w:szCs w:val="20"/>
                <w:color w:val="auto"/>
              </w:rPr>
            </w:pPr>
            <w:r>
              <w:rPr>
                <w:rFonts w:ascii="Arial" w:cs="Arial" w:eastAsia="Arial" w:hAnsi="Arial"/>
                <w:sz w:val="18"/>
                <w:szCs w:val="18"/>
                <w:color w:val="auto"/>
                <w:w w:val="90"/>
              </w:rPr>
              <w:t>$13.74</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15.03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14.04</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109%</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 end NAV.</w:t>
      </w:r>
    </w:p>
    <w:p>
      <w:pPr>
        <w:spacing w:after="0" w:line="77" w:lineRule="exact"/>
        <w:rPr>
          <w:sz w:val="20"/>
          <w:szCs w:val="20"/>
          <w:color w:val="auto"/>
        </w:rPr>
      </w:pPr>
    </w:p>
    <w:p>
      <w:pPr>
        <w:ind w:left="460" w:hanging="408"/>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From April 24, 2007 (initial public offering) to June 30,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right="240" w:firstLine="456"/>
        <w:spacing w:after="0" w:line="370" w:lineRule="auto"/>
        <w:rPr>
          <w:sz w:val="20"/>
          <w:szCs w:val="20"/>
          <w:color w:val="auto"/>
        </w:rPr>
      </w:pPr>
      <w:r>
        <w:rPr>
          <w:rFonts w:ascii="Arial" w:cs="Arial" w:eastAsia="Arial" w:hAnsi="Arial"/>
          <w:sz w:val="15"/>
          <w:szCs w:val="15"/>
          <w:color w:val="auto"/>
        </w:rPr>
        <w:t>PennantPark Investment Corporation, a Maryland corporation organized on January 11, 2007, is a closed-end, externally managed, non-diversified investment company that has elected to be treated as a business development company (“BDC”) under the Investment Company Act of 1940 (the “1940 Act”).</w:t>
      </w:r>
    </w:p>
    <w:p>
      <w:pPr>
        <w:spacing w:after="0" w:line="62"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subordinated debt, second lien secured debt and, to a lesser extent, equity investments.</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PennantPark Investment seeks to create a diversified portfolio that includes mezzanine debt, senior secured loans and equity investments by investing approximately $10 to $50 million of capital, on average, in the securities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 In this prospectus, we use the term “middle-market” to refer to companies with annual revenues between $50 million and $1 billion.</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level of our investment activity in our core assets depends on many factors, including the amount of debt and equity capital available to middle-market companies, the level of merger and acquisition activity for such companies, the general economic environment and the competitive environment for the types of investments we make. Although we have used, and will continue to use, the proceeds of our initial public offering and of our credit facility, we anticipate that it will take us up to two years from the date of our initial public offering to invest all of our assets in accordance with our investment objectives. Any distributions we make during such period may be substantially lower than the distributions that we expect to pay when our portfolio is fully invested.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Structure</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investment activities are managed by PennantPark Investment Advisers and supervised by our board of directors, a majority of whom are independent of us and our Investment Adviser. Under our Investment Management Agreement, we have agreed to pay our Investment Adviser an annual base management fee based on our average adjusted gross total assets as well as an incentive fee based on our investment performance. See “Certain Relationships and Transactions— Investment Management Agreement.”</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w:t>
      </w:r>
    </w:p>
    <w:p>
      <w:pPr>
        <w:spacing w:after="0" w:line="11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utilize the investing experience and contacts of Arthur H. Penn, the founder of PennantPark Investment Corporation and PennantPark Investment Advisers, as well as the other investment professionals of the Investment adviser. Mr. Penn has over 20 years of experience in the mezzanine lending, leveraged finance, distressed debt and private equity businesses. He has been involved in originating, structuring, negotiating, consummating, managing and monitoring investments in each of these businesses. Mr. Penn is a Co-founder and former Managing Partner of Apollo Investment Management, which is the investment adviser of Apollo Investment Corporation, a publicly traded business development company. Mr. Penn served as the Chief Operating Officer and a member of the investment committee of Apollo Investment from its inception in April 2004 through February 2006 and was its President and Chief Operating Officer from February 2006 through November 30, 2006.</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period in which Mr. Penn was the Chief Operating Officer, Apollo Investment Corporation raised approximately $930 million of gross proceeds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 an initial public offering in April 2004 and raised an additional $308 million in a follow-on offering of public equity in March 2006. Mr. Penn supervised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negotiation and execution of a senior secured credit facility with a syndicate of banks which, as amended, provides for borrowings up to $2.0 billion. During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Penn’s tenure with Apollo Investment Corporation, it invested approximately $2.8 billion in 73 companies in partnership with 54 different financial sponsors.</w:t>
      </w:r>
    </w:p>
    <w:p>
      <w:pPr>
        <w:spacing w:after="0" w:line="18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During Mr. Penn’s career in the financial services industry, he also served as Managing Partner of Apollo Value Fund L.P. (formerly Apollo Distressed Investment Fund, L.P.) from 2003 through November 2006. Mr. Penn previously served as Global Head of Leveraged Finance at UBS Warburg LLC (now UBS Securities LLC)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w:t>
      </w:r>
    </w:p>
    <w:p>
      <w:pPr>
        <w:spacing w:after="0" w:line="116"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During his more than 20-year career in the financial services industry, Mr. Penn has developed a network of financial sponsor relationships as well as relationships with management teams, investment bankers, attorneys and accountants that we believe will provide us with access to substantial investment opportunities.</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Investment Adviser has three experienced investment professionals, in addition to Mr. Penn, who are also partners. These professionals, Geoffrey Chang, Salvatore Giannetti III and Whit Williams, have a combined 44 years of experience in the mezzanine, private equity and leveraged finance businesses. Mr. Chang was previously a founding member and Principal of Audax Mezzanine from 2000 through 2007 and, prior to that was a Director in the Leveraged Finance Group at CIBC World Markets Corp. Mr. Giannetti previously served as Partner in the private equity firm of Wilton Ivy Partners from 2004 through 2007. Prior to joining Wilton Ivy Partners, he was a Managing Director at UBS Warburg LLC in its Leveraged Finance and Financial Sponsors Groups from March 2000 to November 2001. Mr. Williams was an officer at UBS Investment Bank from 1996 to March 2007, most recently as a Managing Director in its Leveraged Finance and Financial Sponsors Group. They are supported by a team of employees, including three investment professionals who have experience in middle-market investing, leveraged finance and capital markets.</w:t>
      </w:r>
    </w:p>
    <w:p>
      <w:pPr>
        <w:spacing w:after="0" w:line="11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Administrator has experienced professionals including, Aviv Efrat, who serves as our Chief Financial Officer and Treasurer. Mr. Efrat, who is also a Managing Director of the Administrator, has extensive experience in finance, operations, and administration of registered investment companies, having served for a decade as a Director at BlackRock, Inc., a leading investment firm. Guy Talarico, who serves as our Chief Compliance Officer, has over 20 years of regulatory compliance and securities law experience in the financial services industry, having served with various organizations in the areas of equity and fixed-income portfolio management, money market trading and custody.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to furnishing us with clerical, bookkeeping and record keeping services, the Administrator also oversees our financial records as well as the preparation of our reports to stockholders and reports filed with the SEC. The Administrator oversees the determination and publication of our net asset value, oversees the preparation and filing of our tax returns, and generally monitors the payment of our expenses and the performance of administrative and professional services rendered to us by others. Furthermore, our Administrator provides, on our behalf, managerial assistance to those portfolio companies to which we are required to provide such assistance. See “Risk Factors—Risks Related to our Business and Structure.”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believe that the size of the middle-market, coupled with the demands of these companies for flexible sources of capital, creates an attractive investment environment for PennantPark.</w:t>
      </w:r>
    </w:p>
    <w:p>
      <w:pPr>
        <w:spacing w:after="0" w:line="45" w:lineRule="exact"/>
        <w:rPr>
          <w:sz w:val="20"/>
          <w:szCs w:val="20"/>
          <w:color w:val="auto"/>
        </w:rPr>
      </w:pPr>
    </w:p>
    <w:p>
      <w:pPr>
        <w:ind w:left="900" w:right="20" w:hanging="325"/>
        <w:spacing w:after="0" w:line="25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rFonts w:ascii="Arial" w:cs="Arial" w:eastAsia="Arial" w:hAnsi="Arial"/>
          <w:sz w:val="18"/>
          <w:szCs w:val="18"/>
          <w:color w:val="auto"/>
        </w:rPr>
      </w:pPr>
    </w:p>
    <w:p>
      <w:pPr>
        <w:ind w:left="900" w:right="380" w:hanging="325"/>
        <w:spacing w:after="0" w:line="275"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the current credit market dislocation improves the risk/reward of our investments. </w:t>
      </w:r>
      <w:r>
        <w:rPr>
          <w:rFonts w:ascii="Arial" w:cs="Arial" w:eastAsia="Arial" w:hAnsi="Arial"/>
          <w:sz w:val="18"/>
          <w:szCs w:val="18"/>
          <w:color w:val="auto"/>
        </w:rPr>
        <w:t>The downturn in the credit market has</w:t>
      </w:r>
      <w:r>
        <w:rPr>
          <w:rFonts w:ascii="Arial" w:cs="Arial" w:eastAsia="Arial" w:hAnsi="Arial"/>
          <w:sz w:val="18"/>
          <w:szCs w:val="18"/>
          <w:b w:val="1"/>
          <w:bCs w:val="1"/>
          <w:color w:val="auto"/>
        </w:rPr>
        <w:t xml:space="preserve"> </w:t>
      </w:r>
      <w:r>
        <w:rPr>
          <w:rFonts w:ascii="Arial" w:cs="Arial" w:eastAsia="Arial" w:hAnsi="Arial"/>
          <w:sz w:val="18"/>
          <w:szCs w:val="18"/>
          <w:color w:val="auto"/>
        </w:rPr>
        <w:t>resulted in less competition, more conservative capital structures, higher yields and stronger covenants.</w:t>
      </w:r>
    </w:p>
    <w:p>
      <w:pPr>
        <w:spacing w:after="0" w:line="38" w:lineRule="exact"/>
        <w:rPr>
          <w:rFonts w:ascii="Arial" w:cs="Arial" w:eastAsia="Arial" w:hAnsi="Arial"/>
          <w:sz w:val="18"/>
          <w:szCs w:val="18"/>
          <w:color w:val="auto"/>
        </w:rPr>
      </w:pPr>
    </w:p>
    <w:p>
      <w:pPr>
        <w:ind w:left="900" w:right="80" w:hanging="325"/>
        <w:spacing w:after="0" w:line="301"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mezzanine capital to support private investments. </w:t>
      </w:r>
      <w:r>
        <w:rPr>
          <w:rFonts w:ascii="Arial" w:cs="Arial" w:eastAsia="Arial" w:hAnsi="Arial"/>
          <w:sz w:val="16"/>
          <w:szCs w:val="16"/>
          <w:color w:val="auto"/>
        </w:rPr>
        <w:t>We</w:t>
      </w:r>
      <w:r>
        <w:rPr>
          <w:rFonts w:ascii="Arial" w:cs="Arial" w:eastAsia="Arial" w:hAnsi="Arial"/>
          <w:sz w:val="16"/>
          <w:szCs w:val="16"/>
          <w:b w:val="1"/>
          <w:bCs w:val="1"/>
          <w:color w:val="auto"/>
        </w:rPr>
        <w:t xml:space="preserve"> </w:t>
      </w:r>
      <w:r>
        <w:rPr>
          <w:rFonts w:ascii="Arial" w:cs="Arial" w:eastAsia="Arial" w:hAnsi="Arial"/>
          <w:sz w:val="16"/>
          <w:szCs w:val="16"/>
          <w:color w:val="auto"/>
        </w:rPr>
        <w:t>expect that private equity firms will continue to be active investors in middle-market companies and that these private equity funds will seek to leverage their investments by combining capital with mezzanine loans and/or senior secured loans from other sources. We expect such activity to be funded by the record amounts of private equity capital that have been raised in recent years.</w:t>
      </w:r>
    </w:p>
    <w:p>
      <w:pPr>
        <w:spacing w:after="0" w:line="22" w:lineRule="exact"/>
        <w:rPr>
          <w:rFonts w:ascii="Arial" w:cs="Arial" w:eastAsia="Arial" w:hAnsi="Arial"/>
          <w:sz w:val="16"/>
          <w:szCs w:val="16"/>
          <w:color w:val="auto"/>
        </w:rPr>
      </w:pPr>
    </w:p>
    <w:p>
      <w:pPr>
        <w:ind w:left="900" w:right="20" w:hanging="325"/>
        <w:spacing w:after="0" w:line="301"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opportunities to invest mezzanine and other debt capital will remain strong. </w:t>
      </w:r>
      <w:r>
        <w:rPr>
          <w:rFonts w:ascii="Arial" w:cs="Arial" w:eastAsia="Arial" w:hAnsi="Arial"/>
          <w:sz w:val="16"/>
          <w:szCs w:val="16"/>
          <w:color w:val="auto"/>
        </w:rPr>
        <w:t>We expect that the volume of domestic “public-to-private” transactions as well as the number of companies selecting a “sale” alternative versus raising capital in the public equity markets as a means of increasing liquidity will remain large. Additionally, the cost and effort associated with being a public company in the United States have become more onerous, causing many management teams to consider alternative liquidity strategies.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employ a disciplined approach in selecting investments that meet our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do not intend to pursue short-term origination targets. We believe our approach will enable us to build an attractive investment portfolio that meets our return and value criteria over the long-term.</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diligence is designed to ensure that each prospective portfolio company will be able to meet its debt service obligations. See “Business-Investment Process-Investment Selection Criteria” and “Business-Investment Process-Due Diligence.”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professionals of our Investment Adviser have long-term relationships.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We expect that the in-depth coverage and experience of Mr. Penn, as well as that of the other investment professionals of our Investment Adviser, will enable us to invest throughout various stages of the economic cycle and will provide us with ongoing market insights in addition to a significant investment sourcing engine.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Longer Investment Horizon with Attractive Publicly Traded Model</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returns on invested capital and to be a better long-term partner for our portfolio companies.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jc w:val="both"/>
        <w:ind w:right="20" w:firstLine="456"/>
        <w:spacing w:after="0" w:line="314" w:lineRule="auto"/>
        <w:rPr>
          <w:sz w:val="20"/>
          <w:szCs w:val="20"/>
          <w:color w:val="auto"/>
        </w:rPr>
      </w:pPr>
      <w:r>
        <w:rPr>
          <w:rFonts w:ascii="Arial" w:cs="Arial" w:eastAsia="Arial" w:hAnsi="Arial"/>
          <w:sz w:val="15"/>
          <w:szCs w:val="15"/>
          <w:color w:val="auto"/>
        </w:rPr>
        <w:t>Our primary competitors provide financing to middle-market companies and include other business development companies, commercial and investment banks, commercial financing companies, and to the extent they provide an alternative form of financing, private equity funds. Additionally, because competition for investment opportunities generally has increased among alternative investment vehicles, such as hedge funds, those entities have begun to invest in areas they have not traditionally invested in, including investments in middle-market companies. As a result of these new entrants, competition for investment opportunities at middle-market companies has intensified. However, we believe that there has been a reduction in the amount of debt capital available for lending in leveraged buyout transactions since the downturn in the credit markets, which began in mid-2007. This has resulted in a less competitive environment.</w:t>
      </w:r>
    </w:p>
    <w:p>
      <w:pPr>
        <w:spacing w:after="0" w:line="105"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w:t>
      </w:r>
    </w:p>
    <w:p>
      <w:pPr>
        <w:spacing w:after="0" w:line="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use the industry information available to our Investment Adviser to assess investment risks and determine appropriate pricing for our investments in portfolio companies. We benefit from the relationships of Messrs. Penn, Chang, Giannetti and Williams, and other of our senior investment professionals retained by our Investment Adviser, who enable us to learn about, and compete effectively for, financing opportunities with attractive middle-market companies in the industries in which we invest. For additional information concerning the competitive risks we face, see “Risk Factors—Risks relating to our business and structure-We operate in a highly competitive market for investment opportunities.”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On June 25, 2007, we entered into a credit agreement among us, various lenders and SunTrust Bank, as administrative agent for the lenders. SunTrust Robinson Humphrey Capital Markets acted as the joint lead arranger and book-runner, and Bear Stearns Corporate Lending Inc. acted as joint lead arranger and syndication agent. As of September 30, 2007 and June 30, 2008, we had outstanding borrowings of $10.0 million and $204.1 million (including a $40.0 million temporary draw) respectively, under our credit agreement, with an annual interest rate of 6.15% and 3.65%, respectively.</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Under the Credit Agreement, the lenders agreed to extend us credit in an initial aggregate principal or face amount not exceeding $300.0 million at any one time outstanding. The Credit Agreement is a five-year revolving facility (with a stated maturity date of June 25, 2012) and is secured by substantially all of our investment portfolio assets. Pricing of borrowings under the credit agreement is set at 100 basis points over LIBOR.</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SECURITIES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Information about our senior securities is shown in the following table for the nine months ended June 30, 2008 and the period January 11, 2007 (inception) through September 30, 2007. The information for the period January 11, 2007 (inception) through September 30, 2007 has been derived from our financial statements which have been audited by KPMG LLP. The “—” indicates information which the SEC expressly does not require to be disclosed for certain types of senior securities.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Involuntary</w:t>
            </w:r>
          </w:p>
        </w:tc>
        <w:tc>
          <w:tcPr>
            <w:tcW w:w="6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3"/>
              </w:rPr>
              <w:t>Asset</w:t>
            </w:r>
          </w:p>
        </w:tc>
        <w:tc>
          <w:tcPr>
            <w:tcW w:w="30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Liquidating</w:t>
            </w:r>
          </w:p>
        </w:tc>
        <w:tc>
          <w:tcPr>
            <w:tcW w:w="6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180" w:type="dxa"/>
            <w:vAlign w:val="bottom"/>
            <w:gridSpan w:val="3"/>
          </w:tcPr>
          <w:p>
            <w:pPr>
              <w:ind w:left="40"/>
              <w:spacing w:after="0" w:line="144" w:lineRule="exact"/>
              <w:rPr>
                <w:sz w:val="20"/>
                <w:szCs w:val="20"/>
                <w:color w:val="auto"/>
              </w:rPr>
            </w:pPr>
            <w:r>
              <w:rPr>
                <w:rFonts w:ascii="Arial" w:cs="Arial" w:eastAsia="Arial" w:hAnsi="Arial"/>
                <w:sz w:val="14"/>
                <w:szCs w:val="14"/>
                <w:b w:val="1"/>
                <w:bCs w:val="1"/>
                <w:color w:val="auto"/>
              </w:rPr>
              <w:t>Total Amount</w:t>
            </w:r>
          </w:p>
        </w:tc>
        <w:tc>
          <w:tcPr>
            <w:tcW w:w="300" w:type="dxa"/>
            <w:vAlign w:val="bottom"/>
          </w:tcPr>
          <w:p>
            <w:pPr>
              <w:spacing w:after="0"/>
              <w:rPr>
                <w:sz w:val="12"/>
                <w:szCs w:val="12"/>
                <w:color w:val="auto"/>
              </w:rPr>
            </w:pPr>
          </w:p>
        </w:tc>
        <w:tc>
          <w:tcPr>
            <w:tcW w:w="920" w:type="dxa"/>
            <w:vAlign w:val="bottom"/>
            <w:gridSpan w:val="3"/>
          </w:tcPr>
          <w:p>
            <w:pPr>
              <w:ind w:left="40"/>
              <w:spacing w:after="0" w:line="144" w:lineRule="exact"/>
              <w:rPr>
                <w:sz w:val="20"/>
                <w:szCs w:val="20"/>
                <w:color w:val="auto"/>
              </w:rPr>
            </w:pPr>
            <w:r>
              <w:rPr>
                <w:rFonts w:ascii="Arial" w:cs="Arial" w:eastAsia="Arial" w:hAnsi="Arial"/>
                <w:sz w:val="14"/>
                <w:szCs w:val="14"/>
                <w:b w:val="1"/>
                <w:bCs w:val="1"/>
                <w:color w:val="auto"/>
              </w:rPr>
              <w:t>Coverage</w:t>
            </w:r>
          </w:p>
        </w:tc>
        <w:tc>
          <w:tcPr>
            <w:tcW w:w="300" w:type="dxa"/>
            <w:vAlign w:val="bottom"/>
          </w:tcPr>
          <w:p>
            <w:pPr>
              <w:spacing w:after="0"/>
              <w:rPr>
                <w:sz w:val="12"/>
                <w:szCs w:val="12"/>
                <w:color w:val="auto"/>
              </w:rPr>
            </w:pPr>
          </w:p>
        </w:tc>
        <w:tc>
          <w:tcPr>
            <w:tcW w:w="720" w:type="dxa"/>
            <w:vAlign w:val="bottom"/>
            <w:gridSpan w:val="2"/>
          </w:tcPr>
          <w:p>
            <w:pPr>
              <w:ind w:left="60"/>
              <w:spacing w:after="0" w:line="144" w:lineRule="exact"/>
              <w:rPr>
                <w:sz w:val="20"/>
                <w:szCs w:val="20"/>
                <w:color w:val="auto"/>
              </w:rPr>
            </w:pPr>
            <w:r>
              <w:rPr>
                <w:rFonts w:ascii="Arial" w:cs="Arial" w:eastAsia="Arial" w:hAnsi="Arial"/>
                <w:sz w:val="14"/>
                <w:szCs w:val="14"/>
                <w:b w:val="1"/>
                <w:bCs w:val="1"/>
                <w:color w:val="auto"/>
                <w:w w:val="88"/>
              </w:rPr>
              <w:t>Preference</w:t>
            </w:r>
          </w:p>
        </w:tc>
        <w:tc>
          <w:tcPr>
            <w:tcW w:w="620" w:type="dxa"/>
            <w:vAlign w:val="bottom"/>
          </w:tcPr>
          <w:p>
            <w:pPr>
              <w:spacing w:after="0"/>
              <w:rPr>
                <w:sz w:val="12"/>
                <w:szCs w:val="12"/>
                <w:color w:val="auto"/>
              </w:rPr>
            </w:pPr>
          </w:p>
        </w:tc>
        <w:tc>
          <w:tcPr>
            <w:tcW w:w="5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7"/>
              </w:rPr>
              <w:t>Value Per</w:t>
            </w:r>
          </w:p>
        </w:tc>
        <w:tc>
          <w:tcPr>
            <w:tcW w:w="0" w:type="dxa"/>
            <w:vAlign w:val="bottom"/>
          </w:tcPr>
          <w:p>
            <w:pPr>
              <w:spacing w:after="0"/>
              <w:rPr>
                <w:sz w:val="1"/>
                <w:szCs w:val="1"/>
                <w:color w:val="auto"/>
              </w:rPr>
            </w:pPr>
          </w:p>
        </w:tc>
      </w:tr>
      <w:tr>
        <w:trPr>
          <w:trHeight w:val="193"/>
        </w:trPr>
        <w:tc>
          <w:tcPr>
            <w:tcW w:w="6820" w:type="dxa"/>
            <w:vAlign w:val="bottom"/>
            <w:gridSpan w:val="4"/>
          </w:tcPr>
          <w:p>
            <w:pPr>
              <w:spacing w:after="0"/>
              <w:rPr>
                <w:sz w:val="20"/>
                <w:szCs w:val="20"/>
                <w:color w:val="auto"/>
              </w:rPr>
            </w:pPr>
            <w:r>
              <w:rPr>
                <w:rFonts w:ascii="Arial" w:cs="Arial" w:eastAsia="Arial" w:hAnsi="Arial"/>
                <w:sz w:val="14"/>
                <w:szCs w:val="14"/>
                <w:b w:val="1"/>
                <w:bCs w:val="1"/>
                <w:color w:val="auto"/>
              </w:rPr>
              <w:t>Class and Year</w:t>
            </w:r>
          </w:p>
        </w:tc>
        <w:tc>
          <w:tcPr>
            <w:tcW w:w="1180" w:type="dxa"/>
            <w:vAlign w:val="bottom"/>
            <w:gridSpan w:val="3"/>
          </w:tcPr>
          <w:p>
            <w:pPr>
              <w:ind w:left="20"/>
              <w:spacing w:after="0" w:line="193" w:lineRule="exact"/>
              <w:rPr>
                <w:sz w:val="20"/>
                <w:szCs w:val="20"/>
                <w:color w:val="auto"/>
              </w:rPr>
            </w:pPr>
            <w:r>
              <w:rPr>
                <w:rFonts w:ascii="Arial" w:cs="Arial" w:eastAsia="Arial" w:hAnsi="Arial"/>
                <w:sz w:val="14"/>
                <w:szCs w:val="14"/>
                <w:b w:val="1"/>
                <w:bCs w:val="1"/>
                <w:color w:val="auto"/>
              </w:rPr>
              <w:t>Outstanding</w:t>
            </w:r>
            <w:r>
              <w:rPr>
                <w:rFonts w:ascii="Arial" w:cs="Arial" w:eastAsia="Arial" w:hAnsi="Arial"/>
                <w:sz w:val="22"/>
                <w:szCs w:val="22"/>
                <w:b w:val="1"/>
                <w:bCs w:val="1"/>
                <w:color w:val="auto"/>
                <w:vertAlign w:val="superscript"/>
              </w:rPr>
              <w:t>(1)</w:t>
            </w:r>
          </w:p>
        </w:tc>
        <w:tc>
          <w:tcPr>
            <w:tcW w:w="300" w:type="dxa"/>
            <w:vAlign w:val="bottom"/>
          </w:tcPr>
          <w:p>
            <w:pPr>
              <w:spacing w:after="0"/>
              <w:rPr>
                <w:sz w:val="16"/>
                <w:szCs w:val="16"/>
                <w:color w:val="auto"/>
              </w:rPr>
            </w:pPr>
          </w:p>
        </w:tc>
        <w:tc>
          <w:tcPr>
            <w:tcW w:w="920" w:type="dxa"/>
            <w:vAlign w:val="bottom"/>
            <w:gridSpan w:val="3"/>
          </w:tcPr>
          <w:p>
            <w:pPr>
              <w:spacing w:after="0" w:line="193" w:lineRule="exact"/>
              <w:rPr>
                <w:sz w:val="20"/>
                <w:szCs w:val="20"/>
                <w:color w:val="auto"/>
              </w:rPr>
            </w:pPr>
            <w:r>
              <w:rPr>
                <w:rFonts w:ascii="Arial" w:cs="Arial" w:eastAsia="Arial" w:hAnsi="Arial"/>
                <w:sz w:val="14"/>
                <w:szCs w:val="14"/>
                <w:b w:val="1"/>
                <w:bCs w:val="1"/>
                <w:color w:val="auto"/>
              </w:rPr>
              <w:t>per Unit</w:t>
            </w:r>
            <w:r>
              <w:rPr>
                <w:rFonts w:ascii="Arial" w:cs="Arial" w:eastAsia="Arial" w:hAnsi="Arial"/>
                <w:sz w:val="22"/>
                <w:szCs w:val="22"/>
                <w:b w:val="1"/>
                <w:bCs w:val="1"/>
                <w:color w:val="auto"/>
                <w:vertAlign w:val="superscript"/>
              </w:rPr>
              <w:t>(2)</w:t>
            </w:r>
          </w:p>
        </w:tc>
        <w:tc>
          <w:tcPr>
            <w:tcW w:w="300" w:type="dxa"/>
            <w:vAlign w:val="bottom"/>
          </w:tcPr>
          <w:p>
            <w:pPr>
              <w:spacing w:after="0"/>
              <w:rPr>
                <w:sz w:val="16"/>
                <w:szCs w:val="16"/>
                <w:color w:val="auto"/>
              </w:rPr>
            </w:pPr>
          </w:p>
        </w:tc>
        <w:tc>
          <w:tcPr>
            <w:tcW w:w="720" w:type="dxa"/>
            <w:vAlign w:val="bottom"/>
            <w:gridSpan w:val="2"/>
          </w:tcPr>
          <w:p>
            <w:pPr>
              <w:ind w:left="40"/>
              <w:spacing w:after="0" w:line="193" w:lineRule="exact"/>
              <w:rPr>
                <w:sz w:val="20"/>
                <w:szCs w:val="20"/>
                <w:color w:val="auto"/>
              </w:rPr>
            </w:pPr>
            <w:r>
              <w:rPr>
                <w:rFonts w:ascii="Arial" w:cs="Arial" w:eastAsia="Arial" w:hAnsi="Arial"/>
                <w:sz w:val="14"/>
                <w:szCs w:val="14"/>
                <w:b w:val="1"/>
                <w:bCs w:val="1"/>
                <w:color w:val="auto"/>
                <w:w w:val="92"/>
              </w:rPr>
              <w:t>Per Unit</w:t>
            </w:r>
            <w:r>
              <w:rPr>
                <w:rFonts w:ascii="Arial" w:cs="Arial" w:eastAsia="Arial" w:hAnsi="Arial"/>
                <w:sz w:val="22"/>
                <w:szCs w:val="22"/>
                <w:b w:val="1"/>
                <w:bCs w:val="1"/>
                <w:color w:val="auto"/>
                <w:w w:val="92"/>
                <w:vertAlign w:val="superscript"/>
              </w:rPr>
              <w:t>(3)</w:t>
            </w:r>
          </w:p>
        </w:tc>
        <w:tc>
          <w:tcPr>
            <w:tcW w:w="620" w:type="dxa"/>
            <w:vAlign w:val="bottom"/>
          </w:tcPr>
          <w:p>
            <w:pPr>
              <w:spacing w:after="0"/>
              <w:rPr>
                <w:sz w:val="16"/>
                <w:szCs w:val="16"/>
                <w:color w:val="auto"/>
              </w:rPr>
            </w:pPr>
          </w:p>
        </w:tc>
        <w:tc>
          <w:tcPr>
            <w:tcW w:w="560" w:type="dxa"/>
            <w:vAlign w:val="bottom"/>
          </w:tcPr>
          <w:p>
            <w:pPr>
              <w:jc w:val="center"/>
              <w:spacing w:after="0" w:line="193" w:lineRule="exact"/>
              <w:rPr>
                <w:sz w:val="20"/>
                <w:szCs w:val="20"/>
                <w:color w:val="auto"/>
              </w:rPr>
            </w:pPr>
            <w:r>
              <w:rPr>
                <w:rFonts w:ascii="Arial" w:cs="Arial" w:eastAsia="Arial" w:hAnsi="Arial"/>
                <w:sz w:val="14"/>
                <w:szCs w:val="14"/>
                <w:b w:val="1"/>
                <w:bCs w:val="1"/>
                <w:color w:val="auto"/>
                <w:w w:val="84"/>
              </w:rPr>
              <w:t>Unit</w:t>
            </w:r>
            <w:r>
              <w:rPr>
                <w:rFonts w:ascii="Arial" w:cs="Arial" w:eastAsia="Arial" w:hAnsi="Arial"/>
                <w:sz w:val="22"/>
                <w:szCs w:val="22"/>
                <w:b w:val="1"/>
                <w:bCs w:val="1"/>
                <w:color w:val="auto"/>
                <w:w w:val="84"/>
                <w:vertAlign w:val="superscript"/>
              </w:rPr>
              <w:t>(4)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Credit Facility</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6"/>
              </w:rPr>
              <w:t>Fiscal 2008</w:t>
            </w:r>
          </w:p>
        </w:tc>
        <w:tc>
          <w:tcPr>
            <w:tcW w:w="5980" w:type="dxa"/>
            <w:vAlign w:val="bottom"/>
            <w:gridSpan w:val="2"/>
          </w:tcPr>
          <w:p>
            <w:pPr>
              <w:ind w:left="20"/>
              <w:spacing w:after="0"/>
              <w:rPr>
                <w:sz w:val="20"/>
                <w:szCs w:val="20"/>
                <w:color w:val="auto"/>
              </w:rPr>
            </w:pPr>
            <w:r>
              <w:rPr>
                <w:rFonts w:ascii="Arial" w:cs="Arial" w:eastAsia="Arial" w:hAnsi="Arial"/>
                <w:sz w:val="18"/>
                <w:szCs w:val="18"/>
                <w:color w:val="auto"/>
              </w:rPr>
              <w:t>(as of June 30, 2008, unaudited)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204,100</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2,111</w:t>
            </w: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6"/>
              </w:rPr>
              <w:t>Fiscal 2007</w:t>
            </w: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 of September 30, 2007)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10,000</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28,039</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the end of the period presented (in 000’s).</w:t>
      </w:r>
    </w:p>
    <w:p>
      <w:pPr>
        <w:spacing w:after="0" w:line="76" w:lineRule="exact"/>
        <w:rPr>
          <w:rFonts w:ascii="Arial" w:cs="Arial" w:eastAsia="Arial" w:hAnsi="Arial"/>
          <w:sz w:val="18"/>
          <w:szCs w:val="18"/>
          <w:color w:val="auto"/>
        </w:rPr>
      </w:pPr>
    </w:p>
    <w:p>
      <w:pPr>
        <w:ind w:left="460" w:right="160" w:hanging="452"/>
        <w:spacing w:after="0" w:line="259"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This asset coverage ratio is multiplied by $1,000 to determine the Asset Coverage Per Unit.</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amount to which such class of senior security would be entitled upon the involuntary liquidation of the issuer in preference to any security junior to it.</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applicable, as senior securities are not registered for public trading.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OBJECTIVES AND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 Overview</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PennantPark seeks to create a diversified portfolio that includes mezzanine debt, senior secured loans and equity by targeting investment size of $10 to $50 million in securities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Additionally, we may in the future seek to securitize our loans to generate cash for funding new investments. To securitize loans, we may create a wholly owned subsidiary and contribute a pool of loans to the subsidiary. This could include sales of interests in the subsidiary on a non-recourse basis to purchasers who we would expect to be willing to accept a lower interest rate to invest in investment grade loan pools, and we would retain a portion of the equity in the securitized pool of loans. See “Investment Objectives and Policies—Investment selection criteria.”</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Mezzanine Debt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Structurally, mezzanine debt (which includes second lien secured debt and subordinated debt) usually ranks subordinate in priority of payment to senior secured loans. Our second lien secured debt is subordinated debt that benefits from a collateral interest in the borrower. As such, other creditors may rank senior to us in the event of insolvency. However, mezzanine debt ranks senior to common and preferred equity in a borrowers’ capital structure. Due to its higher risk profile and often less restrictive covenants as compared to senior secured loans, mezzanine debt generally earns a higher return than senior secured loans. In many cases mezzanine investors receive opportunities to invest directly in the equity investments of borrowers and from time to time may also receive warrants to purchase equity investments. We evaluate these investment opportunities on a case-by-case basis.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are committed to a value oriented philosophy used by the investment professionals who manage our portfolio and seek to minimize the risk of capital loss without foregoing potential for capital appreciation.</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identified several criteria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Generally, we seek to use our experience and access to market information to identify investment candidates and to structure investments quickly and effectively.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 orientation and positive cash flow</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Our investment philosophy places a premium on fundamental analysis from an investor’s perspective and has a distinct value orientation. We focus on companies in which we can invest at relatively low multiples of operating cash flow and that are profitable at the time of investment on an operating cash flow basis. Typically, we do not expect to invest in start-up companies or companies having speculative business plans.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Experienced management and established financial sponsor relationship</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generally require that our portfolio companies have an experienced management team. We also require the portfolio companies to have proper incentives in place to induce management to succeed and to act in concert with our interests as investors, including having significant equity interests. In addition, we focus our investments in companies backed by strong financial sponsors that have a history of creating value and with whom members of our Investment Adviser have an established relationship.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Strong and defensible competitive market position in industry</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seek to invest in target companies that have developed leading market positions within their respective markets and are well positioned to capitalize on growth opportunities. We also seek companies that demonstrate significant competitive advantages versus their competitors, which should help to protect their market position and profitability.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Viable exit strategy</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seek to invest in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exit from our investments over time. In addition, we also seek to invest in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another capital market transaction.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believe it is critical to conduct extensive due diligence on investment targets and in evaluating new investments. We, through our Investment Adviser, conduct a rigorous due diligence process that is applied to prospective portfolio companies that draws from our Investment Adviser’s experience, industry expertise and network of contacts. In conducting due diligence, our Investment Adviser uses publicly available information as well as information from its relationships with former and current management teams, consultants, competitors and investment bankers.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due diligence typically includes:</w:t>
      </w:r>
    </w:p>
    <w:p>
      <w:pPr>
        <w:spacing w:after="0" w:line="90"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 of loan documents;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background checks;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research relating to the company’s management, industry, markets, products and services and competitors.</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Upon the completion of due diligence and a decision to proceed with an investment in a company, the principals leading the investment present the investment opportunity to our Investment Adviser’s investment committee. This committee determines whether to pursue the potential investment. All new investments are required to be reviewed by the investment committee of our Investment Adviser, which currently consists of Messrs. Penn, Chang, Giannetti and Williams, subject to final approval by Mr. Penn. As our Investment Adviser adds senior investment professionals, our Investment Adviser may add them to its investment committee. The members of our investment committee receive no compensation from us. These members are employees of our Investment Adviser and receive compensation from our Investment Adviser.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structure</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expected to perform relative to the other capital in the portfolio company’s capital structure.</w:t>
      </w:r>
    </w:p>
    <w:p>
      <w:pPr>
        <w:spacing w:after="0" w:line="140"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Mezzanine debt typically has interest-only payments in the early years, with amortization of principal deferred to the later years of the mezzanine debt. In some cases, we may enter into mezzanine debt that, by its terms, converts into equity or additional debt securities or defers payments of interest for the first few years after our investment. Also, in some cases our mezzanine debt may be collateralized by a subordinated lien on some or all of the assets of the borrower. Typically, our mezzanine debt has maturities of three to ten years.</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expect our senior secured loans to have terms of three to ten years. We generally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the case of our mezzanine debt and senior secured loan investments, 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62"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requiring a total return on our investments (including both interest and potential equity appreciation) that compensates us for credit risk;</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90" w:lineRule="exact"/>
        <w:rPr>
          <w:rFonts w:ascii="Arial" w:cs="Arial" w:eastAsia="Arial" w:hAnsi="Arial"/>
          <w:sz w:val="18"/>
          <w:szCs w:val="18"/>
          <w:color w:val="auto"/>
        </w:rPr>
      </w:pPr>
    </w:p>
    <w:p>
      <w:pPr>
        <w:ind w:left="900" w:right="320" w:hanging="325"/>
        <w:spacing w:after="0" w:line="306"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expect to hold most of our investments to maturity or repayment, but may sell certain investments earlier if a liquidity event takes place, such as the sale or recapitalization of a portfolio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Monitoring</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monitors the financial trends of each portfolio company to determine if they are meeting their respective business plans and to assess the appropriate course of action for each company.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51"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Comparisons to other PennantPark portfolio companies in the industry,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Process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following is a description of the steps we take each quarter to determine the value of our portfolio.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 by using the valuation procedure that it uses with respect to assets for which market quotations are not readily available. With respect to investments for which market quotations are not readily available or are readily available but believed to not reflect the value of an investment, our board of directors undertakes a multi-step valuation process each quarter, as described below:</w:t>
      </w:r>
    </w:p>
    <w:p>
      <w:pPr>
        <w:spacing w:after="0" w:line="37" w:lineRule="exact"/>
        <w:rPr>
          <w:sz w:val="20"/>
          <w:szCs w:val="20"/>
          <w:color w:val="auto"/>
        </w:rPr>
      </w:pPr>
    </w:p>
    <w:p>
      <w:pPr>
        <w:ind w:left="900" w:right="44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60" w:hanging="325"/>
        <w:spacing w:after="0" w:line="306"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board of directors also engages one or more independent valuation firms to conduct independent appraisals of our investments for which market quotations are not readily available or are readily available but believed to not reflect the value of an investment. The independent valuation firm reviews management’s preliminary valuations in light of its own independent assessment;</w:t>
      </w:r>
    </w:p>
    <w:p>
      <w:pPr>
        <w:spacing w:after="0" w:line="25" w:lineRule="exact"/>
        <w:rPr>
          <w:rFonts w:ascii="Arial" w:cs="Arial" w:eastAsia="Arial" w:hAnsi="Arial"/>
          <w:sz w:val="16"/>
          <w:szCs w:val="16"/>
          <w:color w:val="auto"/>
        </w:rPr>
      </w:pPr>
    </w:p>
    <w:p>
      <w:pPr>
        <w:ind w:left="900" w:right="260" w:hanging="325"/>
        <w:spacing w:after="0" w:line="33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8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When we make investments that involve deferrals of interest payable to us, any increase in the value of the investment due to the accrual or receipt of payment of interest is allocated to the increase in the cost basis of the investment, rather than to capital appreciation or gain.</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It is possible that future events unforeseen by us or our Investment Adviser, such as a disturbance in the global credit markets, a severe decline in the value of the U.S. dollar, a sharp economic downturn or other general market disturbance, will negatively impact the market for leveraged finance instruments. If the market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our investments is substantially eroded, we may not find purchasers for our portfolio securities at all, or we may be able to sell them only for a fraction of their previously recorded value. During such times, our board of directors, in conjunction with our Investment Adviser and one or more independent valuation firms will continue to determine the fair value of our investments in accordance with our valuation process enumerated above. They will take into account the applicable market conditions, the nature and realizable value of any collateral, the portfolio company’s ability to make payments, its earnings and cash flows, the markets in which the portfolio company does business, comparison to publicly traded companies and other relevant factors. Determining fair value requires that judgment be applied to the specific facts and circumstances of each portfolio investment while employing a consistently applied valuation process for the types of investments we make.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a business development company, we offer, and must provide upon request, managerial assistance to certain of our portfolio companies. This assistance could involve monitoring the operations of our portfolio companies, participating in board and management meetings, consulting with and advising officers of portfolio companies and providing other organizational and financial guidance. Our Administrator provides such managerial assistance on our behalf to portfolio companies that request this assistance. We have not received any fees for such services since inception.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Staffing</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do not currently have any employees. Mr. Penn, our Chief Executive Officer, is the Managing Member of our Investment Adviser. Our Investment Adviser currently has four senior investment professionals, Messrs. Chang, Giannetti, Penn and Williams. In addition, Mr. Efrat, our Chief Financial Officer and Treasurer, is a Managing Director of our Administrator, and Mr. Guy Talarico is our Chief Compliance Officer. Our Administrator and our Investment Adviser have hired and expect to continue to hire professionals with skills applicable to our business plan, including experience in middle-market investing, leveraged finance and capital markets.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principal investment focus is to provide mezzanine debt and senior secured loans to U.S. middle-market companies in a variety of industries. We generally seek to target companies that generate positive cash flows from the broad variety of industries in which our Investment Adviser has direct expertise. The following is a representative list of the industries in which we have invested:</w:t>
      </w:r>
    </w:p>
    <w:p>
      <w:pPr>
        <w:sectPr>
          <w:pgSz w:w="11900" w:h="16838" w:orient="portrait"/>
          <w:cols w:equalWidth="0" w:num="1">
            <w:col w:w="11420"/>
          </w:cols>
          <w:pgMar w:left="240" w:top="459" w:right="239" w:bottom="1440" w:gutter="0" w:footer="0" w:header="0"/>
        </w:sectPr>
      </w:pPr>
    </w:p>
    <w:p>
      <w:pPr>
        <w:spacing w:after="0" w:line="59" w:lineRule="exact"/>
        <w:rPr>
          <w:sz w:val="20"/>
          <w:szCs w:val="20"/>
          <w:color w:val="auto"/>
        </w:rPr>
      </w:pPr>
    </w:p>
    <w:p>
      <w:pPr>
        <w:ind w:left="780" w:hanging="313"/>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Aerospace Defense</w:t>
      </w:r>
    </w:p>
    <w:p>
      <w:pPr>
        <w:spacing w:after="0" w:line="90" w:lineRule="exact"/>
        <w:rPr>
          <w:rFonts w:ascii="Arial" w:cs="Arial" w:eastAsia="Arial" w:hAnsi="Arial"/>
          <w:sz w:val="18"/>
          <w:szCs w:val="18"/>
          <w:color w:val="auto"/>
        </w:rPr>
      </w:pPr>
    </w:p>
    <w:p>
      <w:pPr>
        <w:ind w:left="780" w:hanging="313"/>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Broadcasting &amp; Entertainment</w:t>
      </w:r>
    </w:p>
    <w:p>
      <w:pPr>
        <w:spacing w:after="0" w:line="90" w:lineRule="exact"/>
        <w:rPr>
          <w:rFonts w:ascii="Arial" w:cs="Arial" w:eastAsia="Arial" w:hAnsi="Arial"/>
          <w:sz w:val="18"/>
          <w:szCs w:val="18"/>
          <w:color w:val="auto"/>
        </w:rPr>
      </w:pPr>
    </w:p>
    <w:p>
      <w:pPr>
        <w:ind w:left="780" w:hanging="313"/>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Buildings &amp; Real Estate</w:t>
      </w:r>
    </w:p>
    <w:p>
      <w:pPr>
        <w:spacing w:after="0" w:line="90" w:lineRule="exact"/>
        <w:rPr>
          <w:rFonts w:ascii="Arial" w:cs="Arial" w:eastAsia="Arial" w:hAnsi="Arial"/>
          <w:sz w:val="18"/>
          <w:szCs w:val="18"/>
          <w:color w:val="auto"/>
        </w:rPr>
      </w:pPr>
    </w:p>
    <w:p>
      <w:pPr>
        <w:ind w:left="780" w:hanging="313"/>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Business Services</w:t>
      </w:r>
    </w:p>
    <w:p>
      <w:pPr>
        <w:spacing w:after="0" w:line="90" w:lineRule="exact"/>
        <w:rPr>
          <w:rFonts w:ascii="Arial" w:cs="Arial" w:eastAsia="Arial" w:hAnsi="Arial"/>
          <w:sz w:val="18"/>
          <w:szCs w:val="18"/>
          <w:color w:val="auto"/>
        </w:rPr>
      </w:pPr>
    </w:p>
    <w:p>
      <w:pPr>
        <w:ind w:left="780" w:hanging="313"/>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Cable TV</w:t>
      </w:r>
    </w:p>
    <w:p>
      <w:pPr>
        <w:spacing w:after="0" w:line="90" w:lineRule="exact"/>
        <w:rPr>
          <w:rFonts w:ascii="Arial" w:cs="Arial" w:eastAsia="Arial" w:hAnsi="Arial"/>
          <w:sz w:val="18"/>
          <w:szCs w:val="18"/>
          <w:color w:val="auto"/>
        </w:rPr>
      </w:pPr>
    </w:p>
    <w:p>
      <w:pPr>
        <w:ind w:left="780" w:hanging="313"/>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Cargo Transport</w:t>
      </w:r>
    </w:p>
    <w:p>
      <w:pPr>
        <w:spacing w:after="0" w:line="90" w:lineRule="exact"/>
        <w:rPr>
          <w:rFonts w:ascii="Arial" w:cs="Arial" w:eastAsia="Arial" w:hAnsi="Arial"/>
          <w:sz w:val="18"/>
          <w:szCs w:val="18"/>
          <w:color w:val="auto"/>
        </w:rPr>
      </w:pPr>
    </w:p>
    <w:p>
      <w:pPr>
        <w:ind w:left="780" w:hanging="313"/>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Chemical, Plastics, &amp; Rubber</w:t>
      </w:r>
    </w:p>
    <w:p>
      <w:pPr>
        <w:spacing w:after="0" w:line="90" w:lineRule="exact"/>
        <w:rPr>
          <w:rFonts w:ascii="Arial" w:cs="Arial" w:eastAsia="Arial" w:hAnsi="Arial"/>
          <w:sz w:val="18"/>
          <w:szCs w:val="18"/>
          <w:color w:val="auto"/>
        </w:rPr>
      </w:pPr>
    </w:p>
    <w:p>
      <w:pPr>
        <w:ind w:left="780" w:hanging="313"/>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Consumer Products</w:t>
      </w:r>
    </w:p>
    <w:p>
      <w:pPr>
        <w:spacing w:after="0" w:line="90" w:lineRule="exact"/>
        <w:rPr>
          <w:rFonts w:ascii="Arial" w:cs="Arial" w:eastAsia="Arial" w:hAnsi="Arial"/>
          <w:sz w:val="18"/>
          <w:szCs w:val="18"/>
          <w:color w:val="auto"/>
        </w:rPr>
      </w:pPr>
    </w:p>
    <w:p>
      <w:pPr>
        <w:ind w:left="780" w:hanging="313"/>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Containers, Packaging, &amp; Glass</w:t>
      </w:r>
    </w:p>
    <w:p>
      <w:pPr>
        <w:spacing w:after="0" w:line="90" w:lineRule="exact"/>
        <w:rPr>
          <w:rFonts w:ascii="Arial" w:cs="Arial" w:eastAsia="Arial" w:hAnsi="Arial"/>
          <w:sz w:val="18"/>
          <w:szCs w:val="18"/>
          <w:color w:val="auto"/>
        </w:rPr>
      </w:pPr>
    </w:p>
    <w:p>
      <w:pPr>
        <w:ind w:left="780" w:hanging="313"/>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Education</w:t>
      </w:r>
    </w:p>
    <w:p>
      <w:pPr>
        <w:spacing w:after="0" w:line="90" w:lineRule="exact"/>
        <w:rPr>
          <w:rFonts w:ascii="Arial" w:cs="Arial" w:eastAsia="Arial" w:hAnsi="Arial"/>
          <w:sz w:val="18"/>
          <w:szCs w:val="18"/>
          <w:color w:val="auto"/>
        </w:rPr>
      </w:pPr>
    </w:p>
    <w:p>
      <w:pPr>
        <w:ind w:left="780" w:hanging="313"/>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Energy/Utilities</w:t>
      </w:r>
    </w:p>
    <w:p>
      <w:pPr>
        <w:spacing w:after="0" w:line="90" w:lineRule="exact"/>
        <w:rPr>
          <w:rFonts w:ascii="Arial" w:cs="Arial" w:eastAsia="Arial" w:hAnsi="Arial"/>
          <w:sz w:val="18"/>
          <w:szCs w:val="18"/>
          <w:color w:val="auto"/>
        </w:rPr>
      </w:pPr>
    </w:p>
    <w:p>
      <w:pPr>
        <w:ind w:left="780" w:hanging="313"/>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Healthcare, Education &amp; Childcare</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invest in other industries if we are presented with attractive opportunities.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320" w:right="500" w:hanging="320"/>
        <w:spacing w:after="0" w:line="268" w:lineRule="auto"/>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Home &amp; Office Furnishings, Housewares, Durable Consumer Products</w:t>
      </w:r>
    </w:p>
    <w:p>
      <w:pPr>
        <w:spacing w:after="0" w:line="50" w:lineRule="exact"/>
        <w:rPr>
          <w:rFonts w:ascii="Arial" w:cs="Arial" w:eastAsia="Arial" w:hAnsi="Arial"/>
          <w:sz w:val="18"/>
          <w:szCs w:val="18"/>
          <w:color w:val="auto"/>
        </w:rPr>
      </w:pPr>
    </w:p>
    <w:p>
      <w:pPr>
        <w:ind w:left="320" w:hanging="320"/>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Leisure, Amusement, Motion Pictures, Entertainment</w:t>
      </w:r>
    </w:p>
    <w:p>
      <w:pPr>
        <w:spacing w:after="0" w:line="90" w:lineRule="exact"/>
        <w:rPr>
          <w:rFonts w:ascii="Arial" w:cs="Arial" w:eastAsia="Arial" w:hAnsi="Arial"/>
          <w:sz w:val="18"/>
          <w:szCs w:val="18"/>
          <w:color w:val="auto"/>
        </w:rPr>
      </w:pPr>
    </w:p>
    <w:p>
      <w:pPr>
        <w:ind w:left="320" w:hanging="320"/>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Manufacturing/Basic Industry</w:t>
      </w:r>
    </w:p>
    <w:p>
      <w:pPr>
        <w:spacing w:after="0" w:line="90" w:lineRule="exact"/>
        <w:rPr>
          <w:rFonts w:ascii="Arial" w:cs="Arial" w:eastAsia="Arial" w:hAnsi="Arial"/>
          <w:sz w:val="18"/>
          <w:szCs w:val="18"/>
          <w:color w:val="auto"/>
        </w:rPr>
      </w:pPr>
    </w:p>
    <w:p>
      <w:pPr>
        <w:ind w:left="320" w:hanging="320"/>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Media</w:t>
      </w:r>
    </w:p>
    <w:p>
      <w:pPr>
        <w:spacing w:after="0" w:line="90" w:lineRule="exact"/>
        <w:rPr>
          <w:rFonts w:ascii="Arial" w:cs="Arial" w:eastAsia="Arial" w:hAnsi="Arial"/>
          <w:sz w:val="18"/>
          <w:szCs w:val="18"/>
          <w:color w:val="auto"/>
        </w:rPr>
      </w:pPr>
    </w:p>
    <w:p>
      <w:pPr>
        <w:ind w:left="320" w:hanging="320"/>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Oil &amp; Gas</w:t>
      </w:r>
    </w:p>
    <w:p>
      <w:pPr>
        <w:spacing w:after="0" w:line="90" w:lineRule="exact"/>
        <w:rPr>
          <w:rFonts w:ascii="Arial" w:cs="Arial" w:eastAsia="Arial" w:hAnsi="Arial"/>
          <w:sz w:val="18"/>
          <w:szCs w:val="18"/>
          <w:color w:val="auto"/>
        </w:rPr>
      </w:pPr>
    </w:p>
    <w:p>
      <w:pPr>
        <w:ind w:left="320" w:hanging="320"/>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Media</w:t>
      </w:r>
    </w:p>
    <w:p>
      <w:pPr>
        <w:spacing w:after="0" w:line="90" w:lineRule="exact"/>
        <w:rPr>
          <w:rFonts w:ascii="Arial" w:cs="Arial" w:eastAsia="Arial" w:hAnsi="Arial"/>
          <w:sz w:val="18"/>
          <w:szCs w:val="18"/>
          <w:color w:val="auto"/>
        </w:rPr>
      </w:pPr>
    </w:p>
    <w:p>
      <w:pPr>
        <w:ind w:left="320" w:hanging="320"/>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Printing &amp; Publishing</w:t>
      </w:r>
    </w:p>
    <w:p>
      <w:pPr>
        <w:spacing w:after="0" w:line="90" w:lineRule="exact"/>
        <w:rPr>
          <w:rFonts w:ascii="Arial" w:cs="Arial" w:eastAsia="Arial" w:hAnsi="Arial"/>
          <w:sz w:val="18"/>
          <w:szCs w:val="18"/>
          <w:color w:val="auto"/>
        </w:rPr>
      </w:pPr>
    </w:p>
    <w:p>
      <w:pPr>
        <w:ind w:left="320" w:hanging="320"/>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Telecommunications</w:t>
      </w:r>
    </w:p>
    <w:p>
      <w:pPr>
        <w:spacing w:after="0" w:line="90" w:lineRule="exact"/>
        <w:rPr>
          <w:rFonts w:ascii="Arial" w:cs="Arial" w:eastAsia="Arial" w:hAnsi="Arial"/>
          <w:sz w:val="18"/>
          <w:szCs w:val="18"/>
          <w:color w:val="auto"/>
        </w:rPr>
      </w:pPr>
    </w:p>
    <w:p>
      <w:pPr>
        <w:ind w:left="320" w:hanging="320"/>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Retail Store</w:t>
      </w:r>
    </w:p>
    <w:p>
      <w:pPr>
        <w:spacing w:after="0" w:line="90" w:lineRule="exact"/>
        <w:rPr>
          <w:rFonts w:ascii="Arial" w:cs="Arial" w:eastAsia="Arial" w:hAnsi="Arial"/>
          <w:sz w:val="18"/>
          <w:szCs w:val="18"/>
          <w:color w:val="auto"/>
        </w:rPr>
      </w:pPr>
    </w:p>
    <w:p>
      <w:pPr>
        <w:ind w:left="320" w:hanging="320"/>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Transportation</w:t>
      </w:r>
    </w:p>
    <w:p>
      <w:pPr>
        <w:spacing w:after="0" w:line="90" w:lineRule="exact"/>
        <w:rPr>
          <w:rFonts w:ascii="Arial" w:cs="Arial" w:eastAsia="Arial" w:hAnsi="Arial"/>
          <w:sz w:val="18"/>
          <w:szCs w:val="18"/>
          <w:color w:val="auto"/>
        </w:rPr>
      </w:pPr>
    </w:p>
    <w:p>
      <w:pPr>
        <w:ind w:left="320" w:hanging="320"/>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Utilities</w:t>
      </w:r>
    </w:p>
    <w:p>
      <w:pPr>
        <w:spacing w:after="0" w:line="724" w:lineRule="exact"/>
        <w:rPr>
          <w:sz w:val="20"/>
          <w:szCs w:val="20"/>
          <w:color w:val="auto"/>
        </w:rPr>
      </w:pPr>
    </w:p>
    <w:p>
      <w:pPr>
        <w:sectPr>
          <w:pgSz w:w="11900" w:h="16838" w:orient="portrait"/>
          <w:cols w:equalWidth="0" w:num="2">
            <w:col w:w="6260" w:space="20"/>
            <w:col w:w="514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Listed below are our top ten portfolio companies and industries represented as a percentage of portfolio assets (excluding cash equivalents) as of:</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7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June 30,</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80" w:type="dxa"/>
            <w:vAlign w:val="bottom"/>
            <w:gridSpan w:val="3"/>
          </w:tcPr>
          <w:p>
            <w:pPr>
              <w:jc w:val="center"/>
              <w:ind w:left="854"/>
              <w:spacing w:after="0"/>
              <w:rPr>
                <w:sz w:val="20"/>
                <w:szCs w:val="20"/>
                <w:color w:val="auto"/>
              </w:rPr>
            </w:pPr>
            <w:r>
              <w:rPr>
                <w:rFonts w:ascii="Arial" w:cs="Arial" w:eastAsia="Arial" w:hAnsi="Arial"/>
                <w:sz w:val="14"/>
                <w:szCs w:val="14"/>
                <w:b w:val="1"/>
                <w:bCs w:val="1"/>
                <w:color w:val="auto"/>
                <w:w w:val="85"/>
              </w:rPr>
              <w:t>September 30,</w:t>
            </w:r>
          </w:p>
        </w:tc>
      </w:tr>
      <w:tr>
        <w:trPr>
          <w:trHeight w:val="161"/>
        </w:trPr>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Portfolio Company</w:t>
            </w:r>
          </w:p>
        </w:tc>
        <w:tc>
          <w:tcPr>
            <w:tcW w:w="3660" w:type="dxa"/>
            <w:vAlign w:val="bottom"/>
          </w:tcPr>
          <w:p>
            <w:pPr>
              <w:spacing w:after="0"/>
              <w:rPr>
                <w:sz w:val="14"/>
                <w:szCs w:val="14"/>
                <w:color w:val="auto"/>
              </w:rPr>
            </w:pP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Portfolio Company</w:t>
            </w:r>
          </w:p>
        </w:tc>
        <w:tc>
          <w:tcPr>
            <w:tcW w:w="2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r>
      <w:tr>
        <w:trPr>
          <w:trHeight w:val="210"/>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i2 Holdings LTD.</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Realogy Corp.</w:t>
            </w:r>
          </w:p>
        </w:tc>
        <w:tc>
          <w:tcPr>
            <w:tcW w:w="2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UP Acquisition Sub Inc.</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Saint Acquisition Corp.</w:t>
            </w:r>
          </w:p>
        </w:tc>
        <w:tc>
          <w:tcPr>
            <w:tcW w:w="2080" w:type="dxa"/>
            <w:vAlign w:val="bottom"/>
            <w:gridSpan w:val="3"/>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Brand Energy and Infrastructure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Advanstar, Inc.</w:t>
            </w:r>
          </w:p>
        </w:tc>
        <w:tc>
          <w:tcPr>
            <w:tcW w:w="2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Services, Inc.</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Affinion Group Holding, Inc.</w:t>
            </w:r>
          </w:p>
        </w:tc>
        <w:tc>
          <w:tcPr>
            <w:tcW w:w="2080" w:type="dxa"/>
            <w:vAlign w:val="bottom"/>
            <w:gridSpan w:val="3"/>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Specialized Technology Resources, Inc.</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Holdings, Inc.</w:t>
            </w:r>
          </w:p>
        </w:tc>
        <w:tc>
          <w:tcPr>
            <w:tcW w:w="2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Affinion Group Holdings, Inc.</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Specialized Technology</w:t>
            </w: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Interdynamics Holdings, Inc.</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2"/>
          </w:tcPr>
          <w:p>
            <w:pPr>
              <w:ind w:left="220"/>
              <w:spacing w:after="0"/>
              <w:rPr>
                <w:sz w:val="20"/>
                <w:szCs w:val="20"/>
                <w:color w:val="auto"/>
              </w:rPr>
            </w:pPr>
            <w:r>
              <w:rPr>
                <w:rFonts w:ascii="Arial" w:cs="Arial" w:eastAsia="Arial" w:hAnsi="Arial"/>
                <w:sz w:val="18"/>
                <w:szCs w:val="18"/>
                <w:color w:val="auto"/>
              </w:rPr>
              <w:t>Resources, Inc.</w:t>
            </w:r>
          </w:p>
        </w:tc>
        <w:tc>
          <w:tcPr>
            <w:tcW w:w="2080" w:type="dxa"/>
            <w:vAlign w:val="bottom"/>
            <w:gridSpan w:val="3"/>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Advanstar, Inc.</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Charter Communications</w:t>
            </w:r>
          </w:p>
        </w:tc>
        <w:tc>
          <w:tcPr>
            <w:tcW w:w="1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Performance Holdings, Inc.</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L.L.C.</w:t>
            </w:r>
          </w:p>
        </w:tc>
        <w:tc>
          <w:tcPr>
            <w:tcW w:w="2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Realogy Corp.</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Questex Media Group, Inc.</w:t>
            </w:r>
          </w:p>
        </w:tc>
        <w:tc>
          <w:tcPr>
            <w:tcW w:w="2080" w:type="dxa"/>
            <w:vAlign w:val="bottom"/>
            <w:gridSpan w:val="3"/>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Transfirst Holdings, Inc.</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Univision Communications, Inc.</w:t>
            </w:r>
          </w:p>
        </w:tc>
        <w:tc>
          <w:tcPr>
            <w:tcW w:w="2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2"/>
        </w:trPr>
        <w:tc>
          <w:tcPr>
            <w:tcW w:w="11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TransFirst Holdings, Inc.</w:t>
            </w:r>
          </w:p>
        </w:tc>
        <w:tc>
          <w:tcPr>
            <w:tcW w:w="2080" w:type="dxa"/>
            <w:vAlign w:val="bottom"/>
            <w:gridSpan w:val="3"/>
          </w:tcPr>
          <w:p>
            <w:pPr>
              <w:jc w:val="right"/>
              <w:spacing w:after="0"/>
              <w:rPr>
                <w:sz w:val="20"/>
                <w:szCs w:val="20"/>
                <w:color w:val="auto"/>
              </w:rPr>
            </w:pPr>
            <w:r>
              <w:rPr>
                <w:rFonts w:ascii="Arial" w:cs="Arial" w:eastAsia="Arial" w:hAnsi="Arial"/>
                <w:sz w:val="18"/>
                <w:szCs w:val="18"/>
                <w:color w:val="auto"/>
              </w:rPr>
              <w:t>4%</w:t>
            </w:r>
          </w:p>
        </w:tc>
      </w:tr>
      <w:tr>
        <w:trPr>
          <w:trHeight w:val="464"/>
        </w:trPr>
        <w:tc>
          <w:tcPr>
            <w:tcW w:w="11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53</w:t>
            </w:r>
          </w:p>
        </w:tc>
        <w:tc>
          <w:tcPr>
            <w:tcW w:w="1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8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80" w:type="dxa"/>
            <w:vAlign w:val="bottom"/>
            <w:gridSpan w:val="3"/>
          </w:tcPr>
          <w:p>
            <w:pPr>
              <w:jc w:val="center"/>
              <w:ind w:left="454"/>
              <w:spacing w:after="0"/>
              <w:rPr>
                <w:sz w:val="20"/>
                <w:szCs w:val="20"/>
                <w:color w:val="auto"/>
              </w:rPr>
            </w:pPr>
            <w:r>
              <w:rPr>
                <w:rFonts w:ascii="Arial" w:cs="Arial" w:eastAsia="Arial" w:hAnsi="Arial"/>
                <w:sz w:val="14"/>
                <w:szCs w:val="14"/>
                <w:b w:val="1"/>
                <w:bCs w:val="1"/>
                <w:color w:val="auto"/>
                <w:w w:val="85"/>
              </w:rPr>
              <w:t>September 30,</w:t>
            </w:r>
          </w:p>
        </w:tc>
      </w:tr>
      <w:tr>
        <w:trPr>
          <w:trHeight w:val="161"/>
        </w:trPr>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Industry</w:t>
            </w:r>
          </w:p>
        </w:tc>
        <w:tc>
          <w:tcPr>
            <w:tcW w:w="4300" w:type="dxa"/>
            <w:vAlign w:val="bottom"/>
          </w:tcPr>
          <w:p>
            <w:pPr>
              <w:spacing w:after="0"/>
              <w:rPr>
                <w:sz w:val="14"/>
                <w:szCs w:val="14"/>
                <w:color w:val="auto"/>
              </w:rPr>
            </w:pP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Industry</w:t>
            </w:r>
          </w:p>
        </w:tc>
        <w:tc>
          <w:tcPr>
            <w:tcW w:w="3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r>
      <w:tr>
        <w:trPr>
          <w:trHeight w:val="210"/>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Aerospace &amp; Defense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Other Media</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Healthcare, Education &amp; Childcare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&amp; Real Estate</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Oil &amp; Gas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Chemicals, Plastics &amp; Rubber</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&amp; Office Furnishings, Housewares &amp;</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Consumer Products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Durable</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Energy/Utilities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Consumer Products</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Auto Sector</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Business Services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 Plastics, &amp; Rubber</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08"/>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Home &amp; Office Furnishings, Housewares, &amp; Durable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Leisure, Amusement, Motion Pictures,</w:t>
            </w: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Consumer Products</w:t>
            </w: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3800" w:type="dxa"/>
            <w:vAlign w:val="bottom"/>
            <w:gridSpan w:val="2"/>
          </w:tcPr>
          <w:p>
            <w:pPr>
              <w:ind w:left="220"/>
              <w:spacing w:after="0"/>
              <w:rPr>
                <w:sz w:val="20"/>
                <w:szCs w:val="20"/>
                <w:color w:val="auto"/>
              </w:rPr>
            </w:pPr>
            <w:r>
              <w:rPr>
                <w:rFonts w:ascii="Arial" w:cs="Arial" w:eastAsia="Arial" w:hAnsi="Arial"/>
                <w:sz w:val="18"/>
                <w:szCs w:val="18"/>
                <w:color w:val="auto"/>
              </w:rPr>
              <w:t>Entertainment</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6%</w:t>
            </w:r>
          </w:p>
        </w:tc>
      </w:tr>
      <w:tr>
        <w:trPr>
          <w:trHeight w:val="218"/>
        </w:trPr>
        <w:tc>
          <w:tcPr>
            <w:tcW w:w="5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Broadcasting &amp; Entertainment</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2"/>
        </w:trPr>
        <w:tc>
          <w:tcPr>
            <w:tcW w:w="54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Cable Television</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5%</w:t>
            </w:r>
          </w:p>
        </w:tc>
      </w:tr>
    </w:tbl>
    <w:p>
      <w:pPr>
        <w:spacing w:after="0" w:line="200" w:lineRule="exact"/>
        <w:rPr>
          <w:sz w:val="20"/>
          <w:szCs w:val="20"/>
          <w:color w:val="auto"/>
        </w:rPr>
      </w:pPr>
    </w:p>
    <w:p>
      <w:pPr>
        <w:spacing w:after="0" w:line="244"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We may also co-invest in the future on a concurrent basis with affiliates of PennantPark, subject to compliance with applicable regulations and our allocation procedures. Some types of negotiated co-investments may be made only if we receive an order from the SEC permitting us to do so. There can be no assurance that any such order will be obtained.</w:t>
      </w:r>
    </w:p>
    <w:p>
      <w:pPr>
        <w:spacing w:after="0" w:line="9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On June 30, 2008, our portfolio consisted of forty-one companies and was invested 34% in subordinated debt, 28% in second lien secured debt, 4% in preferred and common equity investments and 34% in senior secured loans.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00"/>
          </w:cols>
          <w:pgMar w:left="240" w:top="459" w:right="3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1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at June 30, 2008. Percentages shown for class of investment securities held by us represent percentage of the class owned and do not necessarily represent voting ownership or economic ownership. Percentages shown for equity securities, other than warrants or options held, if any, represent the actual percentage of the class of security held before dilution. Percentages shown for warrants or options held, if any, represent the percentage of class of security we may own on a fully diluted basis assuming we exercise our warrants or options.</w:t>
      </w:r>
    </w:p>
    <w:p>
      <w:pPr>
        <w:spacing w:after="0" w:line="14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portfolio companies are presented in three categories: “companies more than 25% owned” which represent portfolio companies where we directly or indirectly own more than 25% of the outstanding voting securities of such portfolio company and, therefore, are presumed to be controlled by us under the 1940 Act; “companies owned 5% to 25%” which represent portfolio companies where we directly or indirectly own 5% to 25% of the outstanding voting securities of such portfolio company or where we hold one or more seats on the portfolio company’s board of directors and, therefore, are deemed to be an affiliated person under the 1940 Act; and “companies less than 5% owned” which represent portfolio companies where we directly or indirectly own less than 5% of the outstanding voting securities of such portfolio company and where we have no other affiliations with such portfolio company. We make available significant managerial assistance to our portfolio companies. As of June 30, 2008 we held no seats on any of our portfolio companies’ board of directors.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w:t>
            </w:r>
          </w:p>
        </w:tc>
      </w:tr>
      <w:tr>
        <w:trPr>
          <w:trHeight w:val="161"/>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Portfolio</w:t>
            </w:r>
          </w:p>
        </w:tc>
        <w:tc>
          <w:tcPr>
            <w:tcW w:w="3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4"/>
              </w:rPr>
              <w:t>of Class</w:t>
            </w:r>
          </w:p>
        </w:tc>
      </w:tr>
      <w:tr>
        <w:trPr>
          <w:trHeight w:val="176"/>
        </w:trPr>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Company</w:t>
            </w:r>
          </w:p>
        </w:tc>
        <w:tc>
          <w:tcPr>
            <w:tcW w:w="1940" w:type="dxa"/>
            <w:vAlign w:val="bottom"/>
          </w:tcPr>
          <w:p>
            <w:pPr>
              <w:spacing w:after="0"/>
              <w:rPr>
                <w:sz w:val="15"/>
                <w:szCs w:val="15"/>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320" w:type="dxa"/>
            <w:vAlign w:val="bottom"/>
          </w:tcPr>
          <w:p>
            <w:pPr>
              <w:spacing w:after="0"/>
              <w:rPr>
                <w:sz w:val="15"/>
                <w:szCs w:val="15"/>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Type of Investment</w:t>
            </w:r>
          </w:p>
        </w:tc>
        <w:tc>
          <w:tcPr>
            <w:tcW w:w="340" w:type="dxa"/>
            <w:vAlign w:val="bottom"/>
          </w:tcPr>
          <w:p>
            <w:pPr>
              <w:spacing w:after="0"/>
              <w:rPr>
                <w:sz w:val="15"/>
                <w:szCs w:val="15"/>
                <w:color w:val="auto"/>
              </w:rPr>
            </w:pPr>
          </w:p>
        </w:tc>
        <w:tc>
          <w:tcPr>
            <w:tcW w:w="6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89"/>
              </w:rPr>
              <w:t>Held</w:t>
            </w:r>
            <w:r>
              <w:rPr>
                <w:rFonts w:ascii="Arial" w:cs="Arial" w:eastAsia="Arial" w:hAnsi="Arial"/>
                <w:sz w:val="20"/>
                <w:szCs w:val="20"/>
                <w:b w:val="1"/>
                <w:bCs w:val="1"/>
                <w:color w:val="auto"/>
                <w:w w:val="89"/>
                <w:vertAlign w:val="superscript"/>
              </w:rPr>
              <w:t>(1)</w:t>
            </w:r>
          </w:p>
        </w:tc>
      </w:tr>
      <w:tr>
        <w:trPr>
          <w:trHeight w:val="201"/>
        </w:trPr>
        <w:tc>
          <w:tcPr>
            <w:tcW w:w="384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Companies More Than 25% Owned</w:t>
            </w:r>
          </w:p>
        </w:tc>
        <w:tc>
          <w:tcPr>
            <w:tcW w:w="3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color w:val="auto"/>
              </w:rPr>
              <w:t>None</w:t>
            </w:r>
          </w:p>
        </w:tc>
        <w:tc>
          <w:tcPr>
            <w:tcW w:w="3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Companies 5% to 25% Owned</w:t>
            </w:r>
          </w:p>
        </w:tc>
        <w:tc>
          <w:tcPr>
            <w:tcW w:w="3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18"/>
        </w:trPr>
        <w:tc>
          <w:tcPr>
            <w:tcW w:w="384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xml:space="preserve"> , I</w:t>
            </w:r>
            <w:r>
              <w:rPr>
                <w:rFonts w:ascii="Arial" w:cs="Arial" w:eastAsia="Arial" w:hAnsi="Arial"/>
                <w:sz w:val="14"/>
                <w:szCs w:val="14"/>
                <w:color w:val="auto"/>
              </w:rPr>
              <w:t>NC</w:t>
            </w:r>
            <w:r>
              <w:rPr>
                <w:rFonts w:ascii="Arial" w:cs="Arial" w:eastAsia="Arial" w:hAnsi="Arial"/>
                <w:sz w:val="18"/>
                <w:szCs w:val="18"/>
                <w:color w:val="auto"/>
              </w:rPr>
              <w:t>. /</w:t>
            </w:r>
          </w:p>
        </w:tc>
        <w:tc>
          <w:tcPr>
            <w:tcW w:w="3140" w:type="dxa"/>
            <w:vAlign w:val="bottom"/>
          </w:tcPr>
          <w:p>
            <w:pPr>
              <w:jc w:val="cente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EISURE</w:t>
            </w:r>
            <w:r>
              <w:rPr>
                <w:rFonts w:ascii="Arial" w:cs="Arial" w:eastAsia="Arial" w:hAnsi="Arial"/>
                <w:sz w:val="18"/>
                <w:szCs w:val="18"/>
                <w:color w:val="auto"/>
              </w:rPr>
              <w:t>, A</w:t>
            </w:r>
            <w:r>
              <w:rPr>
                <w:rFonts w:ascii="Arial" w:cs="Arial" w:eastAsia="Arial" w:hAnsi="Arial"/>
                <w:sz w:val="14"/>
                <w:szCs w:val="14"/>
                <w:color w:val="auto"/>
              </w:rPr>
              <w:t>MUSEMENT</w:t>
            </w:r>
            <w:r>
              <w:rPr>
                <w:rFonts w:ascii="Arial" w:cs="Arial" w:eastAsia="Arial" w:hAnsi="Arial"/>
                <w:sz w:val="18"/>
                <w:szCs w:val="18"/>
                <w:color w:val="auto"/>
              </w:rPr>
              <w:t>, M</w:t>
            </w:r>
            <w:r>
              <w:rPr>
                <w:rFonts w:ascii="Arial" w:cs="Arial" w:eastAsia="Arial" w:hAnsi="Arial"/>
                <w:sz w:val="14"/>
                <w:szCs w:val="14"/>
                <w:color w:val="auto"/>
              </w:rPr>
              <w:t>OTION</w:t>
            </w:r>
          </w:p>
        </w:tc>
        <w:tc>
          <w:tcPr>
            <w:tcW w:w="32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980" w:type="dxa"/>
            <w:vAlign w:val="bottom"/>
            <w:gridSpan w:val="2"/>
          </w:tcPr>
          <w:p>
            <w:pPr>
              <w:jc w:val="center"/>
              <w:ind w:left="252"/>
              <w:spacing w:after="0"/>
              <w:rPr>
                <w:sz w:val="20"/>
                <w:szCs w:val="20"/>
                <w:color w:val="auto"/>
              </w:rPr>
            </w:pPr>
            <w:r>
              <w:rPr>
                <w:rFonts w:ascii="Arial" w:cs="Arial" w:eastAsia="Arial" w:hAnsi="Arial"/>
                <w:sz w:val="18"/>
                <w:szCs w:val="18"/>
                <w:color w:val="auto"/>
                <w:w w:val="87"/>
              </w:rPr>
              <w:t>6.3%</w:t>
            </w:r>
          </w:p>
        </w:tc>
      </w:tr>
      <w:tr>
        <w:trPr>
          <w:trHeight w:val="216"/>
        </w:trPr>
        <w:tc>
          <w:tcPr>
            <w:tcW w:w="3840" w:type="dxa"/>
            <w:vAlign w:val="bottom"/>
            <w:gridSpan w:val="2"/>
          </w:tcPr>
          <w:p>
            <w:pPr>
              <w:ind w:left="22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tc>
        <w:tc>
          <w:tcPr>
            <w:tcW w:w="3140" w:type="dxa"/>
            <w:vAlign w:val="bottom"/>
          </w:tcPr>
          <w:p>
            <w:pPr>
              <w:jc w:val="center"/>
              <w:spacing w:after="0"/>
              <w:rPr>
                <w:sz w:val="20"/>
                <w:szCs w:val="20"/>
                <w:color w:val="auto"/>
              </w:rPr>
            </w:pPr>
            <w:r>
              <w:rPr>
                <w:rFonts w:ascii="Arial" w:cs="Arial" w:eastAsia="Arial" w:hAnsi="Arial"/>
                <w:sz w:val="18"/>
                <w:szCs w:val="18"/>
                <w:color w:val="auto"/>
                <w:w w:val="98"/>
              </w:rPr>
              <w:t>P</w:t>
            </w:r>
            <w:r>
              <w:rPr>
                <w:rFonts w:ascii="Arial" w:cs="Arial" w:eastAsia="Arial" w:hAnsi="Arial"/>
                <w:sz w:val="14"/>
                <w:szCs w:val="14"/>
                <w:color w:val="auto"/>
                <w:w w:val="98"/>
              </w:rPr>
              <w:t>ICTURES</w:t>
            </w:r>
            <w:r>
              <w:rPr>
                <w:rFonts w:ascii="Arial" w:cs="Arial" w:eastAsia="Arial" w:hAnsi="Arial"/>
                <w:sz w:val="18"/>
                <w:szCs w:val="18"/>
                <w:color w:val="auto"/>
                <w:w w:val="98"/>
              </w:rPr>
              <w:t>, E</w:t>
            </w:r>
            <w:r>
              <w:rPr>
                <w:rFonts w:ascii="Arial" w:cs="Arial" w:eastAsia="Arial" w:hAnsi="Arial"/>
                <w:sz w:val="14"/>
                <w:szCs w:val="14"/>
                <w:color w:val="auto"/>
                <w:w w:val="98"/>
              </w:rPr>
              <w:t>NTERTAINMENT</w:t>
            </w:r>
          </w:p>
        </w:tc>
        <w:tc>
          <w:tcPr>
            <w:tcW w:w="32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88"/>
              </w:rPr>
              <w:t>Second Lien Secured Debt, Common Equity</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NE</w:t>
            </w:r>
            <w:r>
              <w:rPr>
                <w:rFonts w:ascii="Arial" w:cs="Arial" w:eastAsia="Arial" w:hAnsi="Arial"/>
                <w:sz w:val="18"/>
                <w:szCs w:val="18"/>
                <w:color w:val="auto"/>
              </w:rPr>
              <w:t xml:space="preserve"> P</w:t>
            </w:r>
            <w:r>
              <w:rPr>
                <w:rFonts w:ascii="Arial" w:cs="Arial" w:eastAsia="Arial" w:hAnsi="Arial"/>
                <w:sz w:val="14"/>
                <w:szCs w:val="14"/>
                <w:color w:val="auto"/>
              </w:rPr>
              <w:t>ERFORMANCE</w:t>
            </w:r>
            <w:r>
              <w:rPr>
                <w:rFonts w:ascii="Arial" w:cs="Arial" w:eastAsia="Arial" w:hAnsi="Arial"/>
                <w:sz w:val="18"/>
                <w:szCs w:val="18"/>
                <w:color w:val="auto"/>
              </w:rPr>
              <w:t xml:space="preserve"> W</w:t>
            </w:r>
            <w:r>
              <w:rPr>
                <w:rFonts w:ascii="Arial" w:cs="Arial" w:eastAsia="Arial" w:hAnsi="Arial"/>
                <w:sz w:val="14"/>
                <w:szCs w:val="14"/>
                <w:color w:val="auto"/>
              </w:rPr>
              <w:t>AY</w:t>
            </w:r>
          </w:p>
        </w:tc>
        <w:tc>
          <w:tcPr>
            <w:tcW w:w="3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HAPEL</w:t>
            </w:r>
            <w:r>
              <w:rPr>
                <w:rFonts w:ascii="Arial" w:cs="Arial" w:eastAsia="Arial" w:hAnsi="Arial"/>
                <w:sz w:val="18"/>
                <w:szCs w:val="18"/>
                <w:color w:val="auto"/>
              </w:rPr>
              <w:t xml:space="preserve"> H</w:t>
            </w:r>
            <w:r>
              <w:rPr>
                <w:rFonts w:ascii="Arial" w:cs="Arial" w:eastAsia="Arial" w:hAnsi="Arial"/>
                <w:sz w:val="14"/>
                <w:szCs w:val="14"/>
                <w:color w:val="auto"/>
              </w:rPr>
              <w:t>ILL</w:t>
            </w:r>
            <w:r>
              <w:rPr>
                <w:rFonts w:ascii="Arial" w:cs="Arial" w:eastAsia="Arial" w:hAnsi="Arial"/>
                <w:sz w:val="18"/>
                <w:szCs w:val="18"/>
                <w:color w:val="auto"/>
              </w:rPr>
              <w:t>, NC 27514</w:t>
            </w:r>
          </w:p>
        </w:tc>
        <w:tc>
          <w:tcPr>
            <w:tcW w:w="3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38"/>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Companies Less Than 5% Owned</w:t>
            </w:r>
          </w:p>
        </w:tc>
        <w:tc>
          <w:tcPr>
            <w:tcW w:w="3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18"/>
        </w:trPr>
        <w:tc>
          <w:tcPr>
            <w:tcW w:w="3840" w:type="dxa"/>
            <w:vAlign w:val="bottom"/>
            <w:gridSpan w:val="2"/>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DVANSTAR</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14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32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980" w:type="dxa"/>
            <w:vAlign w:val="bottom"/>
            <w:gridSpan w:val="2"/>
          </w:tcPr>
          <w:p>
            <w:pPr>
              <w:jc w:val="center"/>
              <w:ind w:left="252"/>
              <w:spacing w:after="0"/>
              <w:rPr>
                <w:sz w:val="20"/>
                <w:szCs w:val="20"/>
                <w:color w:val="auto"/>
              </w:rPr>
            </w:pPr>
            <w:r>
              <w:rPr>
                <w:rFonts w:ascii="Arial" w:cs="Arial" w:eastAsia="Arial" w:hAnsi="Arial"/>
                <w:sz w:val="18"/>
                <w:szCs w:val="18"/>
                <w:color w:val="auto"/>
                <w:w w:val="87"/>
              </w:rPr>
              <w:t>0.9%</w:t>
            </w: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color w:val="auto"/>
              </w:rPr>
              <w:t>641 L</w:t>
            </w:r>
            <w:r>
              <w:rPr>
                <w:rFonts w:ascii="Arial" w:cs="Arial" w:eastAsia="Arial" w:hAnsi="Arial"/>
                <w:sz w:val="14"/>
                <w:szCs w:val="14"/>
                <w:color w:val="auto"/>
              </w:rPr>
              <w:t>EXINGTON</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90"/>
              </w:rPr>
              <w:t>Common Equity</w:t>
            </w: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color w:val="auto"/>
              </w:rPr>
              <w:t>8</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w:t>
            </w:r>
            <w:r>
              <w:rPr>
                <w:rFonts w:ascii="Arial" w:cs="Arial" w:eastAsia="Arial" w:hAnsi="Arial"/>
                <w:sz w:val="14"/>
                <w:szCs w:val="14"/>
                <w:color w:val="auto"/>
              </w:rPr>
              <w:t>FLOOR</w:t>
            </w:r>
          </w:p>
        </w:tc>
        <w:tc>
          <w:tcPr>
            <w:tcW w:w="3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Y</w:t>
            </w:r>
            <w:r>
              <w:rPr>
                <w:rFonts w:ascii="Arial" w:cs="Arial" w:eastAsia="Arial" w:hAnsi="Arial"/>
                <w:sz w:val="14"/>
                <w:szCs w:val="14"/>
                <w:color w:val="auto"/>
              </w:rPr>
              <w:t>ORK</w:t>
            </w:r>
            <w:r>
              <w:rPr>
                <w:rFonts w:ascii="Arial" w:cs="Arial" w:eastAsia="Arial" w:hAnsi="Arial"/>
                <w:sz w:val="18"/>
                <w:szCs w:val="18"/>
                <w:color w:val="auto"/>
              </w:rPr>
              <w:t>, NY 10022</w:t>
            </w:r>
          </w:p>
        </w:tc>
        <w:tc>
          <w:tcPr>
            <w:tcW w:w="3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840" w:type="dxa"/>
            <w:vAlign w:val="bottom"/>
            <w:gridSpan w:val="2"/>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FFINION</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14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32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3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100 C</w:t>
            </w:r>
            <w:r>
              <w:rPr>
                <w:rFonts w:ascii="Arial" w:cs="Arial" w:eastAsia="Arial" w:hAnsi="Arial"/>
                <w:sz w:val="14"/>
                <w:szCs w:val="14"/>
                <w:color w:val="auto"/>
              </w:rPr>
              <w:t>ONNECTICUT</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ORWALK</w:t>
            </w:r>
            <w:r>
              <w:rPr>
                <w:rFonts w:ascii="Arial" w:cs="Arial" w:eastAsia="Arial" w:hAnsi="Arial"/>
                <w:sz w:val="18"/>
                <w:szCs w:val="18"/>
                <w:color w:val="auto"/>
              </w:rPr>
              <w:t>, CA 06850</w:t>
            </w:r>
          </w:p>
        </w:tc>
        <w:tc>
          <w:tcPr>
            <w:tcW w:w="3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840" w:type="dxa"/>
            <w:vAlign w:val="bottom"/>
            <w:gridSpan w:val="2"/>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ERRY</w:t>
            </w:r>
            <w:r>
              <w:rPr>
                <w:rFonts w:ascii="Arial" w:cs="Arial" w:eastAsia="Arial" w:hAnsi="Arial"/>
                <w:sz w:val="18"/>
                <w:szCs w:val="18"/>
                <w:color w:val="auto"/>
              </w:rPr>
              <w:t xml:space="preserve"> P</w:t>
            </w:r>
            <w:r>
              <w:rPr>
                <w:rFonts w:ascii="Arial" w:cs="Arial" w:eastAsia="Arial" w:hAnsi="Arial"/>
                <w:sz w:val="14"/>
                <w:szCs w:val="14"/>
                <w:color w:val="auto"/>
              </w:rPr>
              <w:t>LASTICS</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140" w:type="dxa"/>
            <w:vAlign w:val="bottom"/>
          </w:tcPr>
          <w:p>
            <w:pPr>
              <w:jc w:val="center"/>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ONTAINERS</w:t>
            </w:r>
            <w:r>
              <w:rPr>
                <w:rFonts w:ascii="Arial" w:cs="Arial" w:eastAsia="Arial" w:hAnsi="Arial"/>
                <w:sz w:val="18"/>
                <w:szCs w:val="18"/>
                <w:color w:val="auto"/>
                <w:w w:val="99"/>
              </w:rPr>
              <w:t>, P</w:t>
            </w:r>
            <w:r>
              <w:rPr>
                <w:rFonts w:ascii="Arial" w:cs="Arial" w:eastAsia="Arial" w:hAnsi="Arial"/>
                <w:sz w:val="14"/>
                <w:szCs w:val="14"/>
                <w:color w:val="auto"/>
                <w:w w:val="99"/>
              </w:rPr>
              <w:t>ACKAGING</w:t>
            </w:r>
            <w:r>
              <w:rPr>
                <w:rFonts w:ascii="Arial" w:cs="Arial" w:eastAsia="Arial" w:hAnsi="Arial"/>
                <w:sz w:val="18"/>
                <w:szCs w:val="18"/>
                <w:color w:val="auto"/>
                <w:w w:val="99"/>
              </w:rPr>
              <w:t xml:space="preserve"> &amp; G</w:t>
            </w:r>
            <w:r>
              <w:rPr>
                <w:rFonts w:ascii="Arial" w:cs="Arial" w:eastAsia="Arial" w:hAnsi="Arial"/>
                <w:sz w:val="14"/>
                <w:szCs w:val="14"/>
                <w:color w:val="auto"/>
                <w:w w:val="99"/>
              </w:rPr>
              <w:t>LASS</w:t>
            </w:r>
          </w:p>
        </w:tc>
        <w:tc>
          <w:tcPr>
            <w:tcW w:w="32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3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101 O</w:t>
            </w:r>
            <w:r>
              <w:rPr>
                <w:rFonts w:ascii="Arial" w:cs="Arial" w:eastAsia="Arial" w:hAnsi="Arial"/>
                <w:sz w:val="14"/>
                <w:szCs w:val="14"/>
                <w:color w:val="auto"/>
              </w:rPr>
              <w:t>AKLEY</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VANSVILLE</w:t>
            </w:r>
            <w:r>
              <w:rPr>
                <w:rFonts w:ascii="Arial" w:cs="Arial" w:eastAsia="Arial" w:hAnsi="Arial"/>
                <w:sz w:val="18"/>
                <w:szCs w:val="18"/>
                <w:color w:val="auto"/>
              </w:rPr>
              <w:t>, IN 47710</w:t>
            </w:r>
          </w:p>
        </w:tc>
        <w:tc>
          <w:tcPr>
            <w:tcW w:w="3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31"/>
        </w:trPr>
        <w:tc>
          <w:tcPr>
            <w:tcW w:w="3840" w:type="dxa"/>
            <w:vAlign w:val="bottom"/>
            <w:gridSpan w:val="2"/>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RAND</w:t>
            </w:r>
            <w:r>
              <w:rPr>
                <w:rFonts w:ascii="Arial" w:cs="Arial" w:eastAsia="Arial" w:hAnsi="Arial"/>
                <w:sz w:val="18"/>
                <w:szCs w:val="18"/>
                <w:color w:val="auto"/>
              </w:rPr>
              <w:t xml:space="preserve"> E</w:t>
            </w:r>
            <w:r>
              <w:rPr>
                <w:rFonts w:ascii="Arial" w:cs="Arial" w:eastAsia="Arial" w:hAnsi="Arial"/>
                <w:sz w:val="14"/>
                <w:szCs w:val="14"/>
                <w:color w:val="auto"/>
              </w:rPr>
              <w:t>NERGY</w:t>
            </w:r>
            <w:r>
              <w:rPr>
                <w:rFonts w:ascii="Arial" w:cs="Arial" w:eastAsia="Arial" w:hAnsi="Arial"/>
                <w:sz w:val="18"/>
                <w:szCs w:val="18"/>
                <w:color w:val="auto"/>
              </w:rPr>
              <w:t xml:space="preserve"> &amp; I</w:t>
            </w:r>
            <w:r>
              <w:rPr>
                <w:rFonts w:ascii="Arial" w:cs="Arial" w:eastAsia="Arial" w:hAnsi="Arial"/>
                <w:sz w:val="14"/>
                <w:szCs w:val="14"/>
                <w:color w:val="auto"/>
              </w:rPr>
              <w:t>NFRASTRUCTURE</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w:t>
            </w:r>
          </w:p>
        </w:tc>
        <w:tc>
          <w:tcPr>
            <w:tcW w:w="314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NERGY</w:t>
            </w:r>
            <w:r>
              <w:rPr>
                <w:rFonts w:ascii="Arial" w:cs="Arial" w:eastAsia="Arial" w:hAnsi="Arial"/>
                <w:sz w:val="18"/>
                <w:szCs w:val="18"/>
                <w:color w:val="auto"/>
              </w:rPr>
              <w:t xml:space="preserve"> / U</w:t>
            </w:r>
            <w:r>
              <w:rPr>
                <w:rFonts w:ascii="Arial" w:cs="Arial" w:eastAsia="Arial" w:hAnsi="Arial"/>
                <w:sz w:val="14"/>
                <w:szCs w:val="14"/>
                <w:color w:val="auto"/>
              </w:rPr>
              <w:t>TILITIES</w:t>
            </w:r>
          </w:p>
        </w:tc>
        <w:tc>
          <w:tcPr>
            <w:tcW w:w="32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88"/>
              </w:rPr>
              <w:t>First Lien Secured Debt Second Lien</w:t>
            </w:r>
          </w:p>
        </w:tc>
        <w:tc>
          <w:tcPr>
            <w:tcW w:w="3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40" w:type="dxa"/>
            <w:vAlign w:val="bottom"/>
            <w:gridSpan w:val="2"/>
          </w:tcPr>
          <w:p>
            <w:pPr>
              <w:ind w:left="22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w:t>
            </w:r>
            <w:r>
              <w:rPr>
                <w:rFonts w:ascii="Arial" w:cs="Arial" w:eastAsia="Arial" w:hAnsi="Arial"/>
                <w:sz w:val="18"/>
                <w:szCs w:val="18"/>
                <w:color w:val="auto"/>
              </w:rPr>
              <w:t>.</w:t>
            </w:r>
          </w:p>
        </w:tc>
        <w:tc>
          <w:tcPr>
            <w:tcW w:w="3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85"/>
              </w:rPr>
              <w:t>Secured Debt</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2505 S</w:t>
            </w:r>
            <w:r>
              <w:rPr>
                <w:rFonts w:ascii="Arial" w:cs="Arial" w:eastAsia="Arial" w:hAnsi="Arial"/>
                <w:sz w:val="14"/>
                <w:szCs w:val="14"/>
                <w:color w:val="auto"/>
              </w:rPr>
              <w:t>OUTH</w:t>
            </w:r>
            <w:r>
              <w:rPr>
                <w:rFonts w:ascii="Arial" w:cs="Arial" w:eastAsia="Arial" w:hAnsi="Arial"/>
                <w:sz w:val="18"/>
                <w:szCs w:val="18"/>
                <w:color w:val="auto"/>
              </w:rPr>
              <w:t xml:space="preserve"> M</w:t>
            </w:r>
            <w:r>
              <w:rPr>
                <w:rFonts w:ascii="Arial" w:cs="Arial" w:eastAsia="Arial" w:hAnsi="Arial"/>
                <w:sz w:val="14"/>
                <w:szCs w:val="14"/>
                <w:color w:val="auto"/>
              </w:rPr>
              <w:t>AIN</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ENNESAW</w:t>
            </w:r>
            <w:r>
              <w:rPr>
                <w:rFonts w:ascii="Arial" w:cs="Arial" w:eastAsia="Arial" w:hAnsi="Arial"/>
                <w:sz w:val="18"/>
                <w:szCs w:val="18"/>
                <w:color w:val="auto"/>
              </w:rPr>
              <w:t>, GA 30144</w:t>
            </w:r>
          </w:p>
        </w:tc>
        <w:tc>
          <w:tcPr>
            <w:tcW w:w="3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65"/>
        </w:trPr>
        <w:tc>
          <w:tcPr>
            <w:tcW w:w="1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140" w:type="dxa"/>
            <w:vAlign w:val="bottom"/>
          </w:tcPr>
          <w:p>
            <w:pPr>
              <w:jc w:val="right"/>
              <w:ind w:right="1095"/>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61"/>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Portfolio</w:t>
            </w:r>
          </w:p>
        </w:tc>
        <w:tc>
          <w:tcPr>
            <w:tcW w:w="3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of Class</w:t>
            </w:r>
          </w:p>
        </w:tc>
        <w:tc>
          <w:tcPr>
            <w:tcW w:w="0" w:type="dxa"/>
            <w:vAlign w:val="bottom"/>
          </w:tcPr>
          <w:p>
            <w:pPr>
              <w:spacing w:after="0"/>
              <w:rPr>
                <w:sz w:val="1"/>
                <w:szCs w:val="1"/>
                <w:color w:val="auto"/>
              </w:rPr>
            </w:pPr>
          </w:p>
        </w:tc>
      </w:tr>
      <w:tr>
        <w:trPr>
          <w:trHeight w:val="176"/>
        </w:trPr>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Company</w:t>
            </w:r>
          </w:p>
        </w:tc>
        <w:tc>
          <w:tcPr>
            <w:tcW w:w="1880" w:type="dxa"/>
            <w:vAlign w:val="bottom"/>
          </w:tcPr>
          <w:p>
            <w:pPr>
              <w:spacing w:after="0"/>
              <w:rPr>
                <w:sz w:val="15"/>
                <w:szCs w:val="15"/>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420" w:type="dxa"/>
            <w:vAlign w:val="bottom"/>
          </w:tcPr>
          <w:p>
            <w:pPr>
              <w:spacing w:after="0"/>
              <w:rPr>
                <w:sz w:val="15"/>
                <w:szCs w:val="15"/>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Type of Investment</w:t>
            </w:r>
          </w:p>
        </w:tc>
        <w:tc>
          <w:tcPr>
            <w:tcW w:w="420" w:type="dxa"/>
            <w:vAlign w:val="bottom"/>
          </w:tcPr>
          <w:p>
            <w:pPr>
              <w:spacing w:after="0"/>
              <w:rPr>
                <w:sz w:val="15"/>
                <w:szCs w:val="15"/>
                <w:color w:val="auto"/>
              </w:rPr>
            </w:pPr>
          </w:p>
        </w:tc>
        <w:tc>
          <w:tcPr>
            <w:tcW w:w="6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4"/>
              </w:rPr>
              <w:t>Held</w:t>
            </w:r>
            <w:r>
              <w:rPr>
                <w:rFonts w:ascii="Arial" w:cs="Arial" w:eastAsia="Arial" w:hAnsi="Arial"/>
                <w:sz w:val="20"/>
                <w:szCs w:val="20"/>
                <w:b w:val="1"/>
                <w:bCs w:val="1"/>
                <w:color w:val="auto"/>
                <w:w w:val="94"/>
                <w:vertAlign w:val="superscript"/>
              </w:rPr>
              <w:t>(1)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780" w:type="dxa"/>
            <w:vAlign w:val="bottom"/>
            <w:gridSpan w:val="2"/>
          </w:tcPr>
          <w:p>
            <w:pPr>
              <w:spacing w:after="0" w:line="201" w:lineRule="exact"/>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URLINGTON</w:t>
            </w:r>
            <w:r>
              <w:rPr>
                <w:rFonts w:ascii="Arial" w:cs="Arial" w:eastAsia="Arial" w:hAnsi="Arial"/>
                <w:sz w:val="18"/>
                <w:szCs w:val="18"/>
                <w:color w:val="auto"/>
              </w:rPr>
              <w:t xml:space="preserve"> C</w:t>
            </w:r>
            <w:r>
              <w:rPr>
                <w:rFonts w:ascii="Arial" w:cs="Arial" w:eastAsia="Arial" w:hAnsi="Arial"/>
                <w:sz w:val="14"/>
                <w:szCs w:val="14"/>
                <w:color w:val="auto"/>
              </w:rPr>
              <w:t>OAT</w:t>
            </w:r>
            <w:r>
              <w:rPr>
                <w:rFonts w:ascii="Arial" w:cs="Arial" w:eastAsia="Arial" w:hAnsi="Arial"/>
                <w:sz w:val="18"/>
                <w:szCs w:val="18"/>
                <w:color w:val="auto"/>
              </w:rPr>
              <w:t xml:space="preserve"> F</w:t>
            </w:r>
            <w:r>
              <w:rPr>
                <w:rFonts w:ascii="Arial" w:cs="Arial" w:eastAsia="Arial" w:hAnsi="Arial"/>
                <w:sz w:val="14"/>
                <w:szCs w:val="14"/>
                <w:color w:val="auto"/>
              </w:rPr>
              <w:t>ACTORY</w:t>
            </w:r>
            <w:r>
              <w:rPr>
                <w:rFonts w:ascii="Arial" w:cs="Arial" w:eastAsia="Arial" w:hAnsi="Arial"/>
                <w:sz w:val="18"/>
                <w:szCs w:val="18"/>
                <w:color w:val="auto"/>
              </w:rPr>
              <w:t xml:space="preserve"> W</w:t>
            </w:r>
            <w:r>
              <w:rPr>
                <w:rFonts w:ascii="Arial" w:cs="Arial" w:eastAsia="Arial" w:hAnsi="Arial"/>
                <w:sz w:val="14"/>
                <w:szCs w:val="14"/>
                <w:color w:val="auto"/>
              </w:rPr>
              <w:t>AREHOUSE</w:t>
            </w:r>
          </w:p>
        </w:tc>
        <w:tc>
          <w:tcPr>
            <w:tcW w:w="3000" w:type="dxa"/>
            <w:vAlign w:val="bottom"/>
          </w:tcPr>
          <w:p>
            <w:pPr>
              <w:jc w:val="center"/>
              <w:spacing w:after="0" w:line="201" w:lineRule="exact"/>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ETAIL</w:t>
            </w:r>
            <w:r>
              <w:rPr>
                <w:rFonts w:ascii="Arial" w:cs="Arial" w:eastAsia="Arial" w:hAnsi="Arial"/>
                <w:sz w:val="18"/>
                <w:szCs w:val="18"/>
                <w:color w:val="auto"/>
                <w:w w:val="98"/>
              </w:rPr>
              <w:t xml:space="preserve"> S</w:t>
            </w:r>
            <w:r>
              <w:rPr>
                <w:rFonts w:ascii="Arial" w:cs="Arial" w:eastAsia="Arial" w:hAnsi="Arial"/>
                <w:sz w:val="14"/>
                <w:szCs w:val="14"/>
                <w:color w:val="auto"/>
                <w:w w:val="98"/>
              </w:rPr>
              <w:t>TORE</w:t>
            </w:r>
          </w:p>
        </w:tc>
        <w:tc>
          <w:tcPr>
            <w:tcW w:w="420" w:type="dxa"/>
            <w:vAlign w:val="bottom"/>
          </w:tcPr>
          <w:p>
            <w:pPr>
              <w:spacing w:after="0"/>
              <w:rPr>
                <w:sz w:val="17"/>
                <w:szCs w:val="17"/>
                <w:color w:val="auto"/>
              </w:rPr>
            </w:pPr>
          </w:p>
        </w:tc>
        <w:tc>
          <w:tcPr>
            <w:tcW w:w="3000" w:type="dxa"/>
            <w:vAlign w:val="bottom"/>
          </w:tcPr>
          <w:p>
            <w:pPr>
              <w:jc w:val="center"/>
              <w:spacing w:after="0" w:line="201" w:lineRule="exact"/>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17"/>
                <w:szCs w:val="17"/>
                <w:color w:val="auto"/>
              </w:rPr>
            </w:pPr>
          </w:p>
        </w:tc>
        <w:tc>
          <w:tcPr>
            <w:tcW w:w="66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ind w:left="22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ORP</w:t>
            </w:r>
            <w:r>
              <w:rPr>
                <w:rFonts w:ascii="Arial" w:cs="Arial" w:eastAsia="Arial" w:hAnsi="Arial"/>
                <w:sz w:val="18"/>
                <w:szCs w:val="18"/>
                <w:color w:val="auto"/>
              </w:rPr>
              <w:t>.</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1830 R</w:t>
            </w:r>
            <w:r>
              <w:rPr>
                <w:rFonts w:ascii="Arial" w:cs="Arial" w:eastAsia="Arial" w:hAnsi="Arial"/>
                <w:sz w:val="14"/>
                <w:szCs w:val="14"/>
                <w:color w:val="auto"/>
              </w:rPr>
              <w:t>T</w:t>
            </w:r>
            <w:r>
              <w:rPr>
                <w:rFonts w:ascii="Arial" w:cs="Arial" w:eastAsia="Arial" w:hAnsi="Arial"/>
                <w:sz w:val="18"/>
                <w:szCs w:val="18"/>
                <w:color w:val="auto"/>
              </w:rPr>
              <w:t>. 130</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URLINGTON</w:t>
            </w:r>
            <w:r>
              <w:rPr>
                <w:rFonts w:ascii="Arial" w:cs="Arial" w:eastAsia="Arial" w:hAnsi="Arial"/>
                <w:sz w:val="18"/>
                <w:szCs w:val="18"/>
                <w:color w:val="auto"/>
              </w:rPr>
              <w:t>, NJ 08016</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HARTER</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ABLE</w:t>
            </w:r>
            <w:r>
              <w:rPr>
                <w:rFonts w:ascii="Arial" w:cs="Arial" w:eastAsia="Arial" w:hAnsi="Arial"/>
                <w:sz w:val="18"/>
                <w:szCs w:val="18"/>
                <w:color w:val="auto"/>
              </w:rPr>
              <w:t xml:space="preserve"> T</w:t>
            </w:r>
            <w:r>
              <w:rPr>
                <w:rFonts w:ascii="Arial" w:cs="Arial" w:eastAsia="Arial" w:hAnsi="Arial"/>
                <w:sz w:val="14"/>
                <w:szCs w:val="14"/>
                <w:color w:val="auto"/>
              </w:rPr>
              <w:t>ELEVISION</w:t>
            </w:r>
          </w:p>
        </w:tc>
        <w:tc>
          <w:tcPr>
            <w:tcW w:w="42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780" w:type="dxa"/>
            <w:vAlign w:val="bottom"/>
            <w:gridSpan w:val="2"/>
          </w:tcPr>
          <w:p>
            <w:pPr>
              <w:ind w:left="220"/>
              <w:spacing w:after="0"/>
              <w:rPr>
                <w:sz w:val="20"/>
                <w:szCs w:val="20"/>
                <w:color w:val="auto"/>
              </w:rPr>
            </w:pPr>
            <w:r>
              <w:rPr>
                <w:rFonts w:ascii="Arial" w:cs="Arial" w:eastAsia="Arial" w:hAnsi="Arial"/>
                <w:sz w:val="18"/>
                <w:szCs w:val="18"/>
                <w:color w:val="auto"/>
              </w:rPr>
              <w:t>L.L.C.</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12405 P</w:t>
            </w:r>
            <w:r>
              <w:rPr>
                <w:rFonts w:ascii="Arial" w:cs="Arial" w:eastAsia="Arial" w:hAnsi="Arial"/>
                <w:sz w:val="14"/>
                <w:szCs w:val="14"/>
                <w:color w:val="auto"/>
              </w:rPr>
              <w:t>OWERSCOURT</w:t>
            </w:r>
            <w:r>
              <w:rPr>
                <w:rFonts w:ascii="Arial" w:cs="Arial" w:eastAsia="Arial" w:hAnsi="Arial"/>
                <w:sz w:val="18"/>
                <w:szCs w:val="18"/>
                <w:color w:val="auto"/>
              </w:rPr>
              <w:t xml:space="preserve"> D</w:t>
            </w:r>
            <w:r>
              <w:rPr>
                <w:rFonts w:ascii="Arial" w:cs="Arial" w:eastAsia="Arial" w:hAnsi="Arial"/>
                <w:sz w:val="14"/>
                <w:szCs w:val="14"/>
                <w:color w:val="auto"/>
              </w:rPr>
              <w:t>RIVE</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w:t>
            </w:r>
            <w:r>
              <w:rPr>
                <w:rFonts w:ascii="Arial" w:cs="Arial" w:eastAsia="Arial" w:hAnsi="Arial"/>
                <w:sz w:val="18"/>
                <w:szCs w:val="18"/>
                <w:color w:val="auto"/>
              </w:rPr>
              <w:t>. L</w:t>
            </w:r>
            <w:r>
              <w:rPr>
                <w:rFonts w:ascii="Arial" w:cs="Arial" w:eastAsia="Arial" w:hAnsi="Arial"/>
                <w:sz w:val="14"/>
                <w:szCs w:val="14"/>
                <w:color w:val="auto"/>
              </w:rPr>
              <w:t>OUIS</w:t>
            </w:r>
            <w:r>
              <w:rPr>
                <w:rFonts w:ascii="Arial" w:cs="Arial" w:eastAsia="Arial" w:hAnsi="Arial"/>
                <w:sz w:val="18"/>
                <w:szCs w:val="18"/>
                <w:color w:val="auto"/>
              </w:rPr>
              <w:t>, M</w:t>
            </w:r>
            <w:r>
              <w:rPr>
                <w:rFonts w:ascii="Arial" w:cs="Arial" w:eastAsia="Arial" w:hAnsi="Arial"/>
                <w:sz w:val="14"/>
                <w:szCs w:val="14"/>
                <w:color w:val="auto"/>
              </w:rPr>
              <w:t>O</w:t>
            </w:r>
            <w:r>
              <w:rPr>
                <w:rFonts w:ascii="Arial" w:cs="Arial" w:eastAsia="Arial" w:hAnsi="Arial"/>
                <w:sz w:val="18"/>
                <w:szCs w:val="18"/>
                <w:color w:val="auto"/>
              </w:rPr>
              <w:t xml:space="preserve"> 63131</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OHR</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 E</w:t>
            </w:r>
            <w:r>
              <w:rPr>
                <w:rFonts w:ascii="Arial" w:cs="Arial" w:eastAsia="Arial" w:hAnsi="Arial"/>
                <w:sz w:val="14"/>
                <w:szCs w:val="14"/>
                <w:color w:val="auto"/>
              </w:rPr>
              <w:t>DUCATION</w:t>
            </w:r>
            <w:r>
              <w:rPr>
                <w:rFonts w:ascii="Arial" w:cs="Arial" w:eastAsia="Arial" w:hAnsi="Arial"/>
                <w:sz w:val="18"/>
                <w:szCs w:val="18"/>
                <w:color w:val="auto"/>
              </w:rPr>
              <w:t xml:space="preserve"> &amp;</w:t>
            </w:r>
          </w:p>
        </w:tc>
        <w:tc>
          <w:tcPr>
            <w:tcW w:w="42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21540 P</w:t>
            </w:r>
            <w:r>
              <w:rPr>
                <w:rFonts w:ascii="Arial" w:cs="Arial" w:eastAsia="Arial" w:hAnsi="Arial"/>
                <w:sz w:val="14"/>
                <w:szCs w:val="14"/>
                <w:color w:val="auto"/>
              </w:rPr>
              <w:t>LUMMER</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00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400</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HATSWORTH</w:t>
            </w:r>
            <w:r>
              <w:rPr>
                <w:rFonts w:ascii="Arial" w:cs="Arial" w:eastAsia="Arial" w:hAnsi="Arial"/>
                <w:sz w:val="18"/>
                <w:szCs w:val="18"/>
                <w:color w:val="auto"/>
              </w:rPr>
              <w:t>, CA 91311</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37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ONSOLIDATED</w:t>
            </w:r>
            <w:r>
              <w:rPr>
                <w:rFonts w:ascii="Arial" w:cs="Arial" w:eastAsia="Arial" w:hAnsi="Arial"/>
                <w:sz w:val="18"/>
                <w:szCs w:val="18"/>
                <w:color w:val="auto"/>
              </w:rPr>
              <w:t xml:space="preserve"> F</w:t>
            </w:r>
            <w:r>
              <w:rPr>
                <w:rFonts w:ascii="Arial" w:cs="Arial" w:eastAsia="Arial" w:hAnsi="Arial"/>
                <w:sz w:val="14"/>
                <w:szCs w:val="14"/>
                <w:color w:val="auto"/>
              </w:rPr>
              <w:t>OUNDRIES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w w:val="96"/>
              </w:rPr>
              <w:t>A</w:t>
            </w:r>
            <w:r>
              <w:rPr>
                <w:rFonts w:ascii="Arial" w:cs="Arial" w:eastAsia="Arial" w:hAnsi="Arial"/>
                <w:sz w:val="14"/>
                <w:szCs w:val="14"/>
                <w:color w:val="auto"/>
                <w:w w:val="96"/>
              </w:rPr>
              <w:t>EROSPACE</w:t>
            </w:r>
            <w:r>
              <w:rPr>
                <w:rFonts w:ascii="Arial" w:cs="Arial" w:eastAsia="Arial" w:hAnsi="Arial"/>
                <w:sz w:val="18"/>
                <w:szCs w:val="18"/>
                <w:color w:val="auto"/>
                <w:w w:val="96"/>
              </w:rPr>
              <w:t xml:space="preserve"> &amp; D</w:t>
            </w:r>
            <w:r>
              <w:rPr>
                <w:rFonts w:ascii="Arial" w:cs="Arial" w:eastAsia="Arial" w:hAnsi="Arial"/>
                <w:sz w:val="14"/>
                <w:szCs w:val="14"/>
                <w:color w:val="auto"/>
                <w:w w:val="96"/>
              </w:rPr>
              <w:t>EFENSE</w:t>
            </w:r>
          </w:p>
        </w:tc>
        <w:tc>
          <w:tcPr>
            <w:tcW w:w="42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88"/>
              </w:rPr>
              <w:t>Subordinate Debt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4200 V</w:t>
            </w:r>
            <w:r>
              <w:rPr>
                <w:rFonts w:ascii="Arial" w:cs="Arial" w:eastAsia="Arial" w:hAnsi="Arial"/>
                <w:sz w:val="14"/>
                <w:szCs w:val="14"/>
                <w:color w:val="auto"/>
              </w:rPr>
              <w:t>ALLEY</w:t>
            </w:r>
            <w:r>
              <w:rPr>
                <w:rFonts w:ascii="Arial" w:cs="Arial" w:eastAsia="Arial" w:hAnsi="Arial"/>
                <w:sz w:val="18"/>
                <w:szCs w:val="18"/>
                <w:color w:val="auto"/>
              </w:rPr>
              <w:t xml:space="preserve"> B</w:t>
            </w:r>
            <w:r>
              <w:rPr>
                <w:rFonts w:ascii="Arial" w:cs="Arial" w:eastAsia="Arial" w:hAnsi="Arial"/>
                <w:sz w:val="14"/>
                <w:szCs w:val="14"/>
                <w:color w:val="auto"/>
              </w:rPr>
              <w:t>LVD</w:t>
            </w:r>
            <w:r>
              <w:rPr>
                <w:rFonts w:ascii="Arial" w:cs="Arial" w:eastAsia="Arial" w:hAnsi="Arial"/>
                <w:sz w:val="18"/>
                <w:szCs w:val="18"/>
                <w:color w:val="auto"/>
              </w:rPr>
              <w:t>.</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89"/>
              </w:rPr>
              <w:t>Preferred Equity</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OMONA</w:t>
            </w:r>
            <w:r>
              <w:rPr>
                <w:rFonts w:ascii="Arial" w:cs="Arial" w:eastAsia="Arial" w:hAnsi="Arial"/>
                <w:sz w:val="18"/>
                <w:szCs w:val="18"/>
                <w:color w:val="auto"/>
              </w:rPr>
              <w:t>, CA 91766</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90"/>
              </w:rPr>
              <w:t>Common Equity</w:t>
            </w: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ATEHOUSE</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EDIA</w:t>
            </w:r>
          </w:p>
        </w:tc>
        <w:tc>
          <w:tcPr>
            <w:tcW w:w="42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350 W</w:t>
            </w:r>
            <w:r>
              <w:rPr>
                <w:rFonts w:ascii="Arial" w:cs="Arial" w:eastAsia="Arial" w:hAnsi="Arial"/>
                <w:sz w:val="14"/>
                <w:szCs w:val="14"/>
                <w:color w:val="auto"/>
              </w:rPr>
              <w:t>ILLOWBROOK</w:t>
            </w:r>
            <w:r>
              <w:rPr>
                <w:rFonts w:ascii="Arial" w:cs="Arial" w:eastAsia="Arial" w:hAnsi="Arial"/>
                <w:sz w:val="18"/>
                <w:szCs w:val="18"/>
                <w:color w:val="auto"/>
              </w:rPr>
              <w:t xml:space="preserve"> O</w:t>
            </w:r>
            <w:r>
              <w:rPr>
                <w:rFonts w:ascii="Arial" w:cs="Arial" w:eastAsia="Arial" w:hAnsi="Arial"/>
                <w:sz w:val="14"/>
                <w:szCs w:val="14"/>
                <w:color w:val="auto"/>
              </w:rPr>
              <w:t>FFICE</w:t>
            </w:r>
            <w:r>
              <w:rPr>
                <w:rFonts w:ascii="Arial" w:cs="Arial" w:eastAsia="Arial" w:hAnsi="Arial"/>
                <w:sz w:val="18"/>
                <w:szCs w:val="18"/>
                <w:color w:val="auto"/>
              </w:rPr>
              <w:t xml:space="preserve"> P</w:t>
            </w:r>
            <w:r>
              <w:rPr>
                <w:rFonts w:ascii="Arial" w:cs="Arial" w:eastAsia="Arial" w:hAnsi="Arial"/>
                <w:sz w:val="14"/>
                <w:szCs w:val="14"/>
                <w:color w:val="auto"/>
              </w:rPr>
              <w:t>ARK</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AIRPORT</w:t>
            </w:r>
            <w:r>
              <w:rPr>
                <w:rFonts w:ascii="Arial" w:cs="Arial" w:eastAsia="Arial" w:hAnsi="Arial"/>
                <w:sz w:val="18"/>
                <w:szCs w:val="18"/>
                <w:color w:val="auto"/>
              </w:rPr>
              <w:t>, NY 14450</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ENERAL</w:t>
            </w:r>
            <w:r>
              <w:rPr>
                <w:rFonts w:ascii="Arial" w:cs="Arial" w:eastAsia="Arial" w:hAnsi="Arial"/>
                <w:sz w:val="18"/>
                <w:szCs w:val="18"/>
                <w:color w:val="auto"/>
              </w:rPr>
              <w:t xml:space="preserve"> N</w:t>
            </w:r>
            <w:r>
              <w:rPr>
                <w:rFonts w:ascii="Arial" w:cs="Arial" w:eastAsia="Arial" w:hAnsi="Arial"/>
                <w:sz w:val="14"/>
                <w:szCs w:val="14"/>
                <w:color w:val="auto"/>
              </w:rPr>
              <w:t>UTRITION</w:t>
            </w:r>
            <w:r>
              <w:rPr>
                <w:rFonts w:ascii="Arial" w:cs="Arial" w:eastAsia="Arial" w:hAnsi="Arial"/>
                <w:sz w:val="18"/>
                <w:szCs w:val="18"/>
                <w:color w:val="auto"/>
              </w:rPr>
              <w:t xml:space="preserve"> C</w:t>
            </w:r>
            <w:r>
              <w:rPr>
                <w:rFonts w:ascii="Arial" w:cs="Arial" w:eastAsia="Arial" w:hAnsi="Arial"/>
                <w:sz w:val="14"/>
                <w:szCs w:val="14"/>
                <w:color w:val="auto"/>
              </w:rPr>
              <w:t>ENTERS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ETAIL</w:t>
            </w:r>
            <w:r>
              <w:rPr>
                <w:rFonts w:ascii="Arial" w:cs="Arial" w:eastAsia="Arial" w:hAnsi="Arial"/>
                <w:sz w:val="18"/>
                <w:szCs w:val="18"/>
                <w:color w:val="auto"/>
                <w:w w:val="98"/>
              </w:rPr>
              <w:t xml:space="preserve"> S</w:t>
            </w:r>
            <w:r>
              <w:rPr>
                <w:rFonts w:ascii="Arial" w:cs="Arial" w:eastAsia="Arial" w:hAnsi="Arial"/>
                <w:sz w:val="14"/>
                <w:szCs w:val="14"/>
                <w:color w:val="auto"/>
                <w:w w:val="98"/>
              </w:rPr>
              <w:t>TORE</w:t>
            </w:r>
          </w:p>
        </w:tc>
        <w:tc>
          <w:tcPr>
            <w:tcW w:w="42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300 S</w:t>
            </w:r>
            <w:r>
              <w:rPr>
                <w:rFonts w:ascii="Arial" w:cs="Arial" w:eastAsia="Arial" w:hAnsi="Arial"/>
                <w:sz w:val="14"/>
                <w:szCs w:val="14"/>
                <w:color w:val="auto"/>
              </w:rPr>
              <w:t>IXTH</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ITTSBURGH</w:t>
            </w:r>
            <w:r>
              <w:rPr>
                <w:rFonts w:ascii="Arial" w:cs="Arial" w:eastAsia="Arial" w:hAnsi="Arial"/>
                <w:sz w:val="18"/>
                <w:szCs w:val="18"/>
                <w:color w:val="auto"/>
              </w:rPr>
              <w:t>, PA 15222</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ENERICS</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xml:space="preserve"> (U.S.), I</w:t>
            </w:r>
            <w:r>
              <w:rPr>
                <w:rFonts w:ascii="Arial" w:cs="Arial" w:eastAsia="Arial" w:hAnsi="Arial"/>
                <w:sz w:val="14"/>
                <w:szCs w:val="14"/>
                <w:color w:val="auto"/>
              </w:rPr>
              <w:t>NC</w:t>
            </w:r>
            <w:r>
              <w:rPr>
                <w:rFonts w:ascii="Arial" w:cs="Arial" w:eastAsia="Arial" w:hAnsi="Arial"/>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 E</w:t>
            </w:r>
            <w:r>
              <w:rPr>
                <w:rFonts w:ascii="Arial" w:cs="Arial" w:eastAsia="Arial" w:hAnsi="Arial"/>
                <w:sz w:val="14"/>
                <w:szCs w:val="14"/>
                <w:color w:val="auto"/>
              </w:rPr>
              <w:t>DUCATION</w:t>
            </w:r>
            <w:r>
              <w:rPr>
                <w:rFonts w:ascii="Arial" w:cs="Arial" w:eastAsia="Arial" w:hAnsi="Arial"/>
                <w:sz w:val="18"/>
                <w:szCs w:val="18"/>
                <w:color w:val="auto"/>
              </w:rPr>
              <w:t xml:space="preserve"> &amp;</w:t>
            </w:r>
          </w:p>
        </w:tc>
        <w:tc>
          <w:tcPr>
            <w:tcW w:w="42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2"/>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130 V</w:t>
            </w:r>
            <w:r>
              <w:rPr>
                <w:rFonts w:ascii="Arial" w:cs="Arial" w:eastAsia="Arial" w:hAnsi="Arial"/>
                <w:sz w:val="14"/>
                <w:szCs w:val="14"/>
                <w:color w:val="auto"/>
              </w:rPr>
              <w:t>INTAGE</w:t>
            </w:r>
            <w:r>
              <w:rPr>
                <w:rFonts w:ascii="Arial" w:cs="Arial" w:eastAsia="Arial" w:hAnsi="Arial"/>
                <w:sz w:val="18"/>
                <w:szCs w:val="18"/>
                <w:color w:val="auto"/>
              </w:rPr>
              <w:t xml:space="preserve"> D</w:t>
            </w:r>
            <w:r>
              <w:rPr>
                <w:rFonts w:ascii="Arial" w:cs="Arial" w:eastAsia="Arial" w:hAnsi="Arial"/>
                <w:sz w:val="14"/>
                <w:szCs w:val="14"/>
                <w:color w:val="auto"/>
              </w:rPr>
              <w:t>RIVE</w:t>
            </w:r>
          </w:p>
        </w:tc>
        <w:tc>
          <w:tcPr>
            <w:tcW w:w="300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80" w:type="dxa"/>
            <w:vAlign w:val="bottom"/>
            <w:gridSpan w:val="2"/>
            <w:vMerge w:val="continue"/>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UNTSVILLE</w:t>
            </w:r>
            <w:r>
              <w:rPr>
                <w:rFonts w:ascii="Arial" w:cs="Arial" w:eastAsia="Arial" w:hAnsi="Arial"/>
                <w:sz w:val="18"/>
                <w:szCs w:val="18"/>
                <w:color w:val="auto"/>
              </w:rPr>
              <w:t>, AL 35811</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REATWIDE</w:t>
            </w:r>
            <w:r>
              <w:rPr>
                <w:rFonts w:ascii="Arial" w:cs="Arial" w:eastAsia="Arial" w:hAnsi="Arial"/>
                <w:sz w:val="18"/>
                <w:szCs w:val="18"/>
                <w:color w:val="auto"/>
              </w:rPr>
              <w:t xml:space="preserve"> L</w:t>
            </w:r>
            <w:r>
              <w:rPr>
                <w:rFonts w:ascii="Arial" w:cs="Arial" w:eastAsia="Arial" w:hAnsi="Arial"/>
                <w:sz w:val="14"/>
                <w:szCs w:val="14"/>
                <w:color w:val="auto"/>
              </w:rPr>
              <w:t>OGISTICS</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ARGO</w:t>
            </w:r>
            <w:r>
              <w:rPr>
                <w:rFonts w:ascii="Arial" w:cs="Arial" w:eastAsia="Arial" w:hAnsi="Arial"/>
                <w:sz w:val="18"/>
                <w:szCs w:val="18"/>
                <w:color w:val="auto"/>
                <w:w w:val="97"/>
              </w:rPr>
              <w:t xml:space="preserve"> T</w:t>
            </w:r>
            <w:r>
              <w:rPr>
                <w:rFonts w:ascii="Arial" w:cs="Arial" w:eastAsia="Arial" w:hAnsi="Arial"/>
                <w:sz w:val="14"/>
                <w:szCs w:val="14"/>
                <w:color w:val="auto"/>
                <w:w w:val="97"/>
              </w:rPr>
              <w:t>RANSPORT</w:t>
            </w:r>
          </w:p>
        </w:tc>
        <w:tc>
          <w:tcPr>
            <w:tcW w:w="42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12404 P</w:t>
            </w:r>
            <w:r>
              <w:rPr>
                <w:rFonts w:ascii="Arial" w:cs="Arial" w:eastAsia="Arial" w:hAnsi="Arial"/>
                <w:sz w:val="14"/>
                <w:szCs w:val="14"/>
                <w:color w:val="auto"/>
              </w:rPr>
              <w:t>ARK</w:t>
            </w:r>
            <w:r>
              <w:rPr>
                <w:rFonts w:ascii="Arial" w:cs="Arial" w:eastAsia="Arial" w:hAnsi="Arial"/>
                <w:sz w:val="18"/>
                <w:szCs w:val="18"/>
                <w:color w:val="auto"/>
              </w:rPr>
              <w:t xml:space="preserve"> C</w:t>
            </w:r>
            <w:r>
              <w:rPr>
                <w:rFonts w:ascii="Arial" w:cs="Arial" w:eastAsia="Arial" w:hAnsi="Arial"/>
                <w:sz w:val="14"/>
                <w:szCs w:val="14"/>
                <w:color w:val="auto"/>
              </w:rPr>
              <w:t>ENTRAL</w:t>
            </w:r>
            <w:r>
              <w:rPr>
                <w:rFonts w:ascii="Arial" w:cs="Arial" w:eastAsia="Arial" w:hAnsi="Arial"/>
                <w:sz w:val="18"/>
                <w:szCs w:val="18"/>
                <w:color w:val="auto"/>
              </w:rPr>
              <w:t xml:space="preserve"> D</w:t>
            </w:r>
            <w:r>
              <w:rPr>
                <w:rFonts w:ascii="Arial" w:cs="Arial" w:eastAsia="Arial" w:hAnsi="Arial"/>
                <w:sz w:val="14"/>
                <w:szCs w:val="14"/>
                <w:color w:val="auto"/>
              </w:rPr>
              <w:t>R</w:t>
            </w:r>
            <w:r>
              <w:rPr>
                <w:rFonts w:ascii="Arial" w:cs="Arial" w:eastAsia="Arial" w:hAnsi="Arial"/>
                <w:sz w:val="18"/>
                <w:szCs w:val="18"/>
                <w:color w:val="auto"/>
              </w:rPr>
              <w:t>.</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3000</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OUTH</w:t>
            </w:r>
            <w:r>
              <w:rPr>
                <w:rFonts w:ascii="Arial" w:cs="Arial" w:eastAsia="Arial" w:hAnsi="Arial"/>
                <w:sz w:val="18"/>
                <w:szCs w:val="18"/>
                <w:color w:val="auto"/>
              </w:rPr>
              <w:t xml:space="preserve"> D</w:t>
            </w:r>
            <w:r>
              <w:rPr>
                <w:rFonts w:ascii="Arial" w:cs="Arial" w:eastAsia="Arial" w:hAnsi="Arial"/>
                <w:sz w:val="14"/>
                <w:szCs w:val="14"/>
                <w:color w:val="auto"/>
              </w:rPr>
              <w:t>ALLAS</w:t>
            </w:r>
            <w:r>
              <w:rPr>
                <w:rFonts w:ascii="Arial" w:cs="Arial" w:eastAsia="Arial" w:hAnsi="Arial"/>
                <w:sz w:val="18"/>
                <w:szCs w:val="18"/>
                <w:color w:val="auto"/>
              </w:rPr>
              <w:t>, TX 75251</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ANLEY</w:t>
            </w:r>
            <w:r>
              <w:rPr>
                <w:rFonts w:ascii="Arial" w:cs="Arial" w:eastAsia="Arial" w:hAnsi="Arial"/>
                <w:sz w:val="18"/>
                <w:szCs w:val="18"/>
                <w:color w:val="auto"/>
              </w:rPr>
              <w:t>-W</w:t>
            </w:r>
            <w:r>
              <w:rPr>
                <w:rFonts w:ascii="Arial" w:cs="Arial" w:eastAsia="Arial" w:hAnsi="Arial"/>
                <w:sz w:val="14"/>
                <w:szCs w:val="14"/>
                <w:color w:val="auto"/>
              </w:rPr>
              <w:t>OOD</w:t>
            </w:r>
            <w:r>
              <w:rPr>
                <w:rFonts w:ascii="Arial" w:cs="Arial" w:eastAsia="Arial" w:hAnsi="Arial"/>
                <w:sz w:val="18"/>
                <w:szCs w:val="18"/>
                <w:color w:val="auto"/>
              </w:rPr>
              <w:t>, L.L.C.</w:t>
            </w:r>
          </w:p>
        </w:tc>
        <w:tc>
          <w:tcPr>
            <w:tcW w:w="300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42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NE</w:t>
            </w:r>
            <w:r>
              <w:rPr>
                <w:rFonts w:ascii="Arial" w:cs="Arial" w:eastAsia="Arial" w:hAnsi="Arial"/>
                <w:sz w:val="18"/>
                <w:szCs w:val="18"/>
                <w:color w:val="auto"/>
              </w:rPr>
              <w:t xml:space="preserve"> T</w:t>
            </w:r>
            <w:r>
              <w:rPr>
                <w:rFonts w:ascii="Arial" w:cs="Arial" w:eastAsia="Arial" w:hAnsi="Arial"/>
                <w:sz w:val="14"/>
                <w:szCs w:val="14"/>
                <w:color w:val="auto"/>
              </w:rPr>
              <w:t>HOMAS</w:t>
            </w:r>
            <w:r>
              <w:rPr>
                <w:rFonts w:ascii="Arial" w:cs="Arial" w:eastAsia="Arial" w:hAnsi="Arial"/>
                <w:sz w:val="18"/>
                <w:szCs w:val="18"/>
                <w:color w:val="auto"/>
              </w:rPr>
              <w:t xml:space="preserve"> C</w:t>
            </w:r>
            <w:r>
              <w:rPr>
                <w:rFonts w:ascii="Arial" w:cs="Arial" w:eastAsia="Arial" w:hAnsi="Arial"/>
                <w:sz w:val="14"/>
                <w:szCs w:val="14"/>
                <w:color w:val="auto"/>
              </w:rPr>
              <w:t>IRCLE</w:t>
            </w:r>
            <w:r>
              <w:rPr>
                <w:rFonts w:ascii="Arial" w:cs="Arial" w:eastAsia="Arial" w:hAnsi="Arial"/>
                <w:sz w:val="18"/>
                <w:szCs w:val="18"/>
                <w:color w:val="auto"/>
              </w:rPr>
              <w:t>, NW</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600</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ASHINGTON</w:t>
            </w:r>
            <w:r>
              <w:rPr>
                <w:rFonts w:ascii="Arial" w:cs="Arial" w:eastAsia="Arial" w:hAnsi="Arial"/>
                <w:sz w:val="18"/>
                <w:szCs w:val="18"/>
                <w:color w:val="auto"/>
              </w:rPr>
              <w:t>, DC 20005</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AWKER</w:t>
            </w:r>
            <w:r>
              <w:rPr>
                <w:rFonts w:ascii="Arial" w:cs="Arial" w:eastAsia="Arial" w:hAnsi="Arial"/>
                <w:sz w:val="18"/>
                <w:szCs w:val="18"/>
                <w:color w:val="auto"/>
              </w:rPr>
              <w:t xml:space="preserve"> B</w:t>
            </w:r>
            <w:r>
              <w:rPr>
                <w:rFonts w:ascii="Arial" w:cs="Arial" w:eastAsia="Arial" w:hAnsi="Arial"/>
                <w:sz w:val="14"/>
                <w:szCs w:val="14"/>
                <w:color w:val="auto"/>
              </w:rPr>
              <w:t>EECHCRAFT</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w w:val="96"/>
              </w:rPr>
              <w:t>A</w:t>
            </w:r>
            <w:r>
              <w:rPr>
                <w:rFonts w:ascii="Arial" w:cs="Arial" w:eastAsia="Arial" w:hAnsi="Arial"/>
                <w:sz w:val="14"/>
                <w:szCs w:val="14"/>
                <w:color w:val="auto"/>
                <w:w w:val="96"/>
              </w:rPr>
              <w:t>EROSPACE</w:t>
            </w:r>
            <w:r>
              <w:rPr>
                <w:rFonts w:ascii="Arial" w:cs="Arial" w:eastAsia="Arial" w:hAnsi="Arial"/>
                <w:sz w:val="18"/>
                <w:szCs w:val="18"/>
                <w:color w:val="auto"/>
                <w:w w:val="96"/>
              </w:rPr>
              <w:t xml:space="preserve"> &amp; D</w:t>
            </w:r>
            <w:r>
              <w:rPr>
                <w:rFonts w:ascii="Arial" w:cs="Arial" w:eastAsia="Arial" w:hAnsi="Arial"/>
                <w:sz w:val="14"/>
                <w:szCs w:val="14"/>
                <w:color w:val="auto"/>
                <w:w w:val="96"/>
              </w:rPr>
              <w:t>EFENSE</w:t>
            </w:r>
          </w:p>
        </w:tc>
        <w:tc>
          <w:tcPr>
            <w:tcW w:w="42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P.O. B</w:t>
            </w:r>
            <w:r>
              <w:rPr>
                <w:rFonts w:ascii="Arial" w:cs="Arial" w:eastAsia="Arial" w:hAnsi="Arial"/>
                <w:sz w:val="14"/>
                <w:szCs w:val="14"/>
                <w:color w:val="auto"/>
              </w:rPr>
              <w:t>OX</w:t>
            </w:r>
            <w:r>
              <w:rPr>
                <w:rFonts w:ascii="Arial" w:cs="Arial" w:eastAsia="Arial" w:hAnsi="Arial"/>
                <w:sz w:val="18"/>
                <w:szCs w:val="18"/>
                <w:color w:val="auto"/>
              </w:rPr>
              <w:t xml:space="preserve"> 85</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ICHITA</w:t>
            </w:r>
            <w:r>
              <w:rPr>
                <w:rFonts w:ascii="Arial" w:cs="Arial" w:eastAsia="Arial" w:hAnsi="Arial"/>
                <w:sz w:val="18"/>
                <w:szCs w:val="18"/>
                <w:color w:val="auto"/>
              </w:rPr>
              <w:t>, KS 67201</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w:t>
            </w:r>
            <w:r>
              <w:rPr>
                <w:rFonts w:ascii="Arial" w:cs="Arial" w:eastAsia="Arial" w:hAnsi="Arial"/>
                <w:sz w:val="18"/>
                <w:szCs w:val="18"/>
                <w:color w:val="auto"/>
              </w:rPr>
              <w:t xml:space="preserve"> M</w:t>
            </w:r>
            <w:r>
              <w:rPr>
                <w:rFonts w:ascii="Arial" w:cs="Arial" w:eastAsia="Arial" w:hAnsi="Arial"/>
                <w:sz w:val="14"/>
                <w:szCs w:val="14"/>
                <w:color w:val="auto"/>
              </w:rPr>
              <w:t>ANAGEMENT</w:t>
            </w:r>
            <w:r>
              <w:rPr>
                <w:rFonts w:ascii="Arial" w:cs="Arial" w:eastAsia="Arial" w:hAnsi="Arial"/>
                <w:sz w:val="18"/>
                <w:szCs w:val="18"/>
                <w:color w:val="auto"/>
              </w:rPr>
              <w:t xml:space="preserve"> A</w:t>
            </w:r>
            <w:r>
              <w:rPr>
                <w:rFonts w:ascii="Arial" w:cs="Arial" w:eastAsia="Arial" w:hAnsi="Arial"/>
                <w:sz w:val="14"/>
                <w:szCs w:val="14"/>
                <w:color w:val="auto"/>
              </w:rPr>
              <w:t>SSOCIATES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 E</w:t>
            </w:r>
            <w:r>
              <w:rPr>
                <w:rFonts w:ascii="Arial" w:cs="Arial" w:eastAsia="Arial" w:hAnsi="Arial"/>
                <w:sz w:val="14"/>
                <w:szCs w:val="14"/>
                <w:color w:val="auto"/>
              </w:rPr>
              <w:t>DUCATION</w:t>
            </w:r>
            <w:r>
              <w:rPr>
                <w:rFonts w:ascii="Arial" w:cs="Arial" w:eastAsia="Arial" w:hAnsi="Arial"/>
                <w:sz w:val="18"/>
                <w:szCs w:val="18"/>
                <w:color w:val="auto"/>
              </w:rPr>
              <w:t xml:space="preserve"> &amp;</w:t>
            </w:r>
          </w:p>
        </w:tc>
        <w:tc>
          <w:tcPr>
            <w:tcW w:w="42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2"/>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5811 P</w:t>
            </w:r>
            <w:r>
              <w:rPr>
                <w:rFonts w:ascii="Arial" w:cs="Arial" w:eastAsia="Arial" w:hAnsi="Arial"/>
                <w:sz w:val="14"/>
                <w:szCs w:val="14"/>
                <w:color w:val="auto"/>
              </w:rPr>
              <w:t>ELICAN</w:t>
            </w:r>
            <w:r>
              <w:rPr>
                <w:rFonts w:ascii="Arial" w:cs="Arial" w:eastAsia="Arial" w:hAnsi="Arial"/>
                <w:sz w:val="18"/>
                <w:szCs w:val="18"/>
                <w:color w:val="auto"/>
              </w:rPr>
              <w:t xml:space="preserve"> B</w:t>
            </w:r>
            <w:r>
              <w:rPr>
                <w:rFonts w:ascii="Arial" w:cs="Arial" w:eastAsia="Arial" w:hAnsi="Arial"/>
                <w:sz w:val="14"/>
                <w:szCs w:val="14"/>
                <w:color w:val="auto"/>
              </w:rPr>
              <w:t>AY</w:t>
            </w:r>
            <w:r>
              <w:rPr>
                <w:rFonts w:ascii="Arial" w:cs="Arial" w:eastAsia="Arial" w:hAnsi="Arial"/>
                <w:sz w:val="18"/>
                <w:szCs w:val="18"/>
                <w:color w:val="auto"/>
              </w:rPr>
              <w:t xml:space="preserve"> B</w:t>
            </w:r>
            <w:r>
              <w:rPr>
                <w:rFonts w:ascii="Arial" w:cs="Arial" w:eastAsia="Arial" w:hAnsi="Arial"/>
                <w:sz w:val="14"/>
                <w:szCs w:val="14"/>
                <w:color w:val="auto"/>
              </w:rPr>
              <w:t>LVD</w:t>
            </w:r>
            <w:r>
              <w:rPr>
                <w:rFonts w:ascii="Arial" w:cs="Arial" w:eastAsia="Arial" w:hAnsi="Arial"/>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80" w:type="dxa"/>
            <w:vAlign w:val="bottom"/>
            <w:gridSpan w:val="2"/>
            <w:vMerge w:val="continue"/>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500</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APLES</w:t>
            </w:r>
            <w:r>
              <w:rPr>
                <w:rFonts w:ascii="Arial" w:cs="Arial" w:eastAsia="Arial" w:hAnsi="Arial"/>
                <w:sz w:val="18"/>
                <w:szCs w:val="18"/>
                <w:color w:val="auto"/>
              </w:rPr>
              <w:t>, FL 34108</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19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000" w:type="dxa"/>
            <w:vAlign w:val="bottom"/>
          </w:tcPr>
          <w:p>
            <w:pPr>
              <w:jc w:val="right"/>
              <w:ind w:right="893"/>
              <w:spacing w:after="0"/>
              <w:rPr>
                <w:sz w:val="20"/>
                <w:szCs w:val="20"/>
                <w:color w:val="auto"/>
              </w:rPr>
            </w:pPr>
            <w:r>
              <w:rPr>
                <w:rFonts w:ascii="Arial" w:cs="Arial" w:eastAsia="Arial" w:hAnsi="Arial"/>
                <w:sz w:val="18"/>
                <w:szCs w:val="18"/>
                <w:color w:val="auto"/>
              </w:rPr>
              <w:t>56</w:t>
            </w:r>
          </w:p>
        </w:tc>
        <w:tc>
          <w:tcPr>
            <w:tcW w:w="4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w:t>
            </w:r>
          </w:p>
        </w:tc>
      </w:tr>
      <w:tr>
        <w:trPr>
          <w:trHeight w:val="161"/>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Portfolio</w:t>
            </w:r>
          </w:p>
        </w:tc>
        <w:tc>
          <w:tcPr>
            <w:tcW w:w="3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4"/>
              </w:rPr>
              <w:t>of Class</w:t>
            </w:r>
          </w:p>
        </w:tc>
      </w:tr>
      <w:tr>
        <w:trPr>
          <w:trHeight w:val="176"/>
        </w:trPr>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Company</w:t>
            </w:r>
          </w:p>
        </w:tc>
        <w:tc>
          <w:tcPr>
            <w:tcW w:w="1960" w:type="dxa"/>
            <w:vAlign w:val="bottom"/>
          </w:tcPr>
          <w:p>
            <w:pPr>
              <w:spacing w:after="0"/>
              <w:rPr>
                <w:sz w:val="15"/>
                <w:szCs w:val="15"/>
                <w:color w:val="auto"/>
              </w:rPr>
            </w:pP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Nature of Business</w:t>
            </w:r>
          </w:p>
        </w:tc>
        <w:tc>
          <w:tcPr>
            <w:tcW w:w="420" w:type="dxa"/>
            <w:vAlign w:val="bottom"/>
          </w:tcPr>
          <w:p>
            <w:pPr>
              <w:spacing w:after="0"/>
              <w:rPr>
                <w:sz w:val="15"/>
                <w:szCs w:val="15"/>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Type of Investment</w:t>
            </w:r>
          </w:p>
        </w:tc>
        <w:tc>
          <w:tcPr>
            <w:tcW w:w="420" w:type="dxa"/>
            <w:vAlign w:val="bottom"/>
          </w:tcPr>
          <w:p>
            <w:pPr>
              <w:spacing w:after="0"/>
              <w:rPr>
                <w:sz w:val="15"/>
                <w:szCs w:val="15"/>
                <w:color w:val="auto"/>
              </w:rPr>
            </w:pPr>
          </w:p>
        </w:tc>
        <w:tc>
          <w:tcPr>
            <w:tcW w:w="6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89"/>
              </w:rPr>
              <w:t>Held</w:t>
            </w:r>
            <w:r>
              <w:rPr>
                <w:rFonts w:ascii="Arial" w:cs="Arial" w:eastAsia="Arial" w:hAnsi="Arial"/>
                <w:sz w:val="20"/>
                <w:szCs w:val="20"/>
                <w:b w:val="1"/>
                <w:bCs w:val="1"/>
                <w:color w:val="auto"/>
                <w:w w:val="89"/>
                <w:vertAlign w:val="superscript"/>
              </w:rPr>
              <w:t>(1)</w:t>
            </w:r>
          </w:p>
        </w:tc>
      </w:tr>
      <w:tr>
        <w:trPr>
          <w:trHeight w:val="201"/>
        </w:trPr>
        <w:tc>
          <w:tcPr>
            <w:tcW w:w="3860" w:type="dxa"/>
            <w:vAlign w:val="bottom"/>
            <w:gridSpan w:val="2"/>
          </w:tcPr>
          <w:p>
            <w:pPr>
              <w:spacing w:after="0" w:line="201" w:lineRule="exact"/>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UGHES</w:t>
            </w:r>
            <w:r>
              <w:rPr>
                <w:rFonts w:ascii="Arial" w:cs="Arial" w:eastAsia="Arial" w:hAnsi="Arial"/>
                <w:sz w:val="18"/>
                <w:szCs w:val="18"/>
                <w:color w:val="auto"/>
              </w:rPr>
              <w:t xml:space="preserve"> N</w:t>
            </w:r>
            <w:r>
              <w:rPr>
                <w:rFonts w:ascii="Arial" w:cs="Arial" w:eastAsia="Arial" w:hAnsi="Arial"/>
                <w:sz w:val="14"/>
                <w:szCs w:val="14"/>
                <w:color w:val="auto"/>
              </w:rPr>
              <w:t>ETWORK</w:t>
            </w:r>
            <w:r>
              <w:rPr>
                <w:rFonts w:ascii="Arial" w:cs="Arial" w:eastAsia="Arial" w:hAnsi="Arial"/>
                <w:sz w:val="18"/>
                <w:szCs w:val="18"/>
                <w:color w:val="auto"/>
              </w:rPr>
              <w:t xml:space="preserve"> S</w:t>
            </w:r>
            <w:r>
              <w:rPr>
                <w:rFonts w:ascii="Arial" w:cs="Arial" w:eastAsia="Arial" w:hAnsi="Arial"/>
                <w:sz w:val="14"/>
                <w:szCs w:val="14"/>
                <w:color w:val="auto"/>
              </w:rPr>
              <w:t>YSTEMS</w:t>
            </w:r>
            <w:r>
              <w:rPr>
                <w:rFonts w:ascii="Arial" w:cs="Arial" w:eastAsia="Arial" w:hAnsi="Arial"/>
                <w:sz w:val="18"/>
                <w:szCs w:val="18"/>
                <w:color w:val="auto"/>
              </w:rPr>
              <w:t>, L.L.C.</w:t>
            </w:r>
          </w:p>
        </w:tc>
        <w:tc>
          <w:tcPr>
            <w:tcW w:w="3060" w:type="dxa"/>
            <w:vAlign w:val="bottom"/>
          </w:tcPr>
          <w:p>
            <w:pPr>
              <w:jc w:val="center"/>
              <w:spacing w:after="0" w:line="201" w:lineRule="exact"/>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ELECOMMUNICATIONS</w:t>
            </w:r>
          </w:p>
        </w:tc>
        <w:tc>
          <w:tcPr>
            <w:tcW w:w="420" w:type="dxa"/>
            <w:vAlign w:val="bottom"/>
          </w:tcPr>
          <w:p>
            <w:pPr>
              <w:spacing w:after="0"/>
              <w:rPr>
                <w:sz w:val="17"/>
                <w:szCs w:val="17"/>
                <w:color w:val="auto"/>
              </w:rPr>
            </w:pPr>
          </w:p>
        </w:tc>
        <w:tc>
          <w:tcPr>
            <w:tcW w:w="3020" w:type="dxa"/>
            <w:vAlign w:val="bottom"/>
          </w:tcPr>
          <w:p>
            <w:pPr>
              <w:jc w:val="center"/>
              <w:spacing w:after="0" w:line="201" w:lineRule="exact"/>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17"/>
                <w:szCs w:val="17"/>
                <w:color w:val="auto"/>
              </w:rPr>
            </w:pPr>
          </w:p>
        </w:tc>
        <w:tc>
          <w:tcPr>
            <w:tcW w:w="64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11717 E</w:t>
            </w:r>
            <w:r>
              <w:rPr>
                <w:rFonts w:ascii="Arial" w:cs="Arial" w:eastAsia="Arial" w:hAnsi="Arial"/>
                <w:sz w:val="14"/>
                <w:szCs w:val="14"/>
                <w:color w:val="auto"/>
              </w:rPr>
              <w:t>XPLORATION</w:t>
            </w:r>
            <w:r>
              <w:rPr>
                <w:rFonts w:ascii="Arial" w:cs="Arial" w:eastAsia="Arial" w:hAnsi="Arial"/>
                <w:sz w:val="18"/>
                <w:szCs w:val="18"/>
                <w:color w:val="auto"/>
              </w:rPr>
              <w:t xml:space="preserve"> L</w:t>
            </w:r>
            <w:r>
              <w:rPr>
                <w:rFonts w:ascii="Arial" w:cs="Arial" w:eastAsia="Arial" w:hAnsi="Arial"/>
                <w:sz w:val="14"/>
                <w:szCs w:val="14"/>
                <w:color w:val="auto"/>
              </w:rPr>
              <w:t>ANE</w:t>
            </w: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6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ERMANTOWN</w:t>
            </w:r>
            <w:r>
              <w:rPr>
                <w:rFonts w:ascii="Arial" w:cs="Arial" w:eastAsia="Arial" w:hAnsi="Arial"/>
                <w:sz w:val="18"/>
                <w:szCs w:val="18"/>
                <w:color w:val="auto"/>
              </w:rPr>
              <w:t>, MD 20876</w:t>
            </w:r>
          </w:p>
        </w:tc>
        <w:tc>
          <w:tcPr>
            <w:tcW w:w="3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860" w:type="dxa"/>
            <w:vAlign w:val="bottom"/>
            <w:gridSpan w:val="2"/>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NTERDYNAMICS</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60" w:type="dxa"/>
            <w:vAlign w:val="bottom"/>
          </w:tcPr>
          <w:p>
            <w:pPr>
              <w:jc w:val="center"/>
              <w:spacing w:after="0"/>
              <w:rPr>
                <w:sz w:val="20"/>
                <w:szCs w:val="20"/>
                <w:color w:val="auto"/>
              </w:rPr>
            </w:pPr>
            <w:r>
              <w:rPr>
                <w:rFonts w:ascii="Arial" w:cs="Arial" w:eastAsia="Arial" w:hAnsi="Arial"/>
                <w:sz w:val="18"/>
                <w:szCs w:val="18"/>
                <w:color w:val="auto"/>
                <w:w w:val="98"/>
              </w:rPr>
              <w:t>A</w:t>
            </w:r>
            <w:r>
              <w:rPr>
                <w:rFonts w:ascii="Arial" w:cs="Arial" w:eastAsia="Arial" w:hAnsi="Arial"/>
                <w:sz w:val="14"/>
                <w:szCs w:val="14"/>
                <w:color w:val="auto"/>
                <w:w w:val="98"/>
              </w:rPr>
              <w:t>UTO</w:t>
            </w:r>
            <w:r>
              <w:rPr>
                <w:rFonts w:ascii="Arial" w:cs="Arial" w:eastAsia="Arial" w:hAnsi="Arial"/>
                <w:sz w:val="18"/>
                <w:szCs w:val="18"/>
                <w:color w:val="auto"/>
                <w:w w:val="98"/>
              </w:rPr>
              <w:t xml:space="preserve"> S</w:t>
            </w:r>
            <w:r>
              <w:rPr>
                <w:rFonts w:ascii="Arial" w:cs="Arial" w:eastAsia="Arial" w:hAnsi="Arial"/>
                <w:sz w:val="14"/>
                <w:szCs w:val="14"/>
                <w:color w:val="auto"/>
                <w:w w:val="98"/>
              </w:rPr>
              <w:t>ECTOR</w:t>
            </w:r>
          </w:p>
        </w:tc>
        <w:tc>
          <w:tcPr>
            <w:tcW w:w="42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560 W</w:t>
            </w:r>
            <w:r>
              <w:rPr>
                <w:rFonts w:ascii="Arial" w:cs="Arial" w:eastAsia="Arial" w:hAnsi="Arial"/>
                <w:sz w:val="14"/>
                <w:szCs w:val="14"/>
                <w:color w:val="auto"/>
              </w:rPr>
              <w:t>HITE</w:t>
            </w:r>
            <w:r>
              <w:rPr>
                <w:rFonts w:ascii="Arial" w:cs="Arial" w:eastAsia="Arial" w:hAnsi="Arial"/>
                <w:sz w:val="18"/>
                <w:szCs w:val="18"/>
                <w:color w:val="auto"/>
              </w:rPr>
              <w:t xml:space="preserve"> P</w:t>
            </w:r>
            <w:r>
              <w:rPr>
                <w:rFonts w:ascii="Arial" w:cs="Arial" w:eastAsia="Arial" w:hAnsi="Arial"/>
                <w:sz w:val="14"/>
                <w:szCs w:val="14"/>
                <w:color w:val="auto"/>
              </w:rPr>
              <w:t>LAINS</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6</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F</w:t>
            </w:r>
            <w:r>
              <w:rPr>
                <w:rFonts w:ascii="Arial" w:cs="Arial" w:eastAsia="Arial" w:hAnsi="Arial"/>
                <w:sz w:val="14"/>
                <w:szCs w:val="14"/>
                <w:color w:val="auto"/>
              </w:rPr>
              <w:t>LOOR</w:t>
            </w: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6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ARRYTOWN</w:t>
            </w:r>
            <w:r>
              <w:rPr>
                <w:rFonts w:ascii="Arial" w:cs="Arial" w:eastAsia="Arial" w:hAnsi="Arial"/>
                <w:sz w:val="18"/>
                <w:szCs w:val="18"/>
                <w:color w:val="auto"/>
              </w:rPr>
              <w:t>, NY 10591</w:t>
            </w:r>
          </w:p>
        </w:tc>
        <w:tc>
          <w:tcPr>
            <w:tcW w:w="3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860" w:type="dxa"/>
            <w:vAlign w:val="bottom"/>
            <w:gridSpan w:val="2"/>
          </w:tcPr>
          <w:p>
            <w:pPr>
              <w:spacing w:after="0"/>
              <w:rPr>
                <w:sz w:val="20"/>
                <w:szCs w:val="20"/>
                <w:color w:val="auto"/>
              </w:rPr>
            </w:pPr>
            <w:r>
              <w:rPr>
                <w:rFonts w:ascii="Arial" w:cs="Arial" w:eastAsia="Arial" w:hAnsi="Arial"/>
                <w:sz w:val="18"/>
                <w:szCs w:val="18"/>
                <w:color w:val="auto"/>
              </w:rPr>
              <w:t>i2 H</w:t>
            </w:r>
            <w:r>
              <w:rPr>
                <w:rFonts w:ascii="Arial" w:cs="Arial" w:eastAsia="Arial" w:hAnsi="Arial"/>
                <w:sz w:val="14"/>
                <w:szCs w:val="14"/>
                <w:color w:val="auto"/>
              </w:rPr>
              <w:t>OLDINGS</w:t>
            </w:r>
            <w:r>
              <w:rPr>
                <w:rFonts w:ascii="Arial" w:cs="Arial" w:eastAsia="Arial" w:hAnsi="Arial"/>
                <w:sz w:val="18"/>
                <w:szCs w:val="18"/>
                <w:color w:val="auto"/>
              </w:rPr>
              <w:t>, L</w:t>
            </w:r>
            <w:r>
              <w:rPr>
                <w:rFonts w:ascii="Arial" w:cs="Arial" w:eastAsia="Arial" w:hAnsi="Arial"/>
                <w:sz w:val="14"/>
                <w:szCs w:val="14"/>
                <w:color w:val="auto"/>
              </w:rPr>
              <w:t>TD</w:t>
            </w:r>
            <w:r>
              <w:rPr>
                <w:rFonts w:ascii="Arial" w:cs="Arial" w:eastAsia="Arial" w:hAnsi="Arial"/>
                <w:sz w:val="18"/>
                <w:szCs w:val="18"/>
                <w:color w:val="auto"/>
              </w:rPr>
              <w:t>.</w:t>
            </w:r>
          </w:p>
        </w:tc>
        <w:tc>
          <w:tcPr>
            <w:tcW w:w="3060" w:type="dxa"/>
            <w:vAlign w:val="bottom"/>
          </w:tcPr>
          <w:p>
            <w:pPr>
              <w:jc w:val="center"/>
              <w:spacing w:after="0"/>
              <w:rPr>
                <w:sz w:val="20"/>
                <w:szCs w:val="20"/>
                <w:color w:val="auto"/>
              </w:rPr>
            </w:pPr>
            <w:r>
              <w:rPr>
                <w:rFonts w:ascii="Arial" w:cs="Arial" w:eastAsia="Arial" w:hAnsi="Arial"/>
                <w:sz w:val="18"/>
                <w:szCs w:val="18"/>
                <w:color w:val="auto"/>
                <w:w w:val="97"/>
              </w:rPr>
              <w:t>A</w:t>
            </w:r>
            <w:r>
              <w:rPr>
                <w:rFonts w:ascii="Arial" w:cs="Arial" w:eastAsia="Arial" w:hAnsi="Arial"/>
                <w:sz w:val="14"/>
                <w:szCs w:val="14"/>
                <w:color w:val="auto"/>
                <w:w w:val="97"/>
              </w:rPr>
              <w:t>EROSPACE</w:t>
            </w:r>
            <w:r>
              <w:rPr>
                <w:rFonts w:ascii="Arial" w:cs="Arial" w:eastAsia="Arial" w:hAnsi="Arial"/>
                <w:sz w:val="18"/>
                <w:szCs w:val="18"/>
                <w:color w:val="auto"/>
                <w:w w:val="97"/>
              </w:rPr>
              <w:t xml:space="preserve"> &amp; </w:t>
            </w:r>
            <w:r>
              <w:rPr>
                <w:rFonts w:ascii="Arial" w:cs="Arial" w:eastAsia="Arial" w:hAnsi="Arial"/>
                <w:sz w:val="14"/>
                <w:szCs w:val="14"/>
                <w:color w:val="auto"/>
                <w:w w:val="97"/>
              </w:rPr>
              <w:t>DEFENSE</w:t>
            </w:r>
          </w:p>
        </w:tc>
        <w:tc>
          <w:tcPr>
            <w:tcW w:w="42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060" w:type="dxa"/>
            <w:vAlign w:val="bottom"/>
            <w:gridSpan w:val="2"/>
          </w:tcPr>
          <w:p>
            <w:pPr>
              <w:jc w:val="center"/>
              <w:ind w:left="332"/>
              <w:spacing w:after="0"/>
              <w:rPr>
                <w:sz w:val="20"/>
                <w:szCs w:val="20"/>
                <w:color w:val="auto"/>
              </w:rPr>
            </w:pPr>
            <w:r>
              <w:rPr>
                <w:rFonts w:ascii="Arial" w:cs="Arial" w:eastAsia="Arial" w:hAnsi="Arial"/>
                <w:sz w:val="18"/>
                <w:szCs w:val="18"/>
                <w:color w:val="auto"/>
                <w:w w:val="87"/>
              </w:rPr>
              <w:t>3.9%</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V</w:t>
            </w:r>
            <w:r>
              <w:rPr>
                <w:rFonts w:ascii="Arial" w:cs="Arial" w:eastAsia="Arial" w:hAnsi="Arial"/>
                <w:sz w:val="14"/>
                <w:szCs w:val="14"/>
                <w:color w:val="auto"/>
              </w:rPr>
              <w:t>ISUAL</w:t>
            </w:r>
            <w:r>
              <w:rPr>
                <w:rFonts w:ascii="Arial" w:cs="Arial" w:eastAsia="Arial" w:hAnsi="Arial"/>
                <w:sz w:val="18"/>
                <w:szCs w:val="18"/>
                <w:color w:val="auto"/>
              </w:rPr>
              <w:t xml:space="preserve"> S</w:t>
            </w:r>
            <w:r>
              <w:rPr>
                <w:rFonts w:ascii="Arial" w:cs="Arial" w:eastAsia="Arial" w:hAnsi="Arial"/>
                <w:sz w:val="14"/>
                <w:szCs w:val="14"/>
                <w:color w:val="auto"/>
              </w:rPr>
              <w:t>PACE</w:t>
            </w:r>
            <w:r>
              <w:rPr>
                <w:rFonts w:ascii="Arial" w:cs="Arial" w:eastAsia="Arial" w:hAnsi="Arial"/>
                <w:sz w:val="18"/>
                <w:szCs w:val="18"/>
                <w:color w:val="auto"/>
              </w:rPr>
              <w:t xml:space="preserve"> C</w:t>
            </w:r>
            <w:r>
              <w:rPr>
                <w:rFonts w:ascii="Arial" w:cs="Arial" w:eastAsia="Arial" w:hAnsi="Arial"/>
                <w:sz w:val="14"/>
                <w:szCs w:val="14"/>
                <w:color w:val="auto"/>
              </w:rPr>
              <w:t>APITAL</w:t>
            </w:r>
            <w:r>
              <w:rPr>
                <w:rFonts w:ascii="Arial" w:cs="Arial" w:eastAsia="Arial" w:hAnsi="Arial"/>
                <w:sz w:val="18"/>
                <w:szCs w:val="18"/>
                <w:color w:val="auto"/>
              </w:rPr>
              <w:t xml:space="preserve"> P</w:t>
            </w:r>
            <w:r>
              <w:rPr>
                <w:rFonts w:ascii="Arial" w:cs="Arial" w:eastAsia="Arial" w:hAnsi="Arial"/>
                <w:sz w:val="14"/>
                <w:szCs w:val="14"/>
                <w:color w:val="auto"/>
              </w:rPr>
              <w:t>ARK</w:t>
            </w: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89"/>
              </w:rPr>
              <w:t>Preferred Equity</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ULBOURN</w:t>
            </w: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2"/>
              </w:rPr>
              <w:t>Common Equity</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AMBRIDGESHIRE</w:t>
            </w:r>
            <w:r>
              <w:rPr>
                <w:rFonts w:ascii="Arial" w:cs="Arial" w:eastAsia="Arial" w:hAnsi="Arial"/>
                <w:sz w:val="18"/>
                <w:szCs w:val="18"/>
                <w:color w:val="auto"/>
              </w:rPr>
              <w:t>, CB215XH</w:t>
            </w: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60" w:type="dxa"/>
            <w:vAlign w:val="bottom"/>
            <w:gridSpan w:val="2"/>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NITED</w:t>
            </w:r>
            <w:r>
              <w:rPr>
                <w:rFonts w:ascii="Arial" w:cs="Arial" w:eastAsia="Arial" w:hAnsi="Arial"/>
                <w:sz w:val="18"/>
                <w:szCs w:val="18"/>
                <w:color w:val="auto"/>
              </w:rPr>
              <w:t xml:space="preserve"> K</w:t>
            </w:r>
            <w:r>
              <w:rPr>
                <w:rFonts w:ascii="Arial" w:cs="Arial" w:eastAsia="Arial" w:hAnsi="Arial"/>
                <w:sz w:val="14"/>
                <w:szCs w:val="14"/>
                <w:color w:val="auto"/>
              </w:rPr>
              <w:t>INGDOM</w:t>
            </w:r>
          </w:p>
        </w:tc>
        <w:tc>
          <w:tcPr>
            <w:tcW w:w="3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860" w:type="dxa"/>
            <w:vAlign w:val="bottom"/>
            <w:gridSpan w:val="2"/>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ACUZZI</w:t>
            </w:r>
            <w:r>
              <w:rPr>
                <w:rFonts w:ascii="Arial" w:cs="Arial" w:eastAsia="Arial" w:hAnsi="Arial"/>
                <w:sz w:val="18"/>
                <w:szCs w:val="18"/>
                <w:color w:val="auto"/>
              </w:rPr>
              <w:t xml:space="preserve"> B</w:t>
            </w:r>
            <w:r>
              <w:rPr>
                <w:rFonts w:ascii="Arial" w:cs="Arial" w:eastAsia="Arial" w:hAnsi="Arial"/>
                <w:sz w:val="14"/>
                <w:szCs w:val="14"/>
                <w:color w:val="auto"/>
              </w:rPr>
              <w:t>RANDS</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777 S. F</w:t>
            </w:r>
            <w:r>
              <w:rPr>
                <w:rFonts w:ascii="Arial" w:cs="Arial" w:eastAsia="Arial" w:hAnsi="Arial"/>
                <w:sz w:val="14"/>
                <w:szCs w:val="14"/>
                <w:color w:val="auto"/>
              </w:rPr>
              <w:t>LAGLER</w:t>
            </w:r>
            <w:r>
              <w:rPr>
                <w:rFonts w:ascii="Arial" w:cs="Arial" w:eastAsia="Arial" w:hAnsi="Arial"/>
                <w:sz w:val="18"/>
                <w:szCs w:val="18"/>
                <w:color w:val="auto"/>
              </w:rPr>
              <w:t xml:space="preserve"> D</w:t>
            </w:r>
            <w:r>
              <w:rPr>
                <w:rFonts w:ascii="Arial" w:cs="Arial" w:eastAsia="Arial" w:hAnsi="Arial"/>
                <w:sz w:val="14"/>
                <w:szCs w:val="14"/>
                <w:color w:val="auto"/>
              </w:rPr>
              <w:t>RIVE</w:t>
            </w:r>
          </w:p>
        </w:tc>
        <w:tc>
          <w:tcPr>
            <w:tcW w:w="306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OME</w:t>
            </w:r>
            <w:r>
              <w:rPr>
                <w:rFonts w:ascii="Arial" w:cs="Arial" w:eastAsia="Arial" w:hAnsi="Arial"/>
                <w:sz w:val="18"/>
                <w:szCs w:val="18"/>
                <w:color w:val="auto"/>
                <w:w w:val="98"/>
              </w:rPr>
              <w:t xml:space="preserve"> &amp; O</w:t>
            </w:r>
            <w:r>
              <w:rPr>
                <w:rFonts w:ascii="Arial" w:cs="Arial" w:eastAsia="Arial" w:hAnsi="Arial"/>
                <w:sz w:val="14"/>
                <w:szCs w:val="14"/>
                <w:color w:val="auto"/>
                <w:w w:val="98"/>
              </w:rPr>
              <w:t>FFICE</w:t>
            </w:r>
            <w:r>
              <w:rPr>
                <w:rFonts w:ascii="Arial" w:cs="Arial" w:eastAsia="Arial" w:hAnsi="Arial"/>
                <w:sz w:val="18"/>
                <w:szCs w:val="18"/>
                <w:color w:val="auto"/>
                <w:w w:val="98"/>
              </w:rPr>
              <w:t xml:space="preserve"> F</w:t>
            </w:r>
            <w:r>
              <w:rPr>
                <w:rFonts w:ascii="Arial" w:cs="Arial" w:eastAsia="Arial" w:hAnsi="Arial"/>
                <w:sz w:val="14"/>
                <w:szCs w:val="14"/>
                <w:color w:val="auto"/>
                <w:w w:val="98"/>
              </w:rPr>
              <w:t>URNISHINGS</w:t>
            </w:r>
            <w:r>
              <w:rPr>
                <w:rFonts w:ascii="Arial" w:cs="Arial" w:eastAsia="Arial" w:hAnsi="Arial"/>
                <w:sz w:val="18"/>
                <w:szCs w:val="18"/>
                <w:color w:val="auto"/>
                <w:w w:val="98"/>
              </w:rPr>
              <w:t>,</w:t>
            </w:r>
          </w:p>
        </w:tc>
        <w:tc>
          <w:tcPr>
            <w:tcW w:w="4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1100-W</w:t>
            </w:r>
            <w:r>
              <w:rPr>
                <w:rFonts w:ascii="Arial" w:cs="Arial" w:eastAsia="Arial" w:hAnsi="Arial"/>
                <w:sz w:val="14"/>
                <w:szCs w:val="14"/>
                <w:color w:val="auto"/>
              </w:rPr>
              <w:t>EST</w:t>
            </w:r>
          </w:p>
        </w:tc>
        <w:tc>
          <w:tcPr>
            <w:tcW w:w="306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OUSEWARES</w:t>
            </w:r>
            <w:r>
              <w:rPr>
                <w:rFonts w:ascii="Arial" w:cs="Arial" w:eastAsia="Arial" w:hAnsi="Arial"/>
                <w:sz w:val="18"/>
                <w:szCs w:val="18"/>
                <w:color w:val="auto"/>
                <w:w w:val="98"/>
              </w:rPr>
              <w:t>, &amp; D</w:t>
            </w:r>
            <w:r>
              <w:rPr>
                <w:rFonts w:ascii="Arial" w:cs="Arial" w:eastAsia="Arial" w:hAnsi="Arial"/>
                <w:sz w:val="14"/>
                <w:szCs w:val="14"/>
                <w:color w:val="auto"/>
                <w:w w:val="98"/>
              </w:rPr>
              <w:t>URABLE</w:t>
            </w:r>
            <w:r>
              <w:rPr>
                <w:rFonts w:ascii="Arial" w:cs="Arial" w:eastAsia="Arial" w:hAnsi="Arial"/>
                <w:sz w:val="18"/>
                <w:szCs w:val="18"/>
                <w:color w:val="auto"/>
                <w:w w:val="98"/>
              </w:rPr>
              <w:t xml:space="preserve"> C</w:t>
            </w:r>
            <w:r>
              <w:rPr>
                <w:rFonts w:ascii="Arial" w:cs="Arial" w:eastAsia="Arial" w:hAnsi="Arial"/>
                <w:sz w:val="14"/>
                <w:szCs w:val="14"/>
                <w:color w:val="auto"/>
                <w:w w:val="98"/>
              </w:rPr>
              <w:t>ONSUMER</w:t>
            </w:r>
          </w:p>
        </w:tc>
        <w:tc>
          <w:tcPr>
            <w:tcW w:w="4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6"/>
        </w:trPr>
        <w:tc>
          <w:tcPr>
            <w:tcW w:w="386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EST</w:t>
            </w:r>
            <w:r>
              <w:rPr>
                <w:rFonts w:ascii="Arial" w:cs="Arial" w:eastAsia="Arial" w:hAnsi="Arial"/>
                <w:sz w:val="18"/>
                <w:szCs w:val="18"/>
                <w:color w:val="auto"/>
              </w:rPr>
              <w:t xml:space="preserve"> P</w:t>
            </w:r>
            <w:r>
              <w:rPr>
                <w:rFonts w:ascii="Arial" w:cs="Arial" w:eastAsia="Arial" w:hAnsi="Arial"/>
                <w:sz w:val="14"/>
                <w:szCs w:val="14"/>
                <w:color w:val="auto"/>
              </w:rPr>
              <w:t>ALM</w:t>
            </w:r>
            <w:r>
              <w:rPr>
                <w:rFonts w:ascii="Arial" w:cs="Arial" w:eastAsia="Arial" w:hAnsi="Arial"/>
                <w:sz w:val="18"/>
                <w:szCs w:val="18"/>
                <w:color w:val="auto"/>
              </w:rPr>
              <w:t xml:space="preserve"> B</w:t>
            </w:r>
            <w:r>
              <w:rPr>
                <w:rFonts w:ascii="Arial" w:cs="Arial" w:eastAsia="Arial" w:hAnsi="Arial"/>
                <w:sz w:val="14"/>
                <w:szCs w:val="14"/>
                <w:color w:val="auto"/>
              </w:rPr>
              <w:t>EACH</w:t>
            </w:r>
            <w:r>
              <w:rPr>
                <w:rFonts w:ascii="Arial" w:cs="Arial" w:eastAsia="Arial" w:hAnsi="Arial"/>
                <w:sz w:val="18"/>
                <w:szCs w:val="18"/>
                <w:color w:val="auto"/>
              </w:rPr>
              <w:t>, FL. 33401</w:t>
            </w:r>
          </w:p>
        </w:tc>
        <w:tc>
          <w:tcPr>
            <w:tcW w:w="3060" w:type="dxa"/>
            <w:vAlign w:val="bottom"/>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4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18"/>
        </w:trPr>
        <w:tc>
          <w:tcPr>
            <w:tcW w:w="386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EARNING</w:t>
            </w:r>
            <w:r>
              <w:rPr>
                <w:rFonts w:ascii="Arial" w:cs="Arial" w:eastAsia="Arial" w:hAnsi="Arial"/>
                <w:sz w:val="18"/>
                <w:szCs w:val="18"/>
                <w:color w:val="auto"/>
              </w:rPr>
              <w:t xml:space="preserve"> C</w:t>
            </w:r>
            <w:r>
              <w:rPr>
                <w:rFonts w:ascii="Arial" w:cs="Arial" w:eastAsia="Arial" w:hAnsi="Arial"/>
                <w:sz w:val="14"/>
                <w:szCs w:val="14"/>
                <w:color w:val="auto"/>
              </w:rPr>
              <w:t>ARE</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(U.S.)</w:t>
            </w:r>
          </w:p>
        </w:tc>
        <w:tc>
          <w:tcPr>
            <w:tcW w:w="306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p>
        </w:tc>
        <w:tc>
          <w:tcPr>
            <w:tcW w:w="42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21333 H</w:t>
            </w:r>
            <w:r>
              <w:rPr>
                <w:rFonts w:ascii="Arial" w:cs="Arial" w:eastAsia="Arial" w:hAnsi="Arial"/>
                <w:sz w:val="14"/>
                <w:szCs w:val="14"/>
                <w:color w:val="auto"/>
              </w:rPr>
              <w:t>AGGERTY</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300</w:t>
            </w: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6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OVI</w:t>
            </w:r>
            <w:r>
              <w:rPr>
                <w:rFonts w:ascii="Arial" w:cs="Arial" w:eastAsia="Arial" w:hAnsi="Arial"/>
                <w:sz w:val="18"/>
                <w:szCs w:val="18"/>
                <w:color w:val="auto"/>
              </w:rPr>
              <w:t>, M</w:t>
            </w:r>
            <w:r>
              <w:rPr>
                <w:rFonts w:ascii="Arial" w:cs="Arial" w:eastAsia="Arial" w:hAnsi="Arial"/>
                <w:sz w:val="14"/>
                <w:szCs w:val="14"/>
                <w:color w:val="auto"/>
              </w:rPr>
              <w:t>ICHIGAN</w:t>
            </w:r>
            <w:r>
              <w:rPr>
                <w:rFonts w:ascii="Arial" w:cs="Arial" w:eastAsia="Arial" w:hAnsi="Arial"/>
                <w:sz w:val="18"/>
                <w:szCs w:val="18"/>
                <w:color w:val="auto"/>
              </w:rPr>
              <w:t xml:space="preserve"> 48375</w:t>
            </w:r>
          </w:p>
        </w:tc>
        <w:tc>
          <w:tcPr>
            <w:tcW w:w="3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86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EVLAD</w:t>
            </w:r>
            <w:r>
              <w:rPr>
                <w:rFonts w:ascii="Arial" w:cs="Arial" w:eastAsia="Arial" w:hAnsi="Arial"/>
                <w:sz w:val="18"/>
                <w:szCs w:val="18"/>
                <w:color w:val="auto"/>
              </w:rPr>
              <w:t>, L.L.C.</w:t>
            </w:r>
          </w:p>
        </w:tc>
        <w:tc>
          <w:tcPr>
            <w:tcW w:w="306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42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60" w:type="dxa"/>
            <w:vAlign w:val="bottom"/>
            <w:gridSpan w:val="2"/>
          </w:tcPr>
          <w:p>
            <w:pPr>
              <w:spacing w:after="0"/>
              <w:rPr>
                <w:sz w:val="20"/>
                <w:szCs w:val="20"/>
                <w:color w:val="auto"/>
              </w:rPr>
            </w:pPr>
            <w:r>
              <w:rPr>
                <w:rFonts w:ascii="Arial" w:cs="Arial" w:eastAsia="Arial" w:hAnsi="Arial"/>
                <w:sz w:val="15"/>
                <w:szCs w:val="15"/>
                <w:color w:val="auto"/>
              </w:rPr>
              <w:t>C</w:t>
            </w:r>
            <w:r>
              <w:rPr>
                <w:rFonts w:ascii="Arial" w:cs="Arial" w:eastAsia="Arial" w:hAnsi="Arial"/>
                <w:sz w:val="17"/>
                <w:szCs w:val="17"/>
                <w:color w:val="auto"/>
              </w:rPr>
              <w:t>/</w:t>
            </w:r>
            <w:r>
              <w:rPr>
                <w:rFonts w:ascii="Arial" w:cs="Arial" w:eastAsia="Arial" w:hAnsi="Arial"/>
                <w:sz w:val="15"/>
                <w:szCs w:val="15"/>
                <w:color w:val="auto"/>
              </w:rPr>
              <w:t xml:space="preserve">O </w:t>
            </w:r>
            <w:r>
              <w:rPr>
                <w:rFonts w:ascii="Arial" w:cs="Arial" w:eastAsia="Arial" w:hAnsi="Arial"/>
                <w:sz w:val="17"/>
                <w:szCs w:val="17"/>
                <w:color w:val="auto"/>
              </w:rPr>
              <w:t>H</w:t>
            </w:r>
            <w:r>
              <w:rPr>
                <w:rFonts w:ascii="Arial" w:cs="Arial" w:eastAsia="Arial" w:hAnsi="Arial"/>
                <w:sz w:val="15"/>
                <w:szCs w:val="15"/>
                <w:color w:val="auto"/>
              </w:rPr>
              <w:t xml:space="preserve">ARVEST </w:t>
            </w:r>
            <w:r>
              <w:rPr>
                <w:rFonts w:ascii="Arial" w:cs="Arial" w:eastAsia="Arial" w:hAnsi="Arial"/>
                <w:sz w:val="17"/>
                <w:szCs w:val="17"/>
                <w:color w:val="auto"/>
              </w:rPr>
              <w:t>P</w:t>
            </w:r>
            <w:r>
              <w:rPr>
                <w:rFonts w:ascii="Arial" w:cs="Arial" w:eastAsia="Arial" w:hAnsi="Arial"/>
                <w:sz w:val="15"/>
                <w:szCs w:val="15"/>
                <w:color w:val="auto"/>
              </w:rPr>
              <w:t>ARTNERS</w:t>
            </w:r>
            <w:r>
              <w:rPr>
                <w:rFonts w:ascii="Arial" w:cs="Arial" w:eastAsia="Arial" w:hAnsi="Arial"/>
                <w:sz w:val="17"/>
                <w:szCs w:val="17"/>
                <w:color w:val="auto"/>
              </w:rPr>
              <w:t>, I</w:t>
            </w:r>
            <w:r>
              <w:rPr>
                <w:rFonts w:ascii="Arial" w:cs="Arial" w:eastAsia="Arial" w:hAnsi="Arial"/>
                <w:sz w:val="15"/>
                <w:szCs w:val="15"/>
                <w:color w:val="auto"/>
              </w:rPr>
              <w:t>NC</w:t>
            </w:r>
            <w:r>
              <w:rPr>
                <w:rFonts w:ascii="Arial" w:cs="Arial" w:eastAsia="Arial" w:hAnsi="Arial"/>
                <w:sz w:val="17"/>
                <w:szCs w:val="17"/>
                <w:color w:val="auto"/>
              </w:rPr>
              <w:t>.</w:t>
            </w: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280 P</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6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Y</w:t>
            </w:r>
            <w:r>
              <w:rPr>
                <w:rFonts w:ascii="Arial" w:cs="Arial" w:eastAsia="Arial" w:hAnsi="Arial"/>
                <w:sz w:val="14"/>
                <w:szCs w:val="14"/>
                <w:color w:val="auto"/>
              </w:rPr>
              <w:t>ORK</w:t>
            </w:r>
            <w:r>
              <w:rPr>
                <w:rFonts w:ascii="Arial" w:cs="Arial" w:eastAsia="Arial" w:hAnsi="Arial"/>
                <w:sz w:val="18"/>
                <w:szCs w:val="18"/>
                <w:color w:val="auto"/>
              </w:rPr>
              <w:t>, NY 10017</w:t>
            </w:r>
          </w:p>
        </w:tc>
        <w:tc>
          <w:tcPr>
            <w:tcW w:w="3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86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ONGVIEW</w:t>
            </w:r>
            <w:r>
              <w:rPr>
                <w:rFonts w:ascii="Arial" w:cs="Arial" w:eastAsia="Arial" w:hAnsi="Arial"/>
                <w:sz w:val="18"/>
                <w:szCs w:val="18"/>
                <w:color w:val="auto"/>
              </w:rPr>
              <w:t xml:space="preserve"> P</w:t>
            </w:r>
            <w:r>
              <w:rPr>
                <w:rFonts w:ascii="Arial" w:cs="Arial" w:eastAsia="Arial" w:hAnsi="Arial"/>
                <w:sz w:val="14"/>
                <w:szCs w:val="14"/>
                <w:color w:val="auto"/>
              </w:rPr>
              <w:t>OWER</w:t>
            </w:r>
            <w:r>
              <w:rPr>
                <w:rFonts w:ascii="Arial" w:cs="Arial" w:eastAsia="Arial" w:hAnsi="Arial"/>
                <w:sz w:val="18"/>
                <w:szCs w:val="18"/>
                <w:color w:val="auto"/>
              </w:rPr>
              <w:t>, L.L.C.</w:t>
            </w:r>
          </w:p>
        </w:tc>
        <w:tc>
          <w:tcPr>
            <w:tcW w:w="3060" w:type="dxa"/>
            <w:vAlign w:val="bottom"/>
          </w:tcPr>
          <w:p>
            <w:pPr>
              <w:jc w:val="cente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TILITIES</w:t>
            </w:r>
          </w:p>
        </w:tc>
        <w:tc>
          <w:tcPr>
            <w:tcW w:w="42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1040 G</w:t>
            </w:r>
            <w:r>
              <w:rPr>
                <w:rFonts w:ascii="Arial" w:cs="Arial" w:eastAsia="Arial" w:hAnsi="Arial"/>
                <w:sz w:val="14"/>
                <w:szCs w:val="14"/>
                <w:color w:val="auto"/>
              </w:rPr>
              <w:t>REAT</w:t>
            </w:r>
            <w:r>
              <w:rPr>
                <w:rFonts w:ascii="Arial" w:cs="Arial" w:eastAsia="Arial" w:hAnsi="Arial"/>
                <w:sz w:val="18"/>
                <w:szCs w:val="18"/>
                <w:color w:val="auto"/>
              </w:rPr>
              <w:t xml:space="preserve"> P</w:t>
            </w:r>
            <w:r>
              <w:rPr>
                <w:rFonts w:ascii="Arial" w:cs="Arial" w:eastAsia="Arial" w:hAnsi="Arial"/>
                <w:sz w:val="14"/>
                <w:szCs w:val="14"/>
                <w:color w:val="auto"/>
              </w:rPr>
              <w:t>LAIN</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6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EEDHAM</w:t>
            </w:r>
            <w:r>
              <w:rPr>
                <w:rFonts w:ascii="Arial" w:cs="Arial" w:eastAsia="Arial" w:hAnsi="Arial"/>
                <w:sz w:val="18"/>
                <w:szCs w:val="18"/>
                <w:color w:val="auto"/>
              </w:rPr>
              <w:t>, MA 02492</w:t>
            </w:r>
          </w:p>
        </w:tc>
        <w:tc>
          <w:tcPr>
            <w:tcW w:w="3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86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ATTRESS</w:t>
            </w:r>
            <w:r>
              <w:rPr>
                <w:rFonts w:ascii="Arial" w:cs="Arial" w:eastAsia="Arial" w:hAnsi="Arial"/>
                <w:sz w:val="18"/>
                <w:szCs w:val="18"/>
                <w:color w:val="auto"/>
              </w:rPr>
              <w:t xml:space="preserve"> H</w:t>
            </w:r>
            <w:r>
              <w:rPr>
                <w:rFonts w:ascii="Arial" w:cs="Arial" w:eastAsia="Arial" w:hAnsi="Arial"/>
                <w:sz w:val="14"/>
                <w:szCs w:val="14"/>
                <w:color w:val="auto"/>
              </w:rPr>
              <w:t>OLDING</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06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OME</w:t>
            </w:r>
            <w:r>
              <w:rPr>
                <w:rFonts w:ascii="Arial" w:cs="Arial" w:eastAsia="Arial" w:hAnsi="Arial"/>
                <w:sz w:val="18"/>
                <w:szCs w:val="18"/>
                <w:color w:val="auto"/>
                <w:w w:val="98"/>
              </w:rPr>
              <w:t xml:space="preserve"> &amp; O</w:t>
            </w:r>
            <w:r>
              <w:rPr>
                <w:rFonts w:ascii="Arial" w:cs="Arial" w:eastAsia="Arial" w:hAnsi="Arial"/>
                <w:sz w:val="14"/>
                <w:szCs w:val="14"/>
                <w:color w:val="auto"/>
                <w:w w:val="98"/>
              </w:rPr>
              <w:t>FFICE</w:t>
            </w:r>
            <w:r>
              <w:rPr>
                <w:rFonts w:ascii="Arial" w:cs="Arial" w:eastAsia="Arial" w:hAnsi="Arial"/>
                <w:sz w:val="18"/>
                <w:szCs w:val="18"/>
                <w:color w:val="auto"/>
                <w:w w:val="98"/>
              </w:rPr>
              <w:t xml:space="preserve"> F</w:t>
            </w:r>
            <w:r>
              <w:rPr>
                <w:rFonts w:ascii="Arial" w:cs="Arial" w:eastAsia="Arial" w:hAnsi="Arial"/>
                <w:sz w:val="14"/>
                <w:szCs w:val="14"/>
                <w:color w:val="auto"/>
                <w:w w:val="98"/>
              </w:rPr>
              <w:t>URNISHINGS</w:t>
            </w:r>
            <w:r>
              <w:rPr>
                <w:rFonts w:ascii="Arial" w:cs="Arial" w:eastAsia="Arial" w:hAnsi="Arial"/>
                <w:sz w:val="18"/>
                <w:szCs w:val="18"/>
                <w:color w:val="auto"/>
                <w:w w:val="98"/>
              </w:rPr>
              <w:t>,</w:t>
            </w:r>
          </w:p>
        </w:tc>
        <w:tc>
          <w:tcPr>
            <w:tcW w:w="42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5815 G</w:t>
            </w:r>
            <w:r>
              <w:rPr>
                <w:rFonts w:ascii="Arial" w:cs="Arial" w:eastAsia="Arial" w:hAnsi="Arial"/>
                <w:sz w:val="14"/>
                <w:szCs w:val="14"/>
                <w:color w:val="auto"/>
              </w:rPr>
              <w:t>ULF</w:t>
            </w:r>
            <w:r>
              <w:rPr>
                <w:rFonts w:ascii="Arial" w:cs="Arial" w:eastAsia="Arial" w:hAnsi="Arial"/>
                <w:sz w:val="18"/>
                <w:szCs w:val="18"/>
                <w:color w:val="auto"/>
              </w:rPr>
              <w:t xml:space="preserve"> F</w:t>
            </w:r>
            <w:r>
              <w:rPr>
                <w:rFonts w:ascii="Arial" w:cs="Arial" w:eastAsia="Arial" w:hAnsi="Arial"/>
                <w:sz w:val="14"/>
                <w:szCs w:val="14"/>
                <w:color w:val="auto"/>
              </w:rPr>
              <w:t>REEWAY</w:t>
            </w:r>
          </w:p>
        </w:tc>
        <w:tc>
          <w:tcPr>
            <w:tcW w:w="306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OUSEWARES</w:t>
            </w:r>
            <w:r>
              <w:rPr>
                <w:rFonts w:ascii="Arial" w:cs="Arial" w:eastAsia="Arial" w:hAnsi="Arial"/>
                <w:sz w:val="18"/>
                <w:szCs w:val="18"/>
                <w:color w:val="auto"/>
                <w:w w:val="98"/>
              </w:rPr>
              <w:t>, &amp; D</w:t>
            </w:r>
            <w:r>
              <w:rPr>
                <w:rFonts w:ascii="Arial" w:cs="Arial" w:eastAsia="Arial" w:hAnsi="Arial"/>
                <w:sz w:val="14"/>
                <w:szCs w:val="14"/>
                <w:color w:val="auto"/>
                <w:w w:val="98"/>
              </w:rPr>
              <w:t>URABLE</w:t>
            </w:r>
            <w:r>
              <w:rPr>
                <w:rFonts w:ascii="Arial" w:cs="Arial" w:eastAsia="Arial" w:hAnsi="Arial"/>
                <w:sz w:val="18"/>
                <w:szCs w:val="18"/>
                <w:color w:val="auto"/>
                <w:w w:val="98"/>
              </w:rPr>
              <w:t xml:space="preserve"> C</w:t>
            </w:r>
            <w:r>
              <w:rPr>
                <w:rFonts w:ascii="Arial" w:cs="Arial" w:eastAsia="Arial" w:hAnsi="Arial"/>
                <w:sz w:val="14"/>
                <w:szCs w:val="14"/>
                <w:color w:val="auto"/>
                <w:w w:val="98"/>
              </w:rPr>
              <w:t>ONSUMER</w:t>
            </w:r>
          </w:p>
        </w:tc>
        <w:tc>
          <w:tcPr>
            <w:tcW w:w="4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6"/>
        </w:trPr>
        <w:tc>
          <w:tcPr>
            <w:tcW w:w="386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OUSTON</w:t>
            </w:r>
            <w:r>
              <w:rPr>
                <w:rFonts w:ascii="Arial" w:cs="Arial" w:eastAsia="Arial" w:hAnsi="Arial"/>
                <w:sz w:val="18"/>
                <w:szCs w:val="18"/>
                <w:color w:val="auto"/>
              </w:rPr>
              <w:t>, TX 77023</w:t>
            </w:r>
          </w:p>
        </w:tc>
        <w:tc>
          <w:tcPr>
            <w:tcW w:w="3060" w:type="dxa"/>
            <w:vAlign w:val="bottom"/>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4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18"/>
        </w:trPr>
        <w:tc>
          <w:tcPr>
            <w:tcW w:w="386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ITCHELL</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60" w:type="dxa"/>
            <w:vAlign w:val="bottom"/>
          </w:tcPr>
          <w:p>
            <w:pPr>
              <w:jc w:val="center"/>
              <w:spacing w:after="0"/>
              <w:rPr>
                <w:sz w:val="20"/>
                <w:szCs w:val="20"/>
                <w:color w:val="auto"/>
              </w:rPr>
            </w:pPr>
            <w:r>
              <w:rPr>
                <w:rFonts w:ascii="Arial" w:cs="Arial" w:eastAsia="Arial" w:hAnsi="Arial"/>
                <w:sz w:val="18"/>
                <w:szCs w:val="18"/>
                <w:color w:val="auto"/>
                <w:w w:val="96"/>
              </w:rPr>
              <w:t>B</w:t>
            </w:r>
            <w:r>
              <w:rPr>
                <w:rFonts w:ascii="Arial" w:cs="Arial" w:eastAsia="Arial" w:hAnsi="Arial"/>
                <w:sz w:val="14"/>
                <w:szCs w:val="14"/>
                <w:color w:val="auto"/>
                <w:w w:val="96"/>
              </w:rPr>
              <w:t>USINESS</w:t>
            </w:r>
            <w:r>
              <w:rPr>
                <w:rFonts w:ascii="Arial" w:cs="Arial" w:eastAsia="Arial" w:hAnsi="Arial"/>
                <w:sz w:val="18"/>
                <w:szCs w:val="18"/>
                <w:color w:val="auto"/>
                <w:w w:val="96"/>
              </w:rPr>
              <w:t xml:space="preserve"> S</w:t>
            </w:r>
            <w:r>
              <w:rPr>
                <w:rFonts w:ascii="Arial" w:cs="Arial" w:eastAsia="Arial" w:hAnsi="Arial"/>
                <w:sz w:val="14"/>
                <w:szCs w:val="14"/>
                <w:color w:val="auto"/>
                <w:w w:val="96"/>
              </w:rPr>
              <w:t>ERVICES</w:t>
            </w:r>
          </w:p>
        </w:tc>
        <w:tc>
          <w:tcPr>
            <w:tcW w:w="42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9889 W</w:t>
            </w:r>
            <w:r>
              <w:rPr>
                <w:rFonts w:ascii="Arial" w:cs="Arial" w:eastAsia="Arial" w:hAnsi="Arial"/>
                <w:sz w:val="14"/>
                <w:szCs w:val="14"/>
                <w:color w:val="auto"/>
              </w:rPr>
              <w:t>ILLOW</w:t>
            </w:r>
            <w:r>
              <w:rPr>
                <w:rFonts w:ascii="Arial" w:cs="Arial" w:eastAsia="Arial" w:hAnsi="Arial"/>
                <w:sz w:val="18"/>
                <w:szCs w:val="18"/>
                <w:color w:val="auto"/>
              </w:rPr>
              <w:t xml:space="preserve"> C</w:t>
            </w:r>
            <w:r>
              <w:rPr>
                <w:rFonts w:ascii="Arial" w:cs="Arial" w:eastAsia="Arial" w:hAnsi="Arial"/>
                <w:sz w:val="14"/>
                <w:szCs w:val="14"/>
                <w:color w:val="auto"/>
              </w:rPr>
              <w:t>REEK</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AN</w:t>
            </w:r>
            <w:r>
              <w:rPr>
                <w:rFonts w:ascii="Arial" w:cs="Arial" w:eastAsia="Arial" w:hAnsi="Arial"/>
                <w:sz w:val="18"/>
                <w:szCs w:val="18"/>
                <w:color w:val="auto"/>
              </w:rPr>
              <w:t xml:space="preserve"> D</w:t>
            </w:r>
            <w:r>
              <w:rPr>
                <w:rFonts w:ascii="Arial" w:cs="Arial" w:eastAsia="Arial" w:hAnsi="Arial"/>
                <w:sz w:val="14"/>
                <w:szCs w:val="14"/>
                <w:color w:val="auto"/>
              </w:rPr>
              <w:t>IEGO</w:t>
            </w:r>
            <w:r>
              <w:rPr>
                <w:rFonts w:ascii="Arial" w:cs="Arial" w:eastAsia="Arial" w:hAnsi="Arial"/>
                <w:sz w:val="18"/>
                <w:szCs w:val="18"/>
                <w:color w:val="auto"/>
              </w:rPr>
              <w:t>, CA 92131</w:t>
            </w:r>
          </w:p>
        </w:tc>
        <w:tc>
          <w:tcPr>
            <w:tcW w:w="3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86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ATIONAL</w:t>
            </w:r>
            <w:r>
              <w:rPr>
                <w:rFonts w:ascii="Arial" w:cs="Arial" w:eastAsia="Arial" w:hAnsi="Arial"/>
                <w:sz w:val="18"/>
                <w:szCs w:val="18"/>
                <w:color w:val="auto"/>
              </w:rPr>
              <w:t xml:space="preserve"> B</w:t>
            </w:r>
            <w:r>
              <w:rPr>
                <w:rFonts w:ascii="Arial" w:cs="Arial" w:eastAsia="Arial" w:hAnsi="Arial"/>
                <w:sz w:val="14"/>
                <w:szCs w:val="14"/>
                <w:color w:val="auto"/>
              </w:rPr>
              <w:t>EDDING</w:t>
            </w:r>
            <w:r>
              <w:rPr>
                <w:rFonts w:ascii="Arial" w:cs="Arial" w:eastAsia="Arial" w:hAnsi="Arial"/>
                <w:sz w:val="18"/>
                <w:szCs w:val="18"/>
                <w:color w:val="auto"/>
              </w:rPr>
              <w:t xml:space="preserve"> C</w:t>
            </w:r>
            <w:r>
              <w:rPr>
                <w:rFonts w:ascii="Arial" w:cs="Arial" w:eastAsia="Arial" w:hAnsi="Arial"/>
                <w:sz w:val="14"/>
                <w:szCs w:val="14"/>
                <w:color w:val="auto"/>
              </w:rPr>
              <w:t>O</w:t>
            </w:r>
            <w:r>
              <w:rPr>
                <w:rFonts w:ascii="Arial" w:cs="Arial" w:eastAsia="Arial" w:hAnsi="Arial"/>
                <w:sz w:val="18"/>
                <w:szCs w:val="18"/>
                <w:color w:val="auto"/>
              </w:rPr>
              <w:t>., L.L.C.</w:t>
            </w:r>
          </w:p>
        </w:tc>
        <w:tc>
          <w:tcPr>
            <w:tcW w:w="3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5401 T</w:t>
            </w:r>
            <w:r>
              <w:rPr>
                <w:rFonts w:ascii="Arial" w:cs="Arial" w:eastAsia="Arial" w:hAnsi="Arial"/>
                <w:sz w:val="14"/>
                <w:szCs w:val="14"/>
                <w:color w:val="auto"/>
              </w:rPr>
              <w:t>RILLIUM</w:t>
            </w:r>
            <w:r>
              <w:rPr>
                <w:rFonts w:ascii="Arial" w:cs="Arial" w:eastAsia="Arial" w:hAnsi="Arial"/>
                <w:sz w:val="18"/>
                <w:szCs w:val="18"/>
                <w:color w:val="auto"/>
              </w:rPr>
              <w:t xml:space="preserve"> B</w:t>
            </w:r>
            <w:r>
              <w:rPr>
                <w:rFonts w:ascii="Arial" w:cs="Arial" w:eastAsia="Arial" w:hAnsi="Arial"/>
                <w:sz w:val="14"/>
                <w:szCs w:val="14"/>
                <w:color w:val="auto"/>
              </w:rPr>
              <w:t>LVD</w:t>
            </w:r>
            <w:r>
              <w:rPr>
                <w:rFonts w:ascii="Arial" w:cs="Arial" w:eastAsia="Arial" w:hAnsi="Arial"/>
                <w:sz w:val="18"/>
                <w:szCs w:val="18"/>
                <w:color w:val="auto"/>
              </w:rPr>
              <w:t>.</w:t>
            </w:r>
          </w:p>
        </w:tc>
        <w:tc>
          <w:tcPr>
            <w:tcW w:w="306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OME</w:t>
            </w:r>
            <w:r>
              <w:rPr>
                <w:rFonts w:ascii="Arial" w:cs="Arial" w:eastAsia="Arial" w:hAnsi="Arial"/>
                <w:sz w:val="18"/>
                <w:szCs w:val="18"/>
                <w:color w:val="auto"/>
                <w:w w:val="98"/>
              </w:rPr>
              <w:t xml:space="preserve"> &amp; O</w:t>
            </w:r>
            <w:r>
              <w:rPr>
                <w:rFonts w:ascii="Arial" w:cs="Arial" w:eastAsia="Arial" w:hAnsi="Arial"/>
                <w:sz w:val="14"/>
                <w:szCs w:val="14"/>
                <w:color w:val="auto"/>
                <w:w w:val="98"/>
              </w:rPr>
              <w:t>FFICE</w:t>
            </w:r>
            <w:r>
              <w:rPr>
                <w:rFonts w:ascii="Arial" w:cs="Arial" w:eastAsia="Arial" w:hAnsi="Arial"/>
                <w:sz w:val="18"/>
                <w:szCs w:val="18"/>
                <w:color w:val="auto"/>
                <w:w w:val="98"/>
              </w:rPr>
              <w:t xml:space="preserve"> F</w:t>
            </w:r>
            <w:r>
              <w:rPr>
                <w:rFonts w:ascii="Arial" w:cs="Arial" w:eastAsia="Arial" w:hAnsi="Arial"/>
                <w:sz w:val="14"/>
                <w:szCs w:val="14"/>
                <w:color w:val="auto"/>
                <w:w w:val="98"/>
              </w:rPr>
              <w:t>URNISHINGS</w:t>
            </w:r>
            <w:r>
              <w:rPr>
                <w:rFonts w:ascii="Arial" w:cs="Arial" w:eastAsia="Arial" w:hAnsi="Arial"/>
                <w:sz w:val="18"/>
                <w:szCs w:val="18"/>
                <w:color w:val="auto"/>
                <w:w w:val="98"/>
              </w:rPr>
              <w:t>,</w:t>
            </w:r>
          </w:p>
        </w:tc>
        <w:tc>
          <w:tcPr>
            <w:tcW w:w="4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250</w:t>
            </w:r>
          </w:p>
        </w:tc>
        <w:tc>
          <w:tcPr>
            <w:tcW w:w="306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OUSEWARES</w:t>
            </w:r>
            <w:r>
              <w:rPr>
                <w:rFonts w:ascii="Arial" w:cs="Arial" w:eastAsia="Arial" w:hAnsi="Arial"/>
                <w:sz w:val="18"/>
                <w:szCs w:val="18"/>
                <w:color w:val="auto"/>
                <w:w w:val="98"/>
              </w:rPr>
              <w:t>, &amp; D</w:t>
            </w:r>
            <w:r>
              <w:rPr>
                <w:rFonts w:ascii="Arial" w:cs="Arial" w:eastAsia="Arial" w:hAnsi="Arial"/>
                <w:sz w:val="14"/>
                <w:szCs w:val="14"/>
                <w:color w:val="auto"/>
                <w:w w:val="98"/>
              </w:rPr>
              <w:t>URABLE</w:t>
            </w:r>
            <w:r>
              <w:rPr>
                <w:rFonts w:ascii="Arial" w:cs="Arial" w:eastAsia="Arial" w:hAnsi="Arial"/>
                <w:sz w:val="18"/>
                <w:szCs w:val="18"/>
                <w:color w:val="auto"/>
                <w:w w:val="98"/>
              </w:rPr>
              <w:t xml:space="preserve"> C</w:t>
            </w:r>
            <w:r>
              <w:rPr>
                <w:rFonts w:ascii="Arial" w:cs="Arial" w:eastAsia="Arial" w:hAnsi="Arial"/>
                <w:sz w:val="14"/>
                <w:szCs w:val="14"/>
                <w:color w:val="auto"/>
                <w:w w:val="98"/>
              </w:rPr>
              <w:t>ONSUMER</w:t>
            </w:r>
          </w:p>
        </w:tc>
        <w:tc>
          <w:tcPr>
            <w:tcW w:w="4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6"/>
        </w:trPr>
        <w:tc>
          <w:tcPr>
            <w:tcW w:w="386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OFFMAN</w:t>
            </w:r>
            <w:r>
              <w:rPr>
                <w:rFonts w:ascii="Arial" w:cs="Arial" w:eastAsia="Arial" w:hAnsi="Arial"/>
                <w:sz w:val="18"/>
                <w:szCs w:val="18"/>
                <w:color w:val="auto"/>
              </w:rPr>
              <w:t xml:space="preserve"> E</w:t>
            </w:r>
            <w:r>
              <w:rPr>
                <w:rFonts w:ascii="Arial" w:cs="Arial" w:eastAsia="Arial" w:hAnsi="Arial"/>
                <w:sz w:val="14"/>
                <w:szCs w:val="14"/>
                <w:color w:val="auto"/>
              </w:rPr>
              <w:t>STATES</w:t>
            </w:r>
            <w:r>
              <w:rPr>
                <w:rFonts w:ascii="Arial" w:cs="Arial" w:eastAsia="Arial" w:hAnsi="Arial"/>
                <w:sz w:val="18"/>
                <w:szCs w:val="18"/>
                <w:color w:val="auto"/>
              </w:rPr>
              <w:t>, IL 60192</w:t>
            </w:r>
          </w:p>
        </w:tc>
        <w:tc>
          <w:tcPr>
            <w:tcW w:w="3060" w:type="dxa"/>
            <w:vAlign w:val="bottom"/>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4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18"/>
        </w:trPr>
        <w:tc>
          <w:tcPr>
            <w:tcW w:w="386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ENTON</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6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42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249 W. 17</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w:t>
            </w:r>
            <w:r>
              <w:rPr>
                <w:rFonts w:ascii="Arial" w:cs="Arial" w:eastAsia="Arial" w:hAnsi="Arial"/>
                <w:sz w:val="14"/>
                <w:szCs w:val="14"/>
                <w:color w:val="auto"/>
              </w:rPr>
              <w:t>STREET</w:t>
            </w: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OURTH</w:t>
            </w:r>
            <w:r>
              <w:rPr>
                <w:rFonts w:ascii="Arial" w:cs="Arial" w:eastAsia="Arial" w:hAnsi="Arial"/>
                <w:sz w:val="18"/>
                <w:szCs w:val="18"/>
                <w:color w:val="auto"/>
              </w:rPr>
              <w:t xml:space="preserve"> F</w:t>
            </w:r>
            <w:r>
              <w:rPr>
                <w:rFonts w:ascii="Arial" w:cs="Arial" w:eastAsia="Arial" w:hAnsi="Arial"/>
                <w:sz w:val="14"/>
                <w:szCs w:val="14"/>
                <w:color w:val="auto"/>
              </w:rPr>
              <w:t>LOOR</w:t>
            </w: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6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Y</w:t>
            </w:r>
            <w:r>
              <w:rPr>
                <w:rFonts w:ascii="Arial" w:cs="Arial" w:eastAsia="Arial" w:hAnsi="Arial"/>
                <w:sz w:val="14"/>
                <w:szCs w:val="14"/>
                <w:color w:val="auto"/>
              </w:rPr>
              <w:t>ORK</w:t>
            </w:r>
            <w:r>
              <w:rPr>
                <w:rFonts w:ascii="Arial" w:cs="Arial" w:eastAsia="Arial" w:hAnsi="Arial"/>
                <w:sz w:val="18"/>
                <w:szCs w:val="18"/>
                <w:color w:val="auto"/>
              </w:rPr>
              <w:t>, NY 10011</w:t>
            </w:r>
          </w:p>
        </w:tc>
        <w:tc>
          <w:tcPr>
            <w:tcW w:w="3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86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HILOSOPHY</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6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42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4602 E</w:t>
            </w:r>
            <w:r>
              <w:rPr>
                <w:rFonts w:ascii="Arial" w:cs="Arial" w:eastAsia="Arial" w:hAnsi="Arial"/>
                <w:sz w:val="14"/>
                <w:szCs w:val="14"/>
                <w:color w:val="auto"/>
              </w:rPr>
              <w:t>AST</w:t>
            </w:r>
            <w:r>
              <w:rPr>
                <w:rFonts w:ascii="Arial" w:cs="Arial" w:eastAsia="Arial" w:hAnsi="Arial"/>
                <w:sz w:val="18"/>
                <w:szCs w:val="18"/>
                <w:color w:val="auto"/>
              </w:rPr>
              <w:t xml:space="preserve"> H</w:t>
            </w:r>
            <w:r>
              <w:rPr>
                <w:rFonts w:ascii="Arial" w:cs="Arial" w:eastAsia="Arial" w:hAnsi="Arial"/>
                <w:sz w:val="14"/>
                <w:szCs w:val="14"/>
                <w:color w:val="auto"/>
              </w:rPr>
              <w:t>AMMOND</w:t>
            </w:r>
            <w:r>
              <w:rPr>
                <w:rFonts w:ascii="Arial" w:cs="Arial" w:eastAsia="Arial" w:hAnsi="Arial"/>
                <w:sz w:val="18"/>
                <w:szCs w:val="18"/>
                <w:color w:val="auto"/>
              </w:rPr>
              <w:t xml:space="preserve"> L</w:t>
            </w:r>
            <w:r>
              <w:rPr>
                <w:rFonts w:ascii="Arial" w:cs="Arial" w:eastAsia="Arial" w:hAnsi="Arial"/>
                <w:sz w:val="14"/>
                <w:szCs w:val="14"/>
                <w:color w:val="auto"/>
              </w:rPr>
              <w:t>ANE</w:t>
            </w: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6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HOENIX</w:t>
            </w:r>
            <w:r>
              <w:rPr>
                <w:rFonts w:ascii="Arial" w:cs="Arial" w:eastAsia="Arial" w:hAnsi="Arial"/>
                <w:sz w:val="18"/>
                <w:szCs w:val="18"/>
                <w:color w:val="auto"/>
              </w:rPr>
              <w:t>, AZ 85034</w:t>
            </w:r>
          </w:p>
        </w:tc>
        <w:tc>
          <w:tcPr>
            <w:tcW w:w="3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65"/>
        </w:trPr>
        <w:tc>
          <w:tcPr>
            <w:tcW w:w="19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060" w:type="dxa"/>
            <w:vAlign w:val="bottom"/>
          </w:tcPr>
          <w:p>
            <w:pPr>
              <w:jc w:val="right"/>
              <w:ind w:right="1033"/>
              <w:spacing w:after="0"/>
              <w:rPr>
                <w:sz w:val="20"/>
                <w:szCs w:val="20"/>
                <w:color w:val="auto"/>
              </w:rPr>
            </w:pPr>
            <w:r>
              <w:rPr>
                <w:rFonts w:ascii="Arial" w:cs="Arial" w:eastAsia="Arial" w:hAnsi="Arial"/>
                <w:sz w:val="18"/>
                <w:szCs w:val="18"/>
                <w:color w:val="auto"/>
              </w:rPr>
              <w:t>57</w:t>
            </w:r>
          </w:p>
        </w:tc>
        <w:tc>
          <w:tcPr>
            <w:tcW w:w="4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Percentage</w:t>
            </w:r>
          </w:p>
        </w:tc>
      </w:tr>
      <w:tr>
        <w:trPr>
          <w:trHeight w:val="161"/>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Portfolio</w:t>
            </w:r>
          </w:p>
        </w:tc>
        <w:tc>
          <w:tcPr>
            <w:tcW w:w="3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of Class</w:t>
            </w:r>
          </w:p>
        </w:tc>
      </w:tr>
      <w:tr>
        <w:trPr>
          <w:trHeight w:val="176"/>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3020" w:type="dxa"/>
            <w:vAlign w:val="bottom"/>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420" w:type="dxa"/>
            <w:vAlign w:val="bottom"/>
          </w:tcPr>
          <w:p>
            <w:pPr>
              <w:spacing w:after="0"/>
              <w:rPr>
                <w:sz w:val="15"/>
                <w:szCs w:val="15"/>
                <w:color w:val="auto"/>
              </w:rPr>
            </w:pP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w w:val="86"/>
              </w:rPr>
              <w:t>Type of Investment</w:t>
            </w:r>
          </w:p>
        </w:tc>
        <w:tc>
          <w:tcPr>
            <w:tcW w:w="420" w:type="dxa"/>
            <w:vAlign w:val="bottom"/>
          </w:tcPr>
          <w:p>
            <w:pPr>
              <w:spacing w:after="0"/>
              <w:rPr>
                <w:sz w:val="15"/>
                <w:szCs w:val="15"/>
                <w:color w:val="auto"/>
              </w:rPr>
            </w:pPr>
          </w:p>
        </w:tc>
        <w:tc>
          <w:tcPr>
            <w:tcW w:w="800" w:type="dxa"/>
            <w:vAlign w:val="bottom"/>
            <w:gridSpan w:val="2"/>
          </w:tcPr>
          <w:p>
            <w:pPr>
              <w:jc w:val="center"/>
              <w:ind w:right="140"/>
              <w:spacing w:after="0" w:line="176" w:lineRule="exact"/>
              <w:rPr>
                <w:sz w:val="20"/>
                <w:szCs w:val="20"/>
                <w:color w:val="auto"/>
              </w:rPr>
            </w:pPr>
            <w:r>
              <w:rPr>
                <w:rFonts w:ascii="Arial" w:cs="Arial" w:eastAsia="Arial" w:hAnsi="Arial"/>
                <w:sz w:val="13"/>
                <w:szCs w:val="13"/>
                <w:b w:val="1"/>
                <w:bCs w:val="1"/>
                <w:color w:val="auto"/>
                <w:w w:val="94"/>
              </w:rPr>
              <w:t>Held</w:t>
            </w:r>
            <w:r>
              <w:rPr>
                <w:rFonts w:ascii="Arial" w:cs="Arial" w:eastAsia="Arial" w:hAnsi="Arial"/>
                <w:sz w:val="20"/>
                <w:szCs w:val="20"/>
                <w:b w:val="1"/>
                <w:bCs w:val="1"/>
                <w:color w:val="auto"/>
                <w:w w:val="94"/>
                <w:vertAlign w:val="superscript"/>
              </w:rPr>
              <w:t>(1)</w:t>
            </w:r>
          </w:p>
        </w:tc>
      </w:tr>
      <w:tr>
        <w:trPr>
          <w:trHeight w:val="201"/>
        </w:trPr>
        <w:tc>
          <w:tcPr>
            <w:tcW w:w="19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Q</w:t>
            </w:r>
            <w:r>
              <w:rPr>
                <w:rFonts w:ascii="Arial" w:cs="Arial" w:eastAsia="Arial" w:hAnsi="Arial"/>
                <w:sz w:val="14"/>
                <w:szCs w:val="14"/>
                <w:color w:val="auto"/>
              </w:rPr>
              <w:t>UESTEX</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w:t>
            </w:r>
          </w:p>
        </w:tc>
        <w:tc>
          <w:tcPr>
            <w:tcW w:w="1880" w:type="dxa"/>
            <w:vAlign w:val="bottom"/>
          </w:tcPr>
          <w:p>
            <w:pPr>
              <w:spacing w:after="0" w:line="201"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w:t>
            </w:r>
            <w:r>
              <w:rPr>
                <w:rFonts w:ascii="Arial" w:cs="Arial" w:eastAsia="Arial" w:hAnsi="Arial"/>
                <w:sz w:val="18"/>
                <w:szCs w:val="18"/>
                <w:color w:val="auto"/>
              </w:rPr>
              <w:t>.</w:t>
            </w:r>
          </w:p>
        </w:tc>
        <w:tc>
          <w:tcPr>
            <w:tcW w:w="30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420" w:type="dxa"/>
            <w:vAlign w:val="bottom"/>
          </w:tcPr>
          <w:p>
            <w:pPr>
              <w:spacing w:after="0"/>
              <w:rPr>
                <w:sz w:val="17"/>
                <w:szCs w:val="17"/>
                <w:color w:val="auto"/>
              </w:rPr>
            </w:pPr>
          </w:p>
        </w:tc>
        <w:tc>
          <w:tcPr>
            <w:tcW w:w="29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17"/>
                <w:szCs w:val="17"/>
                <w:color w:val="auto"/>
              </w:rPr>
            </w:pPr>
          </w:p>
        </w:tc>
        <w:tc>
          <w:tcPr>
            <w:tcW w:w="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7"/>
                <w:szCs w:val="17"/>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275 G</w:t>
            </w:r>
            <w:r>
              <w:rPr>
                <w:rFonts w:ascii="Arial" w:cs="Arial" w:eastAsia="Arial" w:hAnsi="Arial"/>
                <w:sz w:val="14"/>
                <w:szCs w:val="14"/>
                <w:color w:val="auto"/>
              </w:rPr>
              <w:t>ROVE</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2-130</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EWTON</w:t>
            </w:r>
            <w:r>
              <w:rPr>
                <w:rFonts w:ascii="Arial" w:cs="Arial" w:eastAsia="Arial" w:hAnsi="Arial"/>
                <w:sz w:val="18"/>
                <w:szCs w:val="18"/>
                <w:color w:val="auto"/>
              </w:rPr>
              <w:t>, MA 02466</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EADER</w:t>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ml:space="preserve"> D</w:t>
            </w:r>
            <w:r>
              <w:rPr>
                <w:rFonts w:ascii="Arial" w:cs="Arial" w:eastAsia="Arial" w:hAnsi="Arial"/>
                <w:sz w:val="14"/>
                <w:szCs w:val="14"/>
                <w:color w:val="auto"/>
              </w:rPr>
              <w:t>IGEST</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w:t>
            </w:r>
            <w:r>
              <w:rPr>
                <w:rFonts w:ascii="Arial" w:cs="Arial" w:eastAsia="Arial" w:hAnsi="Arial"/>
                <w:sz w:val="18"/>
                <w:szCs w:val="18"/>
                <w:color w:val="auto"/>
              </w:rPr>
              <w:t xml:space="preserve"> &amp; P</w:t>
            </w:r>
            <w:r>
              <w:rPr>
                <w:rFonts w:ascii="Arial" w:cs="Arial" w:eastAsia="Arial" w:hAnsi="Arial"/>
                <w:sz w:val="14"/>
                <w:szCs w:val="14"/>
                <w:color w:val="auto"/>
              </w:rPr>
              <w:t>UBLISHING</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EADERS</w:t>
            </w:r>
            <w:r>
              <w:rPr>
                <w:rFonts w:ascii="Arial" w:cs="Arial" w:eastAsia="Arial" w:hAnsi="Arial"/>
                <w:sz w:val="18"/>
                <w:szCs w:val="18"/>
                <w:color w:val="auto"/>
              </w:rPr>
              <w:t xml:space="preserve"> D</w:t>
            </w:r>
            <w:r>
              <w:rPr>
                <w:rFonts w:ascii="Arial" w:cs="Arial" w:eastAsia="Arial" w:hAnsi="Arial"/>
                <w:sz w:val="14"/>
                <w:szCs w:val="14"/>
                <w:color w:val="auto"/>
              </w:rPr>
              <w:t>IGEST</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LEASANTVILLE</w:t>
            </w:r>
            <w:r>
              <w:rPr>
                <w:rFonts w:ascii="Arial" w:cs="Arial" w:eastAsia="Arial" w:hAnsi="Arial"/>
                <w:sz w:val="18"/>
                <w:szCs w:val="18"/>
                <w:color w:val="auto"/>
              </w:rPr>
              <w:t>, NY 10570</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31"/>
        </w:trPr>
        <w:tc>
          <w:tcPr>
            <w:tcW w:w="3780" w:type="dxa"/>
            <w:vAlign w:val="bottom"/>
            <w:gridSpan w:val="2"/>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EALOGY</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UILDINGS</w:t>
            </w:r>
            <w:r>
              <w:rPr>
                <w:rFonts w:ascii="Arial" w:cs="Arial" w:eastAsia="Arial" w:hAnsi="Arial"/>
                <w:sz w:val="18"/>
                <w:szCs w:val="18"/>
                <w:color w:val="auto"/>
              </w:rPr>
              <w:t xml:space="preserve"> &amp; R</w:t>
            </w:r>
            <w:r>
              <w:rPr>
                <w:rFonts w:ascii="Arial" w:cs="Arial" w:eastAsia="Arial" w:hAnsi="Arial"/>
                <w:sz w:val="14"/>
                <w:szCs w:val="14"/>
                <w:color w:val="auto"/>
              </w:rPr>
              <w:t>EAL</w:t>
            </w:r>
            <w:r>
              <w:rPr>
                <w:rFonts w:ascii="Arial" w:cs="Arial" w:eastAsia="Arial" w:hAnsi="Arial"/>
                <w:sz w:val="18"/>
                <w:szCs w:val="18"/>
                <w:color w:val="auto"/>
              </w:rPr>
              <w:t xml:space="preserve"> E</w:t>
            </w:r>
            <w:r>
              <w:rPr>
                <w:rFonts w:ascii="Arial" w:cs="Arial" w:eastAsia="Arial" w:hAnsi="Arial"/>
                <w:sz w:val="14"/>
                <w:szCs w:val="14"/>
                <w:color w:val="auto"/>
              </w:rPr>
              <w:t>STATE</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NE</w:t>
            </w:r>
            <w:r>
              <w:rPr>
                <w:rFonts w:ascii="Arial" w:cs="Arial" w:eastAsia="Arial" w:hAnsi="Arial"/>
                <w:sz w:val="18"/>
                <w:szCs w:val="18"/>
                <w:color w:val="auto"/>
              </w:rPr>
              <w:t xml:space="preserve"> C</w:t>
            </w:r>
            <w:r>
              <w:rPr>
                <w:rFonts w:ascii="Arial" w:cs="Arial" w:eastAsia="Arial" w:hAnsi="Arial"/>
                <w:sz w:val="14"/>
                <w:szCs w:val="14"/>
                <w:color w:val="auto"/>
              </w:rPr>
              <w:t>AMPUS</w:t>
            </w:r>
            <w:r>
              <w:rPr>
                <w:rFonts w:ascii="Arial" w:cs="Arial" w:eastAsia="Arial" w:hAnsi="Arial"/>
                <w:sz w:val="18"/>
                <w:szCs w:val="18"/>
                <w:color w:val="auto"/>
              </w:rPr>
              <w:t xml:space="preserve"> D</w:t>
            </w:r>
            <w:r>
              <w:rPr>
                <w:rFonts w:ascii="Arial" w:cs="Arial" w:eastAsia="Arial" w:hAnsi="Arial"/>
                <w:sz w:val="14"/>
                <w:szCs w:val="14"/>
                <w:color w:val="auto"/>
              </w:rPr>
              <w:t>RIVE</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ARSIPPANY</w:t>
            </w:r>
            <w:r>
              <w:rPr>
                <w:rFonts w:ascii="Arial" w:cs="Arial" w:eastAsia="Arial" w:hAnsi="Arial"/>
                <w:sz w:val="18"/>
                <w:szCs w:val="18"/>
                <w:color w:val="auto"/>
              </w:rPr>
              <w:t>, NJ 07054</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EXNORD</w:t>
            </w:r>
            <w:r>
              <w:rPr>
                <w:rFonts w:ascii="Arial" w:cs="Arial" w:eastAsia="Arial" w:hAnsi="Arial"/>
                <w:sz w:val="18"/>
                <w:szCs w:val="18"/>
                <w:color w:val="auto"/>
              </w:rPr>
              <w:t>, L.L.C.</w:t>
            </w:r>
          </w:p>
        </w:tc>
        <w:tc>
          <w:tcPr>
            <w:tcW w:w="3020" w:type="dxa"/>
            <w:vAlign w:val="bottom"/>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ANUFACTURING</w:t>
            </w:r>
            <w:r>
              <w:rPr>
                <w:rFonts w:ascii="Arial" w:cs="Arial" w:eastAsia="Arial" w:hAnsi="Arial"/>
                <w:sz w:val="18"/>
                <w:szCs w:val="18"/>
                <w:color w:val="auto"/>
              </w:rPr>
              <w:t>/ B</w:t>
            </w:r>
            <w:r>
              <w:rPr>
                <w:rFonts w:ascii="Arial" w:cs="Arial" w:eastAsia="Arial" w:hAnsi="Arial"/>
                <w:sz w:val="14"/>
                <w:szCs w:val="14"/>
                <w:color w:val="auto"/>
              </w:rPr>
              <w:t>ASIC</w:t>
            </w:r>
            <w:r>
              <w:rPr>
                <w:rFonts w:ascii="Arial" w:cs="Arial" w:eastAsia="Arial" w:hAnsi="Arial"/>
                <w:sz w:val="18"/>
                <w:szCs w:val="18"/>
                <w:color w:val="auto"/>
              </w:rPr>
              <w:t xml:space="preserve"> I</w:t>
            </w:r>
            <w:r>
              <w:rPr>
                <w:rFonts w:ascii="Arial" w:cs="Arial" w:eastAsia="Arial" w:hAnsi="Arial"/>
                <w:sz w:val="14"/>
                <w:szCs w:val="14"/>
                <w:color w:val="auto"/>
              </w:rPr>
              <w:t>NDUSTRIES</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5555 S. W</w:t>
            </w:r>
            <w:r>
              <w:rPr>
                <w:rFonts w:ascii="Arial" w:cs="Arial" w:eastAsia="Arial" w:hAnsi="Arial"/>
                <w:sz w:val="14"/>
                <w:szCs w:val="14"/>
                <w:color w:val="auto"/>
              </w:rPr>
              <w:t>OODLAND</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B</w:t>
            </w:r>
            <w:r>
              <w:rPr>
                <w:rFonts w:ascii="Arial" w:cs="Arial" w:eastAsia="Arial" w:hAnsi="Arial"/>
                <w:sz w:val="14"/>
                <w:szCs w:val="14"/>
                <w:color w:val="auto"/>
              </w:rPr>
              <w:t>ERLIN</w:t>
            </w:r>
            <w:r>
              <w:rPr>
                <w:rFonts w:ascii="Arial" w:cs="Arial" w:eastAsia="Arial" w:hAnsi="Arial"/>
                <w:sz w:val="18"/>
                <w:szCs w:val="18"/>
                <w:color w:val="auto"/>
              </w:rPr>
              <w:t>, WI 53151</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31"/>
        </w:trPr>
        <w:tc>
          <w:tcPr>
            <w:tcW w:w="37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AINT</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w w:val="98"/>
              </w:rPr>
              <w:t>T</w:t>
            </w:r>
            <w:r>
              <w:rPr>
                <w:rFonts w:ascii="Arial" w:cs="Arial" w:eastAsia="Arial" w:hAnsi="Arial"/>
                <w:sz w:val="14"/>
                <w:szCs w:val="14"/>
                <w:color w:val="auto"/>
                <w:w w:val="98"/>
              </w:rPr>
              <w:t>RANSPORTATION</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2200 S</w:t>
            </w:r>
            <w:r>
              <w:rPr>
                <w:rFonts w:ascii="Arial" w:cs="Arial" w:eastAsia="Arial" w:hAnsi="Arial"/>
                <w:sz w:val="14"/>
                <w:szCs w:val="14"/>
                <w:color w:val="auto"/>
              </w:rPr>
              <w:t>OUTH</w:t>
            </w:r>
            <w:r>
              <w:rPr>
                <w:rFonts w:ascii="Arial" w:cs="Arial" w:eastAsia="Arial" w:hAnsi="Arial"/>
                <w:sz w:val="18"/>
                <w:szCs w:val="18"/>
                <w:color w:val="auto"/>
              </w:rPr>
              <w:t xml:space="preserve"> 75</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HOENIX</w:t>
            </w:r>
            <w:r>
              <w:rPr>
                <w:rFonts w:ascii="Arial" w:cs="Arial" w:eastAsia="Arial" w:hAnsi="Arial"/>
                <w:sz w:val="18"/>
                <w:szCs w:val="18"/>
                <w:color w:val="auto"/>
              </w:rPr>
              <w:t>, AZ 85043</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HERIDAN</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 E</w:t>
            </w:r>
            <w:r>
              <w:rPr>
                <w:rFonts w:ascii="Arial" w:cs="Arial" w:eastAsia="Arial" w:hAnsi="Arial"/>
                <w:sz w:val="14"/>
                <w:szCs w:val="14"/>
                <w:color w:val="auto"/>
              </w:rPr>
              <w:t>DUCATION</w:t>
            </w:r>
            <w:r>
              <w:rPr>
                <w:rFonts w:ascii="Arial" w:cs="Arial" w:eastAsia="Arial" w:hAnsi="Arial"/>
                <w:sz w:val="18"/>
                <w:szCs w:val="18"/>
                <w:color w:val="auto"/>
              </w:rPr>
              <w:t xml:space="preserve"> &amp; C</w:t>
            </w:r>
            <w:r>
              <w:rPr>
                <w:rFonts w:ascii="Arial" w:cs="Arial" w:eastAsia="Arial" w:hAnsi="Arial"/>
                <w:sz w:val="14"/>
                <w:szCs w:val="14"/>
                <w:color w:val="auto"/>
              </w:rPr>
              <w:t>HILDCARE</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1613 N. H</w:t>
            </w:r>
            <w:r>
              <w:rPr>
                <w:rFonts w:ascii="Arial" w:cs="Arial" w:eastAsia="Arial" w:hAnsi="Arial"/>
                <w:sz w:val="14"/>
                <w:szCs w:val="14"/>
                <w:color w:val="auto"/>
              </w:rPr>
              <w:t>ARRISON</w:t>
            </w:r>
            <w:r>
              <w:rPr>
                <w:rFonts w:ascii="Arial" w:cs="Arial" w:eastAsia="Arial" w:hAnsi="Arial"/>
                <w:sz w:val="18"/>
                <w:szCs w:val="18"/>
                <w:color w:val="auto"/>
              </w:rPr>
              <w:t xml:space="preserve"> P</w:t>
            </w:r>
            <w:r>
              <w:rPr>
                <w:rFonts w:ascii="Arial" w:cs="Arial" w:eastAsia="Arial" w:hAnsi="Arial"/>
                <w:sz w:val="14"/>
                <w:szCs w:val="14"/>
                <w:color w:val="auto"/>
              </w:rPr>
              <w:t>ARKWAY</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200</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UNRISE</w:t>
            </w:r>
            <w:r>
              <w:rPr>
                <w:rFonts w:ascii="Arial" w:cs="Arial" w:eastAsia="Arial" w:hAnsi="Arial"/>
                <w:sz w:val="18"/>
                <w:szCs w:val="18"/>
                <w:color w:val="auto"/>
              </w:rPr>
              <w:t>, FL 33323</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31"/>
        </w:trPr>
        <w:tc>
          <w:tcPr>
            <w:tcW w:w="37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ITEL</w:t>
            </w:r>
            <w:r>
              <w:rPr>
                <w:rFonts w:ascii="Arial" w:cs="Arial" w:eastAsia="Arial" w:hAnsi="Arial"/>
                <w:sz w:val="18"/>
                <w:szCs w:val="18"/>
                <w:color w:val="auto"/>
              </w:rPr>
              <w:t>, L.L.C.</w:t>
            </w:r>
          </w:p>
        </w:tc>
        <w:tc>
          <w:tcPr>
            <w:tcW w:w="3020" w:type="dxa"/>
            <w:vAlign w:val="bottom"/>
          </w:tcPr>
          <w:p>
            <w:pPr>
              <w:jc w:val="center"/>
              <w:spacing w:after="0"/>
              <w:rPr>
                <w:sz w:val="20"/>
                <w:szCs w:val="20"/>
                <w:color w:val="auto"/>
              </w:rPr>
            </w:pPr>
            <w:r>
              <w:rPr>
                <w:rFonts w:ascii="Arial" w:cs="Arial" w:eastAsia="Arial" w:hAnsi="Arial"/>
                <w:sz w:val="18"/>
                <w:szCs w:val="18"/>
                <w:color w:val="auto"/>
                <w:w w:val="96"/>
              </w:rPr>
              <w:t>B</w:t>
            </w:r>
            <w:r>
              <w:rPr>
                <w:rFonts w:ascii="Arial" w:cs="Arial" w:eastAsia="Arial" w:hAnsi="Arial"/>
                <w:sz w:val="14"/>
                <w:szCs w:val="14"/>
                <w:color w:val="auto"/>
                <w:w w:val="96"/>
              </w:rPr>
              <w:t>USINESS</w:t>
            </w:r>
            <w:r>
              <w:rPr>
                <w:rFonts w:ascii="Arial" w:cs="Arial" w:eastAsia="Arial" w:hAnsi="Arial"/>
                <w:sz w:val="18"/>
                <w:szCs w:val="18"/>
                <w:color w:val="auto"/>
                <w:w w:val="96"/>
              </w:rPr>
              <w:t xml:space="preserve"> S</w:t>
            </w:r>
            <w:r>
              <w:rPr>
                <w:rFonts w:ascii="Arial" w:cs="Arial" w:eastAsia="Arial" w:hAnsi="Arial"/>
                <w:sz w:val="14"/>
                <w:szCs w:val="14"/>
                <w:color w:val="auto"/>
                <w:w w:val="96"/>
              </w:rPr>
              <w:t>ERVICES</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WO</w:t>
            </w:r>
            <w:r>
              <w:rPr>
                <w:rFonts w:ascii="Arial" w:cs="Arial" w:eastAsia="Arial" w:hAnsi="Arial"/>
                <w:sz w:val="18"/>
                <w:szCs w:val="18"/>
                <w:color w:val="auto"/>
              </w:rPr>
              <w:t xml:space="preserve"> A</w:t>
            </w:r>
            <w:r>
              <w:rPr>
                <w:rFonts w:ascii="Arial" w:cs="Arial" w:eastAsia="Arial" w:hAnsi="Arial"/>
                <w:sz w:val="14"/>
                <w:szCs w:val="14"/>
                <w:color w:val="auto"/>
              </w:rPr>
              <w:t>MERICAN</w:t>
            </w:r>
            <w:r>
              <w:rPr>
                <w:rFonts w:ascii="Arial" w:cs="Arial" w:eastAsia="Arial" w:hAnsi="Arial"/>
                <w:sz w:val="18"/>
                <w:szCs w:val="18"/>
                <w:color w:val="auto"/>
              </w:rPr>
              <w:t xml:space="preserve"> C</w:t>
            </w:r>
            <w:r>
              <w:rPr>
                <w:rFonts w:ascii="Arial" w:cs="Arial" w:eastAsia="Arial" w:hAnsi="Arial"/>
                <w:sz w:val="14"/>
                <w:szCs w:val="14"/>
                <w:color w:val="auto"/>
              </w:rPr>
              <w:t>ENTER</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3102 W</w:t>
            </w:r>
            <w:r>
              <w:rPr>
                <w:rFonts w:ascii="Arial" w:cs="Arial" w:eastAsia="Arial" w:hAnsi="Arial"/>
                <w:sz w:val="14"/>
                <w:szCs w:val="14"/>
                <w:color w:val="auto"/>
              </w:rPr>
              <w:t>EST</w:t>
            </w:r>
            <w:r>
              <w:rPr>
                <w:rFonts w:ascii="Arial" w:cs="Arial" w:eastAsia="Arial" w:hAnsi="Arial"/>
                <w:sz w:val="18"/>
                <w:szCs w:val="18"/>
                <w:color w:val="auto"/>
              </w:rPr>
              <w:t xml:space="preserve"> E</w:t>
            </w:r>
            <w:r>
              <w:rPr>
                <w:rFonts w:ascii="Arial" w:cs="Arial" w:eastAsia="Arial" w:hAnsi="Arial"/>
                <w:sz w:val="14"/>
                <w:szCs w:val="14"/>
                <w:color w:val="auto"/>
              </w:rPr>
              <w:t>ND</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1000</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ASHVILLE</w:t>
            </w:r>
            <w:r>
              <w:rPr>
                <w:rFonts w:ascii="Arial" w:cs="Arial" w:eastAsia="Arial" w:hAnsi="Arial"/>
                <w:sz w:val="18"/>
                <w:szCs w:val="18"/>
                <w:color w:val="auto"/>
              </w:rPr>
              <w:t>, TN 37203</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PECIALIZED</w:t>
            </w:r>
            <w:r>
              <w:rPr>
                <w:rFonts w:ascii="Arial" w:cs="Arial" w:eastAsia="Arial" w:hAnsi="Arial"/>
                <w:sz w:val="18"/>
                <w:szCs w:val="18"/>
                <w:color w:val="auto"/>
              </w:rPr>
              <w:t xml:space="preserve"> T</w:t>
            </w:r>
            <w:r>
              <w:rPr>
                <w:rFonts w:ascii="Arial" w:cs="Arial" w:eastAsia="Arial" w:hAnsi="Arial"/>
                <w:sz w:val="14"/>
                <w:szCs w:val="14"/>
                <w:color w:val="auto"/>
              </w:rPr>
              <w:t>ECHNOLOGY</w:t>
            </w:r>
            <w:r>
              <w:rPr>
                <w:rFonts w:ascii="Arial" w:cs="Arial" w:eastAsia="Arial" w:hAnsi="Arial"/>
                <w:sz w:val="18"/>
                <w:szCs w:val="18"/>
                <w:color w:val="auto"/>
              </w:rPr>
              <w:t xml:space="preserve">   R</w:t>
            </w:r>
            <w:r>
              <w:rPr>
                <w:rFonts w:ascii="Arial" w:cs="Arial" w:eastAsia="Arial" w:hAnsi="Arial"/>
                <w:sz w:val="14"/>
                <w:szCs w:val="14"/>
                <w:color w:val="auto"/>
              </w:rPr>
              <w:t>ESOURCES</w:t>
            </w:r>
            <w:r>
              <w:rPr>
                <w:rFonts w:ascii="Arial" w:cs="Arial" w:eastAsia="Arial" w:hAnsi="Arial"/>
                <w:sz w:val="18"/>
                <w:szCs w:val="18"/>
                <w:color w:val="auto"/>
              </w:rPr>
              <w:t>,</w:t>
            </w:r>
          </w:p>
        </w:tc>
        <w:tc>
          <w:tcPr>
            <w:tcW w:w="3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HEMICAL</w:t>
            </w:r>
            <w:r>
              <w:rPr>
                <w:rFonts w:ascii="Arial" w:cs="Arial" w:eastAsia="Arial" w:hAnsi="Arial"/>
                <w:sz w:val="18"/>
                <w:szCs w:val="18"/>
                <w:color w:val="auto"/>
                <w:w w:val="99"/>
              </w:rPr>
              <w:t>, P</w:t>
            </w:r>
            <w:r>
              <w:rPr>
                <w:rFonts w:ascii="Arial" w:cs="Arial" w:eastAsia="Arial" w:hAnsi="Arial"/>
                <w:sz w:val="14"/>
                <w:szCs w:val="14"/>
                <w:color w:val="auto"/>
                <w:w w:val="99"/>
              </w:rPr>
              <w:t>LASTICS</w:t>
            </w:r>
            <w:r>
              <w:rPr>
                <w:rFonts w:ascii="Arial" w:cs="Arial" w:eastAsia="Arial" w:hAnsi="Arial"/>
                <w:sz w:val="18"/>
                <w:szCs w:val="18"/>
                <w:color w:val="auto"/>
                <w:w w:val="99"/>
              </w:rPr>
              <w:t xml:space="preserve"> &amp; R</w:t>
            </w:r>
            <w:r>
              <w:rPr>
                <w:rFonts w:ascii="Arial" w:cs="Arial" w:eastAsia="Arial" w:hAnsi="Arial"/>
                <w:sz w:val="14"/>
                <w:szCs w:val="14"/>
                <w:color w:val="auto"/>
                <w:w w:val="99"/>
              </w:rPr>
              <w:t>UBBER</w:t>
            </w: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10 W</w:t>
            </w:r>
            <w:r>
              <w:rPr>
                <w:rFonts w:ascii="Arial" w:cs="Arial" w:eastAsia="Arial" w:hAnsi="Arial"/>
                <w:sz w:val="14"/>
                <w:szCs w:val="14"/>
                <w:color w:val="auto"/>
              </w:rPr>
              <w:t>ATER</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NFIELD</w:t>
            </w:r>
            <w:r>
              <w:rPr>
                <w:rFonts w:ascii="Arial" w:cs="Arial" w:eastAsia="Arial" w:hAnsi="Arial"/>
                <w:sz w:val="18"/>
                <w:szCs w:val="18"/>
                <w:color w:val="auto"/>
              </w:rPr>
              <w:t>, CT 06082</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RANS</w:t>
            </w:r>
            <w:r>
              <w:rPr>
                <w:rFonts w:ascii="Arial" w:cs="Arial" w:eastAsia="Arial" w:hAnsi="Arial"/>
                <w:sz w:val="18"/>
                <w:szCs w:val="18"/>
                <w:color w:val="auto"/>
              </w:rPr>
              <w:t>F</w:t>
            </w:r>
            <w:r>
              <w:rPr>
                <w:rFonts w:ascii="Arial" w:cs="Arial" w:eastAsia="Arial" w:hAnsi="Arial"/>
                <w:sz w:val="14"/>
                <w:szCs w:val="14"/>
                <w:color w:val="auto"/>
              </w:rPr>
              <w:t>IRST</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w w:val="96"/>
              </w:rPr>
              <w:t>B</w:t>
            </w:r>
            <w:r>
              <w:rPr>
                <w:rFonts w:ascii="Arial" w:cs="Arial" w:eastAsia="Arial" w:hAnsi="Arial"/>
                <w:sz w:val="14"/>
                <w:szCs w:val="14"/>
                <w:color w:val="auto"/>
                <w:w w:val="96"/>
              </w:rPr>
              <w:t>USINESS</w:t>
            </w:r>
            <w:r>
              <w:rPr>
                <w:rFonts w:ascii="Arial" w:cs="Arial" w:eastAsia="Arial" w:hAnsi="Arial"/>
                <w:sz w:val="18"/>
                <w:szCs w:val="18"/>
                <w:color w:val="auto"/>
                <w:w w:val="96"/>
              </w:rPr>
              <w:t xml:space="preserve"> S</w:t>
            </w:r>
            <w:r>
              <w:rPr>
                <w:rFonts w:ascii="Arial" w:cs="Arial" w:eastAsia="Arial" w:hAnsi="Arial"/>
                <w:sz w:val="14"/>
                <w:szCs w:val="14"/>
                <w:color w:val="auto"/>
                <w:w w:val="96"/>
              </w:rPr>
              <w:t>ERVICES</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5950 B</w:t>
            </w:r>
            <w:r>
              <w:rPr>
                <w:rFonts w:ascii="Arial" w:cs="Arial" w:eastAsia="Arial" w:hAnsi="Arial"/>
                <w:sz w:val="14"/>
                <w:szCs w:val="14"/>
                <w:color w:val="auto"/>
              </w:rPr>
              <w:t>ERKSHIRE</w:t>
            </w:r>
            <w:r>
              <w:rPr>
                <w:rFonts w:ascii="Arial" w:cs="Arial" w:eastAsia="Arial" w:hAnsi="Arial"/>
                <w:sz w:val="18"/>
                <w:szCs w:val="18"/>
                <w:color w:val="auto"/>
              </w:rPr>
              <w:t xml:space="preserve"> L</w:t>
            </w:r>
            <w:r>
              <w:rPr>
                <w:rFonts w:ascii="Arial" w:cs="Arial" w:eastAsia="Arial" w:hAnsi="Arial"/>
                <w:sz w:val="14"/>
                <w:szCs w:val="14"/>
                <w:color w:val="auto"/>
              </w:rPr>
              <w:t>ANE</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1100</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ALLAS</w:t>
            </w:r>
            <w:r>
              <w:rPr>
                <w:rFonts w:ascii="Arial" w:cs="Arial" w:eastAsia="Arial" w:hAnsi="Arial"/>
                <w:sz w:val="18"/>
                <w:szCs w:val="18"/>
                <w:color w:val="auto"/>
              </w:rPr>
              <w:t>, T</w:t>
            </w:r>
            <w:r>
              <w:rPr>
                <w:rFonts w:ascii="Arial" w:cs="Arial" w:eastAsia="Arial" w:hAnsi="Arial"/>
                <w:sz w:val="14"/>
                <w:szCs w:val="14"/>
                <w:color w:val="auto"/>
              </w:rPr>
              <w:t>EXAS</w:t>
            </w:r>
            <w:r>
              <w:rPr>
                <w:rFonts w:ascii="Arial" w:cs="Arial" w:eastAsia="Arial" w:hAnsi="Arial"/>
                <w:sz w:val="18"/>
                <w:szCs w:val="18"/>
                <w:color w:val="auto"/>
              </w:rPr>
              <w:t xml:space="preserve"> 75225</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NIVISION</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ROADCASTING</w:t>
            </w:r>
            <w:r>
              <w:rPr>
                <w:rFonts w:ascii="Arial" w:cs="Arial" w:eastAsia="Arial" w:hAnsi="Arial"/>
                <w:sz w:val="18"/>
                <w:szCs w:val="18"/>
                <w:color w:val="auto"/>
              </w:rPr>
              <w:t xml:space="preserve"> &amp; E</w:t>
            </w:r>
            <w:r>
              <w:rPr>
                <w:rFonts w:ascii="Arial" w:cs="Arial" w:eastAsia="Arial" w:hAnsi="Arial"/>
                <w:sz w:val="14"/>
                <w:szCs w:val="14"/>
                <w:color w:val="auto"/>
              </w:rPr>
              <w:t>NTERTAINMENT</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1999 A</w:t>
            </w:r>
            <w:r>
              <w:rPr>
                <w:rFonts w:ascii="Arial" w:cs="Arial" w:eastAsia="Arial" w:hAnsi="Arial"/>
                <w:sz w:val="14"/>
                <w:szCs w:val="14"/>
                <w:color w:val="auto"/>
              </w:rPr>
              <w:t>VENUE OF THE</w:t>
            </w:r>
            <w:r>
              <w:rPr>
                <w:rFonts w:ascii="Arial" w:cs="Arial" w:eastAsia="Arial" w:hAnsi="Arial"/>
                <w:sz w:val="18"/>
                <w:szCs w:val="18"/>
                <w:color w:val="auto"/>
              </w:rPr>
              <w:t xml:space="preserve"> S</w:t>
            </w:r>
            <w:r>
              <w:rPr>
                <w:rFonts w:ascii="Arial" w:cs="Arial" w:eastAsia="Arial" w:hAnsi="Arial"/>
                <w:sz w:val="14"/>
                <w:szCs w:val="14"/>
                <w:color w:val="auto"/>
              </w:rPr>
              <w:t>TARS</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OS</w:t>
            </w:r>
            <w:r>
              <w:rPr>
                <w:rFonts w:ascii="Arial" w:cs="Arial" w:eastAsia="Arial" w:hAnsi="Arial"/>
                <w:sz w:val="18"/>
                <w:szCs w:val="18"/>
                <w:color w:val="auto"/>
              </w:rPr>
              <w:t xml:space="preserve"> A</w:t>
            </w:r>
            <w:r>
              <w:rPr>
                <w:rFonts w:ascii="Arial" w:cs="Arial" w:eastAsia="Arial" w:hAnsi="Arial"/>
                <w:sz w:val="14"/>
                <w:szCs w:val="14"/>
                <w:color w:val="auto"/>
              </w:rPr>
              <w:t>NGELES</w:t>
            </w:r>
            <w:r>
              <w:rPr>
                <w:rFonts w:ascii="Arial" w:cs="Arial" w:eastAsia="Arial" w:hAnsi="Arial"/>
                <w:sz w:val="18"/>
                <w:szCs w:val="18"/>
                <w:color w:val="auto"/>
              </w:rPr>
              <w:t>, CA 90067</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P</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S</w:t>
            </w:r>
            <w:r>
              <w:rPr>
                <w:rFonts w:ascii="Arial" w:cs="Arial" w:eastAsia="Arial" w:hAnsi="Arial"/>
                <w:sz w:val="14"/>
                <w:szCs w:val="14"/>
                <w:color w:val="auto"/>
              </w:rPr>
              <w:t>UB</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IL</w:t>
            </w:r>
            <w:r>
              <w:rPr>
                <w:rFonts w:ascii="Arial" w:cs="Arial" w:eastAsia="Arial" w:hAnsi="Arial"/>
                <w:sz w:val="18"/>
                <w:szCs w:val="18"/>
                <w:color w:val="auto"/>
              </w:rPr>
              <w:t xml:space="preserve"> &amp; G</w:t>
            </w:r>
            <w:r>
              <w:rPr>
                <w:rFonts w:ascii="Arial" w:cs="Arial" w:eastAsia="Arial" w:hAnsi="Arial"/>
                <w:sz w:val="14"/>
                <w:szCs w:val="14"/>
                <w:color w:val="auto"/>
              </w:rPr>
              <w:t>AS</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Subordinate Debt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1515 A</w:t>
            </w:r>
            <w:r>
              <w:rPr>
                <w:rFonts w:ascii="Arial" w:cs="Arial" w:eastAsia="Arial" w:hAnsi="Arial"/>
                <w:sz w:val="14"/>
                <w:szCs w:val="14"/>
                <w:color w:val="auto"/>
              </w:rPr>
              <w:t>RAPAHOE</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0"/>
              </w:rPr>
              <w:t>Preferred Equity</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OWER</w:t>
            </w:r>
            <w:r>
              <w:rPr>
                <w:rFonts w:ascii="Arial" w:cs="Arial" w:eastAsia="Arial" w:hAnsi="Arial"/>
                <w:sz w:val="18"/>
                <w:szCs w:val="18"/>
                <w:color w:val="auto"/>
              </w:rPr>
              <w:t xml:space="preserve"> O</w:t>
            </w:r>
            <w:r>
              <w:rPr>
                <w:rFonts w:ascii="Arial" w:cs="Arial" w:eastAsia="Arial" w:hAnsi="Arial"/>
                <w:sz w:val="14"/>
                <w:szCs w:val="14"/>
                <w:color w:val="auto"/>
              </w:rPr>
              <w:t>NE</w:t>
            </w:r>
            <w:r>
              <w:rPr>
                <w:rFonts w:ascii="Arial" w:cs="Arial" w:eastAsia="Arial" w:hAnsi="Arial"/>
                <w:sz w:val="18"/>
                <w:szCs w:val="18"/>
                <w:color w:val="auto"/>
              </w:rPr>
              <w:t>, S</w:t>
            </w:r>
            <w:r>
              <w:rPr>
                <w:rFonts w:ascii="Arial" w:cs="Arial" w:eastAsia="Arial" w:hAnsi="Arial"/>
                <w:sz w:val="14"/>
                <w:szCs w:val="14"/>
                <w:color w:val="auto"/>
              </w:rPr>
              <w:t>UITE</w:t>
            </w:r>
            <w:r>
              <w:rPr>
                <w:rFonts w:ascii="Arial" w:cs="Arial" w:eastAsia="Arial" w:hAnsi="Arial"/>
                <w:sz w:val="18"/>
                <w:szCs w:val="18"/>
                <w:color w:val="auto"/>
              </w:rPr>
              <w:t xml:space="preserve"> 1500</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2"/>
              </w:rPr>
              <w:t>Common Equity</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ENVER</w:t>
            </w:r>
            <w:r>
              <w:rPr>
                <w:rFonts w:ascii="Arial" w:cs="Arial" w:eastAsia="Arial" w:hAnsi="Arial"/>
                <w:sz w:val="18"/>
                <w:szCs w:val="18"/>
                <w:color w:val="auto"/>
              </w:rPr>
              <w:t>, C</w:t>
            </w:r>
            <w:r>
              <w:rPr>
                <w:rFonts w:ascii="Arial" w:cs="Arial" w:eastAsia="Arial" w:hAnsi="Arial"/>
                <w:sz w:val="14"/>
                <w:szCs w:val="14"/>
                <w:color w:val="auto"/>
              </w:rPr>
              <w:t>O</w:t>
            </w:r>
            <w:r>
              <w:rPr>
                <w:rFonts w:ascii="Arial" w:cs="Arial" w:eastAsia="Arial" w:hAnsi="Arial"/>
                <w:sz w:val="18"/>
                <w:szCs w:val="18"/>
                <w:color w:val="auto"/>
              </w:rPr>
              <w:t>. 80202</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78"/>
        </w:trPr>
        <w:tc>
          <w:tcPr>
            <w:tcW w:w="19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020" w:type="dxa"/>
            <w:vAlign w:val="bottom"/>
          </w:tcPr>
          <w:p>
            <w:pPr>
              <w:jc w:val="right"/>
              <w:ind w:right="914"/>
              <w:spacing w:after="0"/>
              <w:rPr>
                <w:sz w:val="20"/>
                <w:szCs w:val="20"/>
                <w:color w:val="auto"/>
              </w:rPr>
            </w:pPr>
            <w:r>
              <w:rPr>
                <w:rFonts w:ascii="Arial" w:cs="Arial" w:eastAsia="Arial" w:hAnsi="Arial"/>
                <w:sz w:val="18"/>
                <w:szCs w:val="18"/>
                <w:color w:val="auto"/>
              </w:rPr>
              <w:t>58</w:t>
            </w:r>
          </w:p>
        </w:tc>
        <w:tc>
          <w:tcPr>
            <w:tcW w:w="4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w:t>
            </w:r>
          </w:p>
        </w:tc>
      </w:tr>
      <w:tr>
        <w:trPr>
          <w:trHeight w:val="161"/>
        </w:trPr>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Portfolio</w:t>
            </w:r>
          </w:p>
        </w:tc>
        <w:tc>
          <w:tcPr>
            <w:tcW w:w="3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4"/>
              </w:rPr>
              <w:t>of Class</w:t>
            </w:r>
          </w:p>
        </w:tc>
      </w:tr>
      <w:tr>
        <w:trPr>
          <w:trHeight w:val="176"/>
        </w:trPr>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440" w:type="dxa"/>
            <w:vAlign w:val="bottom"/>
          </w:tcPr>
          <w:p>
            <w:pPr>
              <w:spacing w:after="0"/>
              <w:rPr>
                <w:sz w:val="15"/>
                <w:szCs w:val="15"/>
                <w:color w:val="auto"/>
              </w:rPr>
            </w:pP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86"/>
              </w:rPr>
              <w:t>Type of Investment</w:t>
            </w:r>
          </w:p>
        </w:tc>
        <w:tc>
          <w:tcPr>
            <w:tcW w:w="44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9"/>
              </w:rPr>
              <w:t>Held</w:t>
            </w:r>
            <w:r>
              <w:rPr>
                <w:rFonts w:ascii="Arial" w:cs="Arial" w:eastAsia="Arial" w:hAnsi="Arial"/>
                <w:sz w:val="20"/>
                <w:szCs w:val="20"/>
                <w:b w:val="1"/>
                <w:bCs w:val="1"/>
                <w:color w:val="auto"/>
                <w:w w:val="89"/>
                <w:vertAlign w:val="superscript"/>
              </w:rPr>
              <w:t>(1)</w:t>
            </w:r>
          </w:p>
        </w:tc>
      </w:tr>
      <w:tr>
        <w:trPr>
          <w:trHeight w:val="201"/>
        </w:trPr>
        <w:tc>
          <w:tcPr>
            <w:tcW w:w="19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9"/>
              </w:rPr>
              <w:t>V</w:t>
            </w:r>
            <w:r>
              <w:rPr>
                <w:rFonts w:ascii="Arial" w:cs="Arial" w:eastAsia="Arial" w:hAnsi="Arial"/>
                <w:sz w:val="14"/>
                <w:szCs w:val="14"/>
                <w:color w:val="auto"/>
                <w:w w:val="89"/>
              </w:rPr>
              <w:t>ALASSIS</w:t>
            </w:r>
            <w:r>
              <w:rPr>
                <w:rFonts w:ascii="Arial" w:cs="Arial" w:eastAsia="Arial" w:hAnsi="Arial"/>
                <w:sz w:val="18"/>
                <w:szCs w:val="18"/>
                <w:color w:val="auto"/>
                <w:w w:val="89"/>
              </w:rPr>
              <w:t xml:space="preserve"> C</w:t>
            </w:r>
            <w:r>
              <w:rPr>
                <w:rFonts w:ascii="Arial" w:cs="Arial" w:eastAsia="Arial" w:hAnsi="Arial"/>
                <w:sz w:val="14"/>
                <w:szCs w:val="14"/>
                <w:color w:val="auto"/>
                <w:w w:val="89"/>
              </w:rPr>
              <w:t>OMMUNICATIONS</w:t>
            </w:r>
          </w:p>
        </w:tc>
        <w:tc>
          <w:tcPr>
            <w:tcW w:w="1860" w:type="dxa"/>
            <w:vAlign w:val="bottom"/>
          </w:tcPr>
          <w:p>
            <w:pPr>
              <w:ind w:left="240"/>
              <w:spacing w:after="0" w:line="201" w:lineRule="exact"/>
              <w:rPr>
                <w:sz w:val="20"/>
                <w:szCs w:val="20"/>
                <w:color w:val="auto"/>
              </w:rPr>
            </w:pP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w:t>
            </w:r>
            <w:r>
              <w:rPr>
                <w:rFonts w:ascii="Arial" w:cs="Arial" w:eastAsia="Arial" w:hAnsi="Arial"/>
                <w:sz w:val="18"/>
                <w:szCs w:val="18"/>
                <w:color w:val="auto"/>
              </w:rPr>
              <w:t xml:space="preserve"> &amp; P</w:t>
            </w:r>
            <w:r>
              <w:rPr>
                <w:rFonts w:ascii="Arial" w:cs="Arial" w:eastAsia="Arial" w:hAnsi="Arial"/>
                <w:sz w:val="14"/>
                <w:szCs w:val="14"/>
                <w:color w:val="auto"/>
              </w:rPr>
              <w:t>UBLISHING</w:t>
            </w:r>
          </w:p>
        </w:tc>
        <w:tc>
          <w:tcPr>
            <w:tcW w:w="440" w:type="dxa"/>
            <w:vAlign w:val="bottom"/>
          </w:tcPr>
          <w:p>
            <w:pPr>
              <w:spacing w:after="0"/>
              <w:rPr>
                <w:sz w:val="17"/>
                <w:szCs w:val="17"/>
                <w:color w:val="auto"/>
              </w:rPr>
            </w:pPr>
          </w:p>
        </w:tc>
        <w:tc>
          <w:tcPr>
            <w:tcW w:w="30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17"/>
                <w:szCs w:val="17"/>
                <w:color w:val="auto"/>
              </w:rPr>
            </w:pPr>
          </w:p>
        </w:tc>
        <w:tc>
          <w:tcPr>
            <w:tcW w:w="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19975 V</w:t>
            </w:r>
            <w:r>
              <w:rPr>
                <w:rFonts w:ascii="Arial" w:cs="Arial" w:eastAsia="Arial" w:hAnsi="Arial"/>
                <w:sz w:val="14"/>
                <w:szCs w:val="14"/>
                <w:color w:val="auto"/>
              </w:rPr>
              <w:t>ICTOR</w:t>
            </w:r>
            <w:r>
              <w:rPr>
                <w:rFonts w:ascii="Arial" w:cs="Arial" w:eastAsia="Arial" w:hAnsi="Arial"/>
                <w:sz w:val="18"/>
                <w:szCs w:val="18"/>
                <w:color w:val="auto"/>
              </w:rPr>
              <w:t xml:space="preserve"> P</w:t>
            </w:r>
            <w:r>
              <w:rPr>
                <w:rFonts w:ascii="Arial" w:cs="Arial" w:eastAsia="Arial" w:hAnsi="Arial"/>
                <w:sz w:val="14"/>
                <w:szCs w:val="14"/>
                <w:color w:val="auto"/>
              </w:rPr>
              <w:t>ARKWAY</w:t>
            </w:r>
          </w:p>
        </w:tc>
        <w:tc>
          <w:tcPr>
            <w:tcW w:w="3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IVONIA</w:t>
            </w:r>
            <w:r>
              <w:rPr>
                <w:rFonts w:ascii="Arial" w:cs="Arial" w:eastAsia="Arial" w:hAnsi="Arial"/>
                <w:sz w:val="18"/>
                <w:szCs w:val="18"/>
                <w:color w:val="auto"/>
              </w:rPr>
              <w:t>, MI 48152</w:t>
            </w:r>
          </w:p>
        </w:tc>
        <w:tc>
          <w:tcPr>
            <w:tcW w:w="3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76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ESTERN</w:t>
            </w:r>
            <w:r>
              <w:rPr>
                <w:rFonts w:ascii="Arial" w:cs="Arial" w:eastAsia="Arial" w:hAnsi="Arial"/>
                <w:sz w:val="18"/>
                <w:szCs w:val="18"/>
                <w:color w:val="auto"/>
              </w:rPr>
              <w:t xml:space="preserve"> R</w:t>
            </w:r>
            <w:r>
              <w:rPr>
                <w:rFonts w:ascii="Arial" w:cs="Arial" w:eastAsia="Arial" w:hAnsi="Arial"/>
                <w:sz w:val="14"/>
                <w:szCs w:val="14"/>
                <w:color w:val="auto"/>
              </w:rPr>
              <w:t>EFINING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80" w:type="dxa"/>
            <w:vAlign w:val="bottom"/>
          </w:tcPr>
          <w:p>
            <w:pPr>
              <w:jc w:val="center"/>
              <w:spacing w:after="0"/>
              <w:rPr>
                <w:sz w:val="20"/>
                <w:szCs w:val="20"/>
                <w:color w:val="auto"/>
              </w:rPr>
            </w:pPr>
            <w:r>
              <w:rPr>
                <w:rFonts w:ascii="Arial" w:cs="Arial" w:eastAsia="Arial" w:hAnsi="Arial"/>
                <w:sz w:val="18"/>
                <w:szCs w:val="18"/>
                <w:color w:val="auto"/>
                <w:w w:val="99"/>
              </w:rPr>
              <w:t>O</w:t>
            </w:r>
            <w:r>
              <w:rPr>
                <w:rFonts w:ascii="Arial" w:cs="Arial" w:eastAsia="Arial" w:hAnsi="Arial"/>
                <w:sz w:val="14"/>
                <w:szCs w:val="14"/>
                <w:color w:val="auto"/>
                <w:w w:val="99"/>
              </w:rPr>
              <w:t>IL</w:t>
            </w:r>
            <w:r>
              <w:rPr>
                <w:rFonts w:ascii="Arial" w:cs="Arial" w:eastAsia="Arial" w:hAnsi="Arial"/>
                <w:sz w:val="18"/>
                <w:szCs w:val="18"/>
                <w:color w:val="auto"/>
                <w:w w:val="99"/>
              </w:rPr>
              <w:t xml:space="preserve"> &amp; G</w:t>
            </w:r>
            <w:r>
              <w:rPr>
                <w:rFonts w:ascii="Arial" w:cs="Arial" w:eastAsia="Arial" w:hAnsi="Arial"/>
                <w:sz w:val="14"/>
                <w:szCs w:val="14"/>
                <w:color w:val="auto"/>
                <w:w w:val="99"/>
              </w:rPr>
              <w:t>AS</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23733 N</w:t>
            </w:r>
            <w:r>
              <w:rPr>
                <w:rFonts w:ascii="Arial" w:cs="Arial" w:eastAsia="Arial" w:hAnsi="Arial"/>
                <w:sz w:val="14"/>
                <w:szCs w:val="14"/>
                <w:color w:val="auto"/>
              </w:rPr>
              <w:t>ORTH</w:t>
            </w:r>
            <w:r>
              <w:rPr>
                <w:rFonts w:ascii="Arial" w:cs="Arial" w:eastAsia="Arial" w:hAnsi="Arial"/>
                <w:sz w:val="18"/>
                <w:szCs w:val="18"/>
                <w:color w:val="auto"/>
              </w:rPr>
              <w:t xml:space="preserve"> S</w:t>
            </w:r>
            <w:r>
              <w:rPr>
                <w:rFonts w:ascii="Arial" w:cs="Arial" w:eastAsia="Arial" w:hAnsi="Arial"/>
                <w:sz w:val="14"/>
                <w:szCs w:val="14"/>
                <w:color w:val="auto"/>
              </w:rPr>
              <w:t>COTTSDALE</w:t>
            </w:r>
            <w:r>
              <w:rPr>
                <w:rFonts w:ascii="Arial" w:cs="Arial" w:eastAsia="Arial" w:hAnsi="Arial"/>
                <w:sz w:val="18"/>
                <w:szCs w:val="18"/>
                <w:color w:val="auto"/>
              </w:rPr>
              <w:t xml:space="preserve"> R</w:t>
            </w:r>
            <w:r>
              <w:rPr>
                <w:rFonts w:ascii="Arial" w:cs="Arial" w:eastAsia="Arial" w:hAnsi="Arial"/>
                <w:sz w:val="14"/>
                <w:szCs w:val="14"/>
                <w:color w:val="auto"/>
              </w:rPr>
              <w:t>D</w:t>
            </w:r>
            <w:r>
              <w:rPr>
                <w:rFonts w:ascii="Arial" w:cs="Arial" w:eastAsia="Arial" w:hAnsi="Arial"/>
                <w:sz w:val="18"/>
                <w:szCs w:val="18"/>
                <w:color w:val="auto"/>
              </w:rPr>
              <w:t>.</w:t>
            </w:r>
          </w:p>
        </w:tc>
        <w:tc>
          <w:tcPr>
            <w:tcW w:w="3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COTTSDALE</w:t>
            </w:r>
            <w:r>
              <w:rPr>
                <w:rFonts w:ascii="Arial" w:cs="Arial" w:eastAsia="Arial" w:hAnsi="Arial"/>
                <w:sz w:val="18"/>
                <w:szCs w:val="18"/>
                <w:color w:val="auto"/>
              </w:rPr>
              <w:t>, AZ 85255</w:t>
            </w:r>
          </w:p>
        </w:tc>
        <w:tc>
          <w:tcPr>
            <w:tcW w:w="3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Percentage of class held refers only to common equity, preferred equity and warrants held, if any.</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Set forth below is a brief description of each portfolio company in which we have made an investment that represents greater than 5% of our total assets at June 30, 2008.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Brand Energy &amp; Infrastructure Services, Inc.</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company is a diversified provider of specialty services, including scaffolding, industrial coatings, insulation, refractory, and forming and shoring solutions, to North America’s energy markets.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i2 Holdings LTD</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company is a leading worldwide provider of visual investigative analysis software for law enforcement, intelligence, military and Fortune 500 organizations.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 Acquisition Sub Inc.</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UP Acquisition is a leading independent pipeline engineering services firm in the United States, providing engineering, project management and survey services.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industry composition of the portfolio at fair value on September 30, 2007 and June 30, 2008 was as follows, excluding unearned income: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52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w w:val="82"/>
              </w:rPr>
              <w:t>June 30,</w:t>
            </w: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1"/>
        </w:trPr>
        <w:tc>
          <w:tcPr>
            <w:tcW w:w="552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388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rPr>
              <w:t>2008</w:t>
            </w:r>
          </w:p>
        </w:tc>
        <w:tc>
          <w:tcPr>
            <w:tcW w:w="1040" w:type="dxa"/>
            <w:vAlign w:val="bottom"/>
          </w:tcPr>
          <w:p>
            <w:pPr>
              <w:spacing w:after="0"/>
              <w:rPr>
                <w:sz w:val="14"/>
                <w:szCs w:val="14"/>
                <w:color w:val="auto"/>
              </w:rPr>
            </w:pPr>
          </w:p>
        </w:tc>
        <w:tc>
          <w:tcPr>
            <w:tcW w:w="8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492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10%</w:t>
            </w: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Other Media</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Education and Childcare</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Oil and Gas</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 Plastic and Rubber</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Energy/Utilities</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Auto Sector</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40" w:type="dxa"/>
            <w:vAlign w:val="bottom"/>
          </w:tcPr>
          <w:p>
            <w:pPr>
              <w:spacing w:after="0"/>
              <w:rPr>
                <w:sz w:val="18"/>
                <w:szCs w:val="18"/>
                <w:color w:val="auto"/>
              </w:rPr>
            </w:pPr>
          </w:p>
        </w:tc>
        <w:tc>
          <w:tcPr>
            <w:tcW w:w="9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Home and Office Furnishings, Housewares, and Durable Consumer Products</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Leisure, Amusement, Motion Picture, Entertainment</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Broadcasting and Entertainment</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Cable Television</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Retail Store</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Containers, Packaging and Glass</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Manufacturing/Basic Industry</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Media</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Utilities</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4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2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4920" w:type="dxa"/>
            <w:vAlign w:val="bottom"/>
            <w:gridSpan w:val="3"/>
          </w:tcPr>
          <w:p>
            <w:pPr>
              <w:jc w:val="right"/>
              <w:ind w:right="880"/>
              <w:spacing w:after="0"/>
              <w:rPr>
                <w:sz w:val="20"/>
                <w:szCs w:val="20"/>
                <w:color w:val="auto"/>
              </w:rPr>
            </w:pPr>
            <w:r>
              <w:rPr>
                <w:rFonts w:ascii="Arial" w:cs="Arial" w:eastAsia="Arial" w:hAnsi="Arial"/>
                <w:sz w:val="18"/>
                <w:szCs w:val="18"/>
                <w:color w:val="auto"/>
              </w:rPr>
              <w:t>100%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400" w:type="dxa"/>
            <w:vAlign w:val="bottom"/>
            <w:vMerge w:val="restart"/>
          </w:tcPr>
          <w:p>
            <w:pPr>
              <w:jc w:val="right"/>
              <w:ind w:right="3033"/>
              <w:spacing w:after="0"/>
              <w:rPr>
                <w:sz w:val="20"/>
                <w:szCs w:val="20"/>
                <w:color w:val="auto"/>
              </w:rPr>
            </w:pPr>
            <w:r>
              <w:rPr>
                <w:rFonts w:ascii="Arial" w:cs="Arial" w:eastAsia="Arial" w:hAnsi="Arial"/>
                <w:sz w:val="18"/>
                <w:szCs w:val="18"/>
                <w:color w:val="auto"/>
              </w:rPr>
              <w:t>60</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The board of directors currently consists of five members, four of whom are not “interested persons” of PennantPark as defined in Section 2(a)(19) of the 1940 Act. We refer to these individuals as our independent directors. Our board of directors elects our officers, who serve at the discretion of the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Under our charter, our directors are divided into three classes. Each class of directors holds office for a three-year term. However, the initial members of classes II and III have initial terms of two and three years, respectively.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holds office for the term to which he or she is elected and until his or her successor is duly elected and qualifies.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Director</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0"/>
              </w:rPr>
              <w:t>Expiration</w:t>
            </w:r>
          </w:p>
        </w:tc>
      </w:tr>
      <w:tr>
        <w:trPr>
          <w:trHeight w:val="161"/>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45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4820" w:type="dxa"/>
            <w:vAlign w:val="bottom"/>
            <w:gridSpan w:val="3"/>
          </w:tcPr>
          <w:p>
            <w:pPr>
              <w:ind w:left="340"/>
              <w:spacing w:after="0"/>
              <w:rPr>
                <w:sz w:val="20"/>
                <w:szCs w:val="20"/>
                <w:color w:val="auto"/>
              </w:rPr>
            </w:pPr>
            <w:r>
              <w:rPr>
                <w:rFonts w:ascii="Arial" w:cs="Arial" w:eastAsia="Arial" w:hAnsi="Arial"/>
                <w:sz w:val="14"/>
                <w:szCs w:val="14"/>
                <w:b w:val="1"/>
                <w:bCs w:val="1"/>
                <w:color w:val="auto"/>
              </w:rPr>
              <w:t>Position</w:t>
            </w: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Since</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of Term</w:t>
            </w:r>
          </w:p>
        </w:tc>
      </w:tr>
      <w:tr>
        <w:trPr>
          <w:trHeight w:val="20"/>
        </w:trPr>
        <w:tc>
          <w:tcPr>
            <w:tcW w:w="38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01"/>
        </w:trPr>
        <w:tc>
          <w:tcPr>
            <w:tcW w:w="49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Independent directors</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45</w:t>
            </w:r>
          </w:p>
        </w:tc>
        <w:tc>
          <w:tcPr>
            <w:tcW w:w="482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2009</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Marshall Brozost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41</w:t>
            </w:r>
          </w:p>
        </w:tc>
        <w:tc>
          <w:tcPr>
            <w:tcW w:w="482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2011</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45</w:t>
            </w:r>
          </w:p>
        </w:tc>
        <w:tc>
          <w:tcPr>
            <w:tcW w:w="482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2009</w:t>
            </w: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color w:val="auto"/>
              </w:rPr>
              <w:t>Samuel L. Katz</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43</w:t>
            </w:r>
          </w:p>
        </w:tc>
        <w:tc>
          <w:tcPr>
            <w:tcW w:w="482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2011</w:t>
            </w:r>
          </w:p>
        </w:tc>
      </w:tr>
      <w:tr>
        <w:trPr>
          <w:trHeight w:val="318"/>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directors</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color w:val="auto"/>
              </w:rPr>
              <w:t>Arthur H. Penn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45</w:t>
            </w:r>
          </w:p>
        </w:tc>
        <w:tc>
          <w:tcPr>
            <w:tcW w:w="4820" w:type="dxa"/>
            <w:vAlign w:val="bottom"/>
            <w:gridSpan w:val="3"/>
          </w:tcPr>
          <w:p>
            <w:pPr>
              <w:ind w:left="340"/>
              <w:spacing w:after="0"/>
              <w:rPr>
                <w:sz w:val="20"/>
                <w:szCs w:val="20"/>
                <w:color w:val="auto"/>
              </w:rPr>
            </w:pPr>
            <w:r>
              <w:rPr>
                <w:rFonts w:ascii="Arial" w:cs="Arial" w:eastAsia="Arial" w:hAnsi="Arial"/>
                <w:sz w:val="18"/>
                <w:szCs w:val="18"/>
                <w:color w:val="auto"/>
              </w:rPr>
              <w:t>Chairman of Board and Chief Executive Officer</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2010</w:t>
            </w:r>
          </w:p>
        </w:tc>
      </w:tr>
    </w:tbl>
    <w:p>
      <w:pPr>
        <w:spacing w:after="0" w:line="1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address for each director is 590 Madison Avenue,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10022.</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regarding our executive officers who are not directors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2160" w:type="dxa"/>
            <w:vAlign w:val="bottom"/>
            <w:gridSpan w:val="3"/>
          </w:tcPr>
          <w:p>
            <w:pPr>
              <w:ind w:left="340"/>
              <w:spacing w:after="0"/>
              <w:rPr>
                <w:sz w:val="20"/>
                <w:szCs w:val="20"/>
                <w:color w:val="auto"/>
              </w:rPr>
            </w:pPr>
            <w:r>
              <w:rPr>
                <w:rFonts w:ascii="Arial" w:cs="Arial" w:eastAsia="Arial" w:hAnsi="Arial"/>
                <w:sz w:val="14"/>
                <w:szCs w:val="14"/>
                <w:b w:val="1"/>
                <w:bCs w:val="1"/>
                <w:color w:val="auto"/>
              </w:rPr>
              <w:t>Position</w:t>
            </w:r>
          </w:p>
        </w:tc>
      </w:tr>
      <w:tr>
        <w:trPr>
          <w:trHeight w:val="201"/>
        </w:trPr>
        <w:tc>
          <w:tcPr>
            <w:tcW w:w="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Aviv</w:t>
            </w:r>
          </w:p>
        </w:tc>
        <w:tc>
          <w:tcPr>
            <w:tcW w:w="4540" w:type="dxa"/>
            <w:vAlign w:val="bottom"/>
          </w:tcPr>
          <w:p>
            <w:pPr>
              <w:ind w:left="20"/>
              <w:spacing w:after="0" w:line="201" w:lineRule="exact"/>
              <w:rPr>
                <w:sz w:val="20"/>
                <w:szCs w:val="20"/>
                <w:color w:val="auto"/>
              </w:rPr>
            </w:pPr>
            <w:r>
              <w:rPr>
                <w:rFonts w:ascii="Arial" w:cs="Arial" w:eastAsia="Arial" w:hAnsi="Arial"/>
                <w:sz w:val="18"/>
                <w:szCs w:val="18"/>
                <w:color w:val="auto"/>
              </w:rPr>
              <w:t>Efrat</w:t>
            </w:r>
          </w:p>
        </w:tc>
        <w:tc>
          <w:tcPr>
            <w:tcW w:w="2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44</w:t>
            </w:r>
          </w:p>
        </w:tc>
        <w:tc>
          <w:tcPr>
            <w:tcW w:w="340" w:type="dxa"/>
            <w:vAlign w:val="bottom"/>
          </w:tcPr>
          <w:p>
            <w:pPr>
              <w:spacing w:after="0"/>
              <w:rPr>
                <w:sz w:val="17"/>
                <w:szCs w:val="17"/>
                <w:color w:val="auto"/>
              </w:rPr>
            </w:pPr>
          </w:p>
        </w:tc>
        <w:tc>
          <w:tcPr>
            <w:tcW w:w="4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Chief</w:t>
            </w:r>
          </w:p>
        </w:tc>
        <w:tc>
          <w:tcPr>
            <w:tcW w:w="1340" w:type="dxa"/>
            <w:vAlign w:val="bottom"/>
          </w:tcPr>
          <w:p>
            <w:pPr>
              <w:spacing w:after="0" w:line="201" w:lineRule="exact"/>
              <w:rPr>
                <w:sz w:val="20"/>
                <w:szCs w:val="20"/>
                <w:color w:val="auto"/>
              </w:rPr>
            </w:pPr>
            <w:r>
              <w:rPr>
                <w:rFonts w:ascii="Arial" w:cs="Arial" w:eastAsia="Arial" w:hAnsi="Arial"/>
                <w:sz w:val="18"/>
                <w:szCs w:val="18"/>
                <w:color w:val="auto"/>
              </w:rPr>
              <w:t>Financial Officer</w:t>
            </w:r>
          </w:p>
        </w:tc>
      </w:tr>
      <w:tr>
        <w:trPr>
          <w:trHeight w:val="236"/>
        </w:trPr>
        <w:tc>
          <w:tcPr>
            <w:tcW w:w="4920" w:type="dxa"/>
            <w:vAlign w:val="bottom"/>
            <w:gridSpan w:val="2"/>
          </w:tcPr>
          <w:p>
            <w:pPr>
              <w:spacing w:after="0"/>
              <w:rPr>
                <w:sz w:val="20"/>
                <w:szCs w:val="20"/>
                <w:color w:val="auto"/>
              </w:rPr>
            </w:pPr>
            <w:r>
              <w:rPr>
                <w:rFonts w:ascii="Arial" w:cs="Arial" w:eastAsia="Arial" w:hAnsi="Arial"/>
                <w:sz w:val="18"/>
                <w:szCs w:val="18"/>
                <w:color w:val="auto"/>
              </w:rPr>
              <w:t>Guy Talarico</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51</w:t>
            </w:r>
          </w:p>
        </w:tc>
        <w:tc>
          <w:tcPr>
            <w:tcW w:w="2160" w:type="dxa"/>
            <w:vAlign w:val="bottom"/>
            <w:gridSpan w:val="3"/>
          </w:tcPr>
          <w:p>
            <w:pPr>
              <w:ind w:left="340"/>
              <w:spacing w:after="0"/>
              <w:rPr>
                <w:sz w:val="20"/>
                <w:szCs w:val="20"/>
                <w:color w:val="auto"/>
              </w:rPr>
            </w:pPr>
            <w:r>
              <w:rPr>
                <w:rFonts w:ascii="Arial" w:cs="Arial" w:eastAsia="Arial" w:hAnsi="Arial"/>
                <w:sz w:val="18"/>
                <w:szCs w:val="18"/>
                <w:color w:val="auto"/>
                <w:w w:val="89"/>
              </w:rPr>
              <w:t>Chief Compliance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address for each executive officer is 590 Madison Avenue, 15</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New York, New York 10022, or by telephone at (212) 905-1000.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directors have been divided into two groups—interested directors and independent directors. Interested directors are “interested persons” as defined in the 1940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Adam K. Bernstein (45), Director. Mr. Bernstein became a director of PennantPark in February 2007. Mr. Bernstein is currently President of The Bernstein Companies, a Washington, D.C.-based real estate firm which he founded in 1985. Mr. Bernstein also serves as the President and Chief Executive Officer of Consortium Atlantic Realty Trust, Inc., a private real estate investment trust operating in the Mid-Atlantic region since its formation in 2000. Mr. Bernstein is the President of the Mid-Atlantic Regional Advisory Board of the University of Pennsylvania.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Marshall Brozost (41), Director. Mr. Brozost became a director of PennantPark in February 2007. Since 2007, Mr. Brozost has been Partner at the international law firm of Dewey &amp; LeBoeuf LLP, where he practices in the real estate and private equity groups. Prior to his tenure at Dewey &amp; LeBoeuf LLP which began in 2005, Mr. Brozost practiced law at O’Melveny &amp; Myers LLP from 2001 to 2004 and Solomon &amp; Weinberg LLP from 2004 to 2005. Mr. Brozost also served as a vice president of Nomura Asset Capital Corporation from 1997 through 2000.</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Jeffrey Flug (45), Director. Mr. Flug became a director of PennantPark in February 2007. Mr. Flug has been the Chief Executive Officer and Executive Director of Millennium Promise Alliance, Inc. since 2006. Millennium Promise is a non-profit organization whose mission is to eradicate extreme global poverty. Prior to joining Millennium Promise, Mr. Flug was Managing Director and Head of North American Institutional Sales at JP Morgan’s Investment Bank from 2000 to 2006. From 1988 to 2000, Mr. Flug was Managing Director for Goldman Sachs &amp; Co. in its Fixed Income Division.</w:t>
      </w:r>
    </w:p>
    <w:p>
      <w:pPr>
        <w:spacing w:after="0" w:line="11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Samuel L. Katz (43), Director. Mr. Katz became a director of PennantPark in February 2007. Since 2007, Mr. Katz is the Managing Partner of TZP Group LLC, a private equity fund. He served as Chief Executive Officer of MacAndrews &amp; Forbes Acquisition Holdings, Inc. from 2006 to 2007. From 1996 to 2006, Mr. Katz held a variety of senior positions at Cendant Corporation including, most recently, Chairman and Chief Executive Officer of the Cendant Travel Distribution Services Division from 2001 to 2005. Mr. Katz was also Co-Chairman of Cendant’s Marketing Services Division as well as Chief Strategic Officer.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Arthur H. Penn (45) Founder, Chief Executive Officer and Chairman of the Board of Directors. Mr. Penn became the chief executive officer and a director of PennantPark at its inception in January 2007.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 who are not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Aviv Efrat (44), Chief Financial Officer and Treasurer. Mr. Efrat joined PennantPark in February 2007 as its Chief Financial Officer and Treasurer.</w:t>
      </w:r>
    </w:p>
    <w:p>
      <w:pPr>
        <w:spacing w:after="0" w:line="38"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Mr. Efrat is also a Managing Director of PennantPark Investment Administration, LLC. Mr. Efrat was a Director at BlackRock, Inc., a leading investment firm,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 Mr. Efrat earned his B.S. in Economics from Bringham Young University in 1991 and an M.B.A. from New York University in 1999.</w:t>
      </w:r>
    </w:p>
    <w:p>
      <w:pPr>
        <w:spacing w:after="0" w:line="11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Guy Talarico (51) Chief Compliance Officer. Mr. Talarico became PennantPark’s Chief Compliance Officer in 2008. Mr. Talarico has served as Chief Compliance Officer for investment advisers, private funds and investment companies since 2004. From 2001 to 2004 Mr. Talarico was senior director at Investors Bank &amp; Trust Company where he was servicing investment advisers, mutual funds and institutions. From 1986 to 2001 Mr. Talarico was a division executive with JPMorgan Chase Bank, N.A., servicing equity and fixed-income portfolio management, money market trading and custody functions, as well as overseeing compliance. Mr. Talarico has been admitted to practice law in the States of New Jersey and New York.</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For the fiscal year ended September 30, 2007, we held six board meetings, three Audit Committee meetings and one Nominating and Corporate Governance Committee meeting. All directors attended at least 75% of the aggregate number of meetings of the board of directors and of the respective committees on which they served. We require each director to make a diligent effort to attend all board and committee meetings and encourage directors to attend the annual meeting of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members of the Audit Committee are Messrs. Bernstein, Brozost, Flug and Katz, each of whom is independent for purposes of the 1940 Act and NASDAQ corporate governance regulations. Mr. Flug serves as chairman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the accounts and records of the Company; reviewing and discussing with management and the auditors the annual audited financial statements of the Company, including disclosures made in management’s discussion and analysis, and recommending to the Board of Directors whether the audited financial statements should be included in the Company’s annual report on Form 10-K; reviewing and discussing with management and the auditors the Company’s quarterly financial statements prior to the filings of its quarterly reports on Form 10-Q; pre-approving the auditors’ engagement to render audit and/or permissible non-audit services; and evaluating the qualifications, performance and independence of the auditors. The Audit Committee is also responsible for aiding our board of directors in fair value pricing debt and equity securities that are not publicly traded or for which current market values are not readily available. The board of directors and Audit Committee may use the services of nationally recognized independent valuation firms to help them determine the fair value of these securities. The Company’s Board of Directors has determined that Mr. Flug is our “Audit Committee financial expert” as that term is defined under Item 401 of Regulation S-K under the Securities Exchange Act of 1934, as amended (the “Exchange Act”). The Audit Committee Charter is available on the Company’s website: http://www.pennantpark.com.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The members of the Nominating and Corporate Governance Committee are Messrs. Bernstein, Brozost, Flug and Katz, each of whom is independent for purposes of the 1940 Act and the corporate governance regulations of the NASDAQ Global Market.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or a committee of the Board, developing and recommending to the Board a set of corporate governance principles and overseeing the evaluation of the Board and our management. The Nominating and Corporate Governance Committee has adopted a written Nominating and Corporate Governance Committee Charter that is available on the Company’s website: http://www.pennantpark.com.</w:t>
      </w:r>
    </w:p>
    <w:p>
      <w:pPr>
        <w:spacing w:after="0" w:line="14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Friedmann, Secretary, c/o PennantPark Investment Corporation, 590 Madison Avenue, 15th Floor, New York, New York 10022. When submitting a nomination to the Company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current directorships on publicly held companies and investment companies; number of shares of the Company’s common stock owned, if any; and, a written consent of the individual to stand for election if nominated by the Board of Directors and to serve if elected by the stockholders.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members of the Board of Directors include compliance with the independence and other applicable requirements of the NASDAQ Listing Standards and the 1940 Act, and all other applicable laws, rules, regulations and listing standards, the criteria, policies and principles set forth in the Nominating and Corporate Governance Committee Charter, and the ability to contribute to the effective management of the Company, taking into account the needs of the Company and such factors as the individual’s experience, perspective, skills and knowledge of the industry in which the Company operates. The Nominating and Corporate Governance Committee also may consider such other factors as it may deem are in the best interests of the Company and its stockholders. The Board of Directors also believes it is appropriate for a key member of the Company’s management to participate as a member of the Board of Directors.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 compensation committee because our executive officers do not receive compensation from us.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96"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2007. No compensation is paid by us to any interested director or executive officer.</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2"/>
              </w:rPr>
              <w:t>Pension or</w:t>
            </w: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49"/>
        </w:trPr>
        <w:tc>
          <w:tcPr>
            <w:tcW w:w="38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retirement</w:t>
            </w: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61"/>
        </w:trPr>
        <w:tc>
          <w:tcPr>
            <w:tcW w:w="38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Aggregate</w:t>
            </w:r>
          </w:p>
        </w:tc>
        <w:tc>
          <w:tcPr>
            <w:tcW w:w="4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1"/>
              </w:rPr>
              <w:t>benefits</w:t>
            </w:r>
          </w:p>
        </w:tc>
        <w:tc>
          <w:tcPr>
            <w:tcW w:w="4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r>
      <w:tr>
        <w:trPr>
          <w:trHeight w:val="149"/>
        </w:trPr>
        <w:tc>
          <w:tcPr>
            <w:tcW w:w="38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compensation</w:t>
            </w:r>
          </w:p>
        </w:tc>
        <w:tc>
          <w:tcPr>
            <w:tcW w:w="4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accrued as</w:t>
            </w:r>
          </w:p>
        </w:tc>
        <w:tc>
          <w:tcPr>
            <w:tcW w:w="4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paid to</w:t>
            </w:r>
          </w:p>
        </w:tc>
      </w:tr>
      <w:tr>
        <w:trPr>
          <w:trHeight w:val="149"/>
        </w:trPr>
        <w:tc>
          <w:tcPr>
            <w:tcW w:w="38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from the</w:t>
            </w:r>
          </w:p>
        </w:tc>
        <w:tc>
          <w:tcPr>
            <w:tcW w:w="4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part of our</w:t>
            </w:r>
          </w:p>
        </w:tc>
        <w:tc>
          <w:tcPr>
            <w:tcW w:w="4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director /</w:t>
            </w:r>
          </w:p>
        </w:tc>
      </w:tr>
      <w:tr>
        <w:trPr>
          <w:trHeight w:val="176"/>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818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Company</w:t>
            </w:r>
          </w:p>
        </w:tc>
        <w:tc>
          <w:tcPr>
            <w:tcW w:w="440" w:type="dxa"/>
            <w:vAlign w:val="bottom"/>
          </w:tcPr>
          <w:p>
            <w:pPr>
              <w:spacing w:after="0"/>
              <w:rPr>
                <w:sz w:val="15"/>
                <w:szCs w:val="15"/>
                <w:color w:val="auto"/>
              </w:rPr>
            </w:pPr>
          </w:p>
        </w:tc>
        <w:tc>
          <w:tcPr>
            <w:tcW w:w="6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84"/>
              </w:rPr>
              <w:t>expense</w:t>
            </w:r>
            <w:r>
              <w:rPr>
                <w:rFonts w:ascii="Arial" w:cs="Arial" w:eastAsia="Arial" w:hAnsi="Arial"/>
                <w:sz w:val="20"/>
                <w:szCs w:val="20"/>
                <w:b w:val="1"/>
                <w:bCs w:val="1"/>
                <w:color w:val="auto"/>
                <w:w w:val="84"/>
                <w:vertAlign w:val="superscript"/>
              </w:rPr>
              <w:t>(1)</w:t>
            </w:r>
          </w:p>
        </w:tc>
        <w:tc>
          <w:tcPr>
            <w:tcW w:w="440" w:type="dxa"/>
            <w:vAlign w:val="bottom"/>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officer</w:t>
            </w:r>
          </w:p>
        </w:tc>
      </w:tr>
      <w:tr>
        <w:trPr>
          <w:trHeight w:val="201"/>
        </w:trPr>
        <w:tc>
          <w:tcPr>
            <w:tcW w:w="856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Independent directors</w:t>
            </w: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16"/>
        </w:trPr>
        <w:tc>
          <w:tcPr>
            <w:tcW w:w="380" w:type="dxa"/>
            <w:vAlign w:val="bottom"/>
          </w:tcPr>
          <w:p>
            <w:pPr>
              <w:spacing w:after="0"/>
              <w:rPr>
                <w:sz w:val="18"/>
                <w:szCs w:val="18"/>
                <w:color w:val="auto"/>
              </w:rPr>
            </w:pPr>
          </w:p>
        </w:tc>
        <w:tc>
          <w:tcPr>
            <w:tcW w:w="8180" w:type="dxa"/>
            <w:vAlign w:val="bottom"/>
          </w:tcPr>
          <w:p>
            <w:pPr>
              <w:ind w:left="60"/>
              <w:spacing w:after="0"/>
              <w:rPr>
                <w:sz w:val="20"/>
                <w:szCs w:val="20"/>
                <w:color w:val="auto"/>
              </w:rPr>
            </w:pPr>
            <w:r>
              <w:rPr>
                <w:rFonts w:ascii="Arial" w:cs="Arial" w:eastAsia="Arial" w:hAnsi="Arial"/>
                <w:sz w:val="18"/>
                <w:szCs w:val="18"/>
                <w:color w:val="auto"/>
              </w:rPr>
              <w:t>Adam K. Bernstein</w:t>
            </w:r>
          </w:p>
        </w:tc>
        <w:tc>
          <w:tcPr>
            <w:tcW w:w="800" w:type="dxa"/>
            <w:vAlign w:val="bottom"/>
          </w:tcPr>
          <w:p>
            <w:pPr>
              <w:jc w:val="right"/>
              <w:spacing w:after="0"/>
              <w:rPr>
                <w:sz w:val="20"/>
                <w:szCs w:val="20"/>
                <w:color w:val="auto"/>
              </w:rPr>
            </w:pPr>
            <w:r>
              <w:rPr>
                <w:rFonts w:ascii="Arial" w:cs="Arial" w:eastAsia="Arial" w:hAnsi="Arial"/>
                <w:sz w:val="18"/>
                <w:szCs w:val="18"/>
                <w:color w:val="auto"/>
              </w:rPr>
              <w:t>29,375</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29,375</w:t>
            </w:r>
          </w:p>
        </w:tc>
      </w:tr>
      <w:tr>
        <w:trPr>
          <w:trHeight w:val="216"/>
        </w:trPr>
        <w:tc>
          <w:tcPr>
            <w:tcW w:w="380" w:type="dxa"/>
            <w:vAlign w:val="bottom"/>
          </w:tcPr>
          <w:p>
            <w:pPr>
              <w:spacing w:after="0"/>
              <w:rPr>
                <w:sz w:val="18"/>
                <w:szCs w:val="18"/>
                <w:color w:val="auto"/>
              </w:rPr>
            </w:pPr>
          </w:p>
        </w:tc>
        <w:tc>
          <w:tcPr>
            <w:tcW w:w="8180" w:type="dxa"/>
            <w:vAlign w:val="bottom"/>
          </w:tcPr>
          <w:p>
            <w:pPr>
              <w:ind w:left="60"/>
              <w:spacing w:after="0"/>
              <w:rPr>
                <w:sz w:val="20"/>
                <w:szCs w:val="20"/>
                <w:color w:val="auto"/>
              </w:rPr>
            </w:pPr>
            <w:r>
              <w:rPr>
                <w:rFonts w:ascii="Arial" w:cs="Arial" w:eastAsia="Arial" w:hAnsi="Arial"/>
                <w:sz w:val="18"/>
                <w:szCs w:val="18"/>
                <w:color w:val="auto"/>
              </w:rPr>
              <w:t>Marshall Brozost</w:t>
            </w:r>
          </w:p>
        </w:tc>
        <w:tc>
          <w:tcPr>
            <w:tcW w:w="800" w:type="dxa"/>
            <w:vAlign w:val="bottom"/>
          </w:tcPr>
          <w:p>
            <w:pPr>
              <w:jc w:val="right"/>
              <w:spacing w:after="0"/>
              <w:rPr>
                <w:sz w:val="20"/>
                <w:szCs w:val="20"/>
                <w:color w:val="auto"/>
              </w:rPr>
            </w:pPr>
            <w:r>
              <w:rPr>
                <w:rFonts w:ascii="Arial" w:cs="Arial" w:eastAsia="Arial" w:hAnsi="Arial"/>
                <w:sz w:val="18"/>
                <w:szCs w:val="18"/>
                <w:color w:val="auto"/>
              </w:rPr>
              <w:t>29,375</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29,375</w:t>
            </w:r>
          </w:p>
        </w:tc>
      </w:tr>
      <w:tr>
        <w:trPr>
          <w:trHeight w:val="216"/>
        </w:trPr>
        <w:tc>
          <w:tcPr>
            <w:tcW w:w="380" w:type="dxa"/>
            <w:vAlign w:val="bottom"/>
          </w:tcPr>
          <w:p>
            <w:pPr>
              <w:spacing w:after="0"/>
              <w:rPr>
                <w:sz w:val="18"/>
                <w:szCs w:val="18"/>
                <w:color w:val="auto"/>
              </w:rPr>
            </w:pPr>
          </w:p>
        </w:tc>
        <w:tc>
          <w:tcPr>
            <w:tcW w:w="8180" w:type="dxa"/>
            <w:vAlign w:val="bottom"/>
          </w:tcPr>
          <w:p>
            <w:pPr>
              <w:ind w:left="60"/>
              <w:spacing w:after="0"/>
              <w:rPr>
                <w:sz w:val="20"/>
                <w:szCs w:val="20"/>
                <w:color w:val="auto"/>
              </w:rPr>
            </w:pPr>
            <w:r>
              <w:rPr>
                <w:rFonts w:ascii="Arial" w:cs="Arial" w:eastAsia="Arial" w:hAnsi="Arial"/>
                <w:sz w:val="18"/>
                <w:szCs w:val="18"/>
                <w:color w:val="auto"/>
              </w:rPr>
              <w:t>Jeffrey Flug</w:t>
            </w:r>
          </w:p>
        </w:tc>
        <w:tc>
          <w:tcPr>
            <w:tcW w:w="800" w:type="dxa"/>
            <w:vAlign w:val="bottom"/>
          </w:tcPr>
          <w:p>
            <w:pPr>
              <w:jc w:val="right"/>
              <w:spacing w:after="0"/>
              <w:rPr>
                <w:sz w:val="20"/>
                <w:szCs w:val="20"/>
                <w:color w:val="auto"/>
              </w:rPr>
            </w:pPr>
            <w:r>
              <w:rPr>
                <w:rFonts w:ascii="Arial" w:cs="Arial" w:eastAsia="Arial" w:hAnsi="Arial"/>
                <w:sz w:val="18"/>
                <w:szCs w:val="18"/>
                <w:color w:val="auto"/>
              </w:rPr>
              <w:t>30,625</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30,625</w:t>
            </w:r>
          </w:p>
        </w:tc>
      </w:tr>
      <w:tr>
        <w:trPr>
          <w:trHeight w:val="210"/>
        </w:trPr>
        <w:tc>
          <w:tcPr>
            <w:tcW w:w="380" w:type="dxa"/>
            <w:vAlign w:val="bottom"/>
          </w:tcPr>
          <w:p>
            <w:pPr>
              <w:spacing w:after="0"/>
              <w:rPr>
                <w:sz w:val="18"/>
                <w:szCs w:val="18"/>
                <w:color w:val="auto"/>
              </w:rPr>
            </w:pPr>
          </w:p>
        </w:tc>
        <w:tc>
          <w:tcPr>
            <w:tcW w:w="8180" w:type="dxa"/>
            <w:vAlign w:val="bottom"/>
          </w:tcPr>
          <w:p>
            <w:pPr>
              <w:ind w:left="60"/>
              <w:spacing w:after="0"/>
              <w:rPr>
                <w:sz w:val="20"/>
                <w:szCs w:val="20"/>
                <w:color w:val="auto"/>
              </w:rPr>
            </w:pPr>
            <w:r>
              <w:rPr>
                <w:rFonts w:ascii="Arial" w:cs="Arial" w:eastAsia="Arial" w:hAnsi="Arial"/>
                <w:sz w:val="18"/>
                <w:szCs w:val="18"/>
                <w:color w:val="auto"/>
              </w:rPr>
              <w:t>Samuel L. Katz</w:t>
            </w:r>
          </w:p>
        </w:tc>
        <w:tc>
          <w:tcPr>
            <w:tcW w:w="800" w:type="dxa"/>
            <w:vAlign w:val="bottom"/>
          </w:tcPr>
          <w:p>
            <w:pPr>
              <w:jc w:val="right"/>
              <w:spacing w:after="0"/>
              <w:rPr>
                <w:sz w:val="20"/>
                <w:szCs w:val="20"/>
                <w:color w:val="auto"/>
              </w:rPr>
            </w:pPr>
            <w:r>
              <w:rPr>
                <w:rFonts w:ascii="Arial" w:cs="Arial" w:eastAsia="Arial" w:hAnsi="Arial"/>
                <w:sz w:val="18"/>
                <w:szCs w:val="18"/>
                <w:color w:val="auto"/>
              </w:rPr>
              <w:t>28,750</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28,750</w:t>
            </w:r>
          </w:p>
        </w:tc>
      </w:tr>
      <w:tr>
        <w:trPr>
          <w:trHeight w:val="222"/>
        </w:trPr>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10"/>
        </w:trPr>
        <w:tc>
          <w:tcPr>
            <w:tcW w:w="380" w:type="dxa"/>
            <w:vAlign w:val="bottom"/>
          </w:tcPr>
          <w:p>
            <w:pPr>
              <w:spacing w:after="0"/>
              <w:rPr>
                <w:sz w:val="18"/>
                <w:szCs w:val="18"/>
                <w:color w:val="auto"/>
              </w:rPr>
            </w:pPr>
          </w:p>
        </w:tc>
        <w:tc>
          <w:tcPr>
            <w:tcW w:w="8180" w:type="dxa"/>
            <w:vAlign w:val="bottom"/>
          </w:tcPr>
          <w:p>
            <w:pPr>
              <w:ind w:left="60"/>
              <w:spacing w:after="0"/>
              <w:rPr>
                <w:sz w:val="20"/>
                <w:szCs w:val="20"/>
                <w:color w:val="auto"/>
              </w:rPr>
            </w:pPr>
            <w:r>
              <w:rPr>
                <w:rFonts w:ascii="Arial" w:cs="Arial" w:eastAsia="Arial" w:hAnsi="Arial"/>
                <w:sz w:val="18"/>
                <w:szCs w:val="18"/>
                <w:color w:val="auto"/>
              </w:rPr>
              <w:t>Arthur H. Penn</w:t>
            </w:r>
          </w:p>
        </w:tc>
        <w:tc>
          <w:tcPr>
            <w:tcW w:w="800" w:type="dxa"/>
            <w:vAlign w:val="bottom"/>
          </w:tcPr>
          <w:p>
            <w:pPr>
              <w:jc w:val="right"/>
              <w:spacing w:after="0"/>
              <w:rPr>
                <w:sz w:val="20"/>
                <w:szCs w:val="20"/>
                <w:color w:val="auto"/>
              </w:rPr>
            </w:pPr>
            <w:r>
              <w:rPr>
                <w:rFonts w:ascii="Arial" w:cs="Arial" w:eastAsia="Arial" w:hAnsi="Arial"/>
                <w:sz w:val="18"/>
                <w:szCs w:val="18"/>
                <w:color w:val="auto"/>
              </w:rPr>
              <w:t>None</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222"/>
        </w:trPr>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16"/>
        </w:trPr>
        <w:tc>
          <w:tcPr>
            <w:tcW w:w="380" w:type="dxa"/>
            <w:vAlign w:val="bottom"/>
          </w:tcPr>
          <w:p>
            <w:pPr>
              <w:spacing w:after="0"/>
              <w:rPr>
                <w:sz w:val="18"/>
                <w:szCs w:val="18"/>
                <w:color w:val="auto"/>
              </w:rPr>
            </w:pPr>
          </w:p>
        </w:tc>
        <w:tc>
          <w:tcPr>
            <w:tcW w:w="8180" w:type="dxa"/>
            <w:vAlign w:val="bottom"/>
          </w:tcPr>
          <w:p>
            <w:pPr>
              <w:ind w:left="60"/>
              <w:spacing w:after="0" w:line="217" w:lineRule="exact"/>
              <w:rPr>
                <w:sz w:val="20"/>
                <w:szCs w:val="20"/>
                <w:color w:val="auto"/>
              </w:rPr>
            </w:pPr>
            <w:r>
              <w:rPr>
                <w:rFonts w:ascii="Arial" w:cs="Arial" w:eastAsia="Arial" w:hAnsi="Arial"/>
                <w:sz w:val="18"/>
                <w:szCs w:val="18"/>
                <w:color w:val="auto"/>
              </w:rPr>
              <w:t>Aviv Eftrat</w:t>
            </w:r>
            <w:r>
              <w:rPr>
                <w:rFonts w:ascii="Arial" w:cs="Arial" w:eastAsia="Arial" w:hAnsi="Arial"/>
                <w:sz w:val="22"/>
                <w:szCs w:val="22"/>
                <w:color w:val="auto"/>
                <w:vertAlign w:val="superscript"/>
              </w:rPr>
              <w:t>(2)</w:t>
            </w:r>
          </w:p>
        </w:tc>
        <w:tc>
          <w:tcPr>
            <w:tcW w:w="800" w:type="dxa"/>
            <w:vAlign w:val="bottom"/>
          </w:tcPr>
          <w:p>
            <w:pPr>
              <w:jc w:val="right"/>
              <w:spacing w:after="0"/>
              <w:rPr>
                <w:sz w:val="20"/>
                <w:szCs w:val="20"/>
                <w:color w:val="auto"/>
              </w:rPr>
            </w:pPr>
            <w:r>
              <w:rPr>
                <w:rFonts w:ascii="Arial" w:cs="Arial" w:eastAsia="Arial" w:hAnsi="Arial"/>
                <w:sz w:val="18"/>
                <w:szCs w:val="18"/>
                <w:color w:val="auto"/>
              </w:rPr>
              <w:t>None</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236"/>
        </w:trPr>
        <w:tc>
          <w:tcPr>
            <w:tcW w:w="380" w:type="dxa"/>
            <w:vAlign w:val="bottom"/>
          </w:tcPr>
          <w:p>
            <w:pPr>
              <w:spacing w:after="0"/>
              <w:rPr>
                <w:sz w:val="20"/>
                <w:szCs w:val="20"/>
                <w:color w:val="auto"/>
              </w:rPr>
            </w:pPr>
          </w:p>
        </w:tc>
        <w:tc>
          <w:tcPr>
            <w:tcW w:w="8180" w:type="dxa"/>
            <w:vAlign w:val="bottom"/>
          </w:tcPr>
          <w:p>
            <w:pPr>
              <w:ind w:left="60"/>
              <w:spacing w:after="0"/>
              <w:rPr>
                <w:sz w:val="20"/>
                <w:szCs w:val="20"/>
                <w:color w:val="auto"/>
              </w:rPr>
            </w:pPr>
            <w:r>
              <w:rPr>
                <w:rFonts w:ascii="Arial" w:cs="Arial" w:eastAsia="Arial" w:hAnsi="Arial"/>
                <w:sz w:val="18"/>
                <w:szCs w:val="18"/>
                <w:color w:val="auto"/>
              </w:rPr>
              <w:t>Guy Talarico</w:t>
            </w:r>
          </w:p>
        </w:tc>
        <w:tc>
          <w:tcPr>
            <w:tcW w:w="800" w:type="dxa"/>
            <w:vAlign w:val="bottom"/>
          </w:tcPr>
          <w:p>
            <w:pPr>
              <w:jc w:val="right"/>
              <w:spacing w:after="0"/>
              <w:rPr>
                <w:sz w:val="20"/>
                <w:szCs w:val="20"/>
                <w:color w:val="auto"/>
              </w:rPr>
            </w:pPr>
            <w:r>
              <w:rPr>
                <w:rFonts w:ascii="Arial" w:cs="Arial" w:eastAsia="Arial" w:hAnsi="Arial"/>
                <w:sz w:val="18"/>
                <w:szCs w:val="18"/>
                <w:color w:val="auto"/>
              </w:rPr>
              <w:t>None</w:t>
            </w:r>
          </w:p>
        </w:tc>
        <w:tc>
          <w:tcPr>
            <w:tcW w:w="4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4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Efrat is an employee of PennantPark Investment Administration, LLC.</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Independent directors each receive an annual fee of $75,000. The independent directors also receive $2,500 plus reimbursement of reasonable out-of-pocket expenses incurred in connection with attending each board meeting and receive $1,000 plus reimbursement of reasonable out-of-pocket expenses incurred in connection with attending each committee meeting (unless combined with a board meeting). In addition, the Chairman of the Audit Committee receives an annual fee of $7,500 and each chairman/co-chairman of any other committee receives an annual fee of $2,500 for their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net asset value or the market price at the time of payment. No compensation is paid to directors who are “interested persons.”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2008, to our knowledge, no person would be deemed to control us, as such term is defined in the 1940 Act.</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directors consist of an interested director and independent directors. An interested director is an “interested person” of the Company, as defined in the 1940 Act.</w:t>
      </w:r>
    </w:p>
    <w:p>
      <w:pPr>
        <w:spacing w:after="0" w:line="132" w:lineRule="exact"/>
        <w:rPr>
          <w:sz w:val="20"/>
          <w:szCs w:val="20"/>
          <w:color w:val="auto"/>
        </w:rPr>
      </w:pPr>
    </w:p>
    <w:p>
      <w:pPr>
        <w:ind w:right="420" w:firstLine="456"/>
        <w:spacing w:after="0" w:line="286" w:lineRule="auto"/>
        <w:rPr>
          <w:sz w:val="20"/>
          <w:szCs w:val="20"/>
          <w:color w:val="auto"/>
        </w:rPr>
      </w:pPr>
      <w:r>
        <w:rPr>
          <w:rFonts w:ascii="Arial" w:cs="Arial" w:eastAsia="Arial" w:hAnsi="Arial"/>
          <w:sz w:val="16"/>
          <w:szCs w:val="16"/>
          <w:color w:val="auto"/>
        </w:rPr>
        <w:t>The following table sets forth, as of June 30, 2008, certain ownership information with respect to our common stock for those persons who directly or indirectly own, control or hold with the power to vote, 5 percent or more of our outstanding common stock and all officers and directors, as a group.</w:t>
      </w: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gridSpan w:val="2"/>
          </w:tcPr>
          <w:p>
            <w:pPr>
              <w:jc w:val="center"/>
              <w:ind w:right="160"/>
              <w:spacing w:after="0" w:line="138"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of Common</w:t>
            </w:r>
          </w:p>
        </w:tc>
        <w:tc>
          <w:tcPr>
            <w:tcW w:w="0" w:type="dxa"/>
            <w:vAlign w:val="bottom"/>
          </w:tcPr>
          <w:p>
            <w:pPr>
              <w:spacing w:after="0"/>
              <w:rPr>
                <w:sz w:val="1"/>
                <w:szCs w:val="1"/>
                <w:color w:val="auto"/>
              </w:rPr>
            </w:pPr>
          </w:p>
        </w:tc>
      </w:tr>
      <w:tr>
        <w:trPr>
          <w:trHeight w:val="149"/>
        </w:trPr>
        <w:tc>
          <w:tcPr>
            <w:tcW w:w="7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22"/>
                <w:szCs w:val="22"/>
                <w:b w:val="1"/>
                <w:bCs w:val="1"/>
                <w:color w:val="auto"/>
                <w:vertAlign w:val="superscript"/>
              </w:rPr>
              <w:t>(1)</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Type of ownership</w:t>
            </w:r>
            <w:r>
              <w:rPr>
                <w:rFonts w:ascii="Arial" w:cs="Arial" w:eastAsia="Arial" w:hAnsi="Arial"/>
                <w:sz w:val="22"/>
                <w:szCs w:val="22"/>
                <w:b w:val="1"/>
                <w:bCs w:val="1"/>
                <w:color w:val="auto"/>
                <w:w w:val="83"/>
                <w:vertAlign w:val="superscript"/>
              </w:rPr>
              <w:t>(4)</w:t>
            </w:r>
          </w:p>
        </w:tc>
        <w:tc>
          <w:tcPr>
            <w:tcW w:w="460" w:type="dxa"/>
            <w:vAlign w:val="bottom"/>
          </w:tcPr>
          <w:p>
            <w:pPr>
              <w:spacing w:after="0"/>
              <w:rPr>
                <w:sz w:val="12"/>
                <w:szCs w:val="12"/>
                <w:color w:val="auto"/>
              </w:rPr>
            </w:pPr>
          </w:p>
        </w:tc>
        <w:tc>
          <w:tcPr>
            <w:tcW w:w="700" w:type="dxa"/>
            <w:vAlign w:val="bottom"/>
          </w:tcPr>
          <w:p>
            <w:pPr>
              <w:jc w:val="right"/>
              <w:ind w:right="86"/>
              <w:spacing w:after="0" w:line="149" w:lineRule="exact"/>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61"/>
        </w:trPr>
        <w:tc>
          <w:tcPr>
            <w:tcW w:w="7660" w:type="dxa"/>
            <w:vAlign w:val="bottom"/>
            <w:gridSpan w:val="3"/>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jc w:val="right"/>
              <w:ind w:right="86"/>
              <w:spacing w:after="0"/>
              <w:rPr>
                <w:sz w:val="20"/>
                <w:szCs w:val="20"/>
                <w:color w:val="auto"/>
              </w:rPr>
            </w:pPr>
            <w:r>
              <w:rPr>
                <w:rFonts w:ascii="Arial" w:cs="Arial" w:eastAsia="Arial" w:hAnsi="Arial"/>
                <w:sz w:val="14"/>
                <w:szCs w:val="14"/>
                <w:b w:val="1"/>
                <w:bCs w:val="1"/>
                <w:color w:val="auto"/>
              </w:rPr>
              <w:t>owned</w:t>
            </w:r>
          </w:p>
        </w:tc>
        <w:tc>
          <w:tcPr>
            <w:tcW w:w="44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Alpine Total Dynamic Dividend Fund</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Beneficial</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1,400,000</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2500 Westchester Avenue, Suite 215</w:t>
            </w: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NY 10577</w:t>
            </w: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660" w:type="dxa"/>
            <w:vAlign w:val="bottom"/>
            <w:gridSpan w:val="3"/>
          </w:tcPr>
          <w:p>
            <w:pPr>
              <w:spacing w:after="0"/>
              <w:rPr>
                <w:sz w:val="20"/>
                <w:szCs w:val="20"/>
                <w:color w:val="auto"/>
              </w:rPr>
            </w:pPr>
            <w:r>
              <w:rPr>
                <w:rFonts w:ascii="Arial" w:cs="Arial" w:eastAsia="Arial" w:hAnsi="Arial"/>
                <w:sz w:val="18"/>
                <w:szCs w:val="18"/>
                <w:color w:val="auto"/>
              </w:rPr>
              <w:t>Bank of America Corporation</w:t>
            </w: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Beneficial</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1,826,800</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North Tryon Street, Floor 25</w:t>
            </w: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Bank of America Corporate Center</w:t>
            </w: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Charlotte, NC 28255</w:t>
            </w: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660" w:type="dxa"/>
            <w:vAlign w:val="bottom"/>
            <w:gridSpan w:val="3"/>
          </w:tcPr>
          <w:p>
            <w:pPr>
              <w:spacing w:after="0"/>
              <w:rPr>
                <w:sz w:val="20"/>
                <w:szCs w:val="20"/>
                <w:color w:val="auto"/>
              </w:rPr>
            </w:pPr>
            <w:r>
              <w:rPr>
                <w:rFonts w:ascii="Arial" w:cs="Arial" w:eastAsia="Arial" w:hAnsi="Arial"/>
                <w:sz w:val="18"/>
                <w:szCs w:val="18"/>
                <w:color w:val="auto"/>
              </w:rPr>
              <w:t>Clough Capital Partners</w:t>
            </w: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Beneficial</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1,248,618</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Post Office Square, 40th Floor</w:t>
            </w: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Boston, MA 02109</w:t>
            </w: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Suisse</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Beneficial</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1,493,287</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Uetlibergstrasse 231</w:t>
            </w: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 Box 900</w:t>
            </w: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CH 8070 Zurich, Switzerland</w:t>
            </w: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AG</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Beneficial</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2,298,452</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c/o UBS Global Asset Management (Americas), Inc.</w:t>
            </w: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North Wacker</w:t>
            </w: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Chicago, Illinois 60606</w:t>
            </w: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Wellington Management Company</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Beneficial</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1,748,008</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75 State Street</w:t>
            </w: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Boston, MA 02109</w:t>
            </w: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660" w:type="dxa"/>
            <w:vAlign w:val="bottom"/>
            <w:gridSpan w:val="3"/>
          </w:tcPr>
          <w:p>
            <w:pPr>
              <w:spacing w:after="0"/>
              <w:rPr>
                <w:sz w:val="20"/>
                <w:szCs w:val="20"/>
                <w:color w:val="auto"/>
              </w:rPr>
            </w:pPr>
            <w:r>
              <w:rPr>
                <w:rFonts w:ascii="Arial" w:cs="Arial" w:eastAsia="Arial" w:hAnsi="Arial"/>
                <w:sz w:val="18"/>
                <w:szCs w:val="18"/>
                <w:b w:val="1"/>
                <w:bCs w:val="1"/>
                <w:color w:val="auto"/>
              </w:rPr>
              <w:t>Independent directors</w:t>
            </w: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Adam K. Bernstein</w:t>
            </w:r>
            <w:r>
              <w:rPr>
                <w:rFonts w:ascii="Arial" w:cs="Arial" w:eastAsia="Arial" w:hAnsi="Arial"/>
                <w:sz w:val="22"/>
                <w:szCs w:val="22"/>
                <w:color w:val="auto"/>
                <w:vertAlign w:val="superscript"/>
              </w:rPr>
              <w:t>(2)</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78,643</w:t>
            </w: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Marshall Brozost</w:t>
            </w:r>
          </w:p>
        </w:tc>
        <w:tc>
          <w:tcPr>
            <w:tcW w:w="1280" w:type="dxa"/>
            <w:vAlign w:val="bottom"/>
          </w:tcPr>
          <w:p>
            <w:pPr>
              <w:jc w:val="center"/>
              <w:spacing w:after="0"/>
              <w:rPr>
                <w:sz w:val="20"/>
                <w:szCs w:val="20"/>
                <w:color w:val="auto"/>
              </w:rPr>
            </w:pPr>
            <w:r>
              <w:rPr>
                <w:rFonts w:ascii="Arial" w:cs="Arial" w:eastAsia="Arial" w:hAnsi="Arial"/>
                <w:sz w:val="18"/>
                <w:szCs w:val="18"/>
                <w:color w:val="auto"/>
                <w:w w:val="86"/>
              </w:rPr>
              <w:t>Record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7,377</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Jeffrey Flug</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Record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73,766</w:t>
            </w: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Samuel L. Katz</w:t>
            </w:r>
          </w:p>
        </w:tc>
        <w:tc>
          <w:tcPr>
            <w:tcW w:w="1280" w:type="dxa"/>
            <w:vAlign w:val="bottom"/>
          </w:tcPr>
          <w:p>
            <w:pPr>
              <w:jc w:val="center"/>
              <w:spacing w:after="0"/>
              <w:rPr>
                <w:sz w:val="20"/>
                <w:szCs w:val="20"/>
                <w:color w:val="auto"/>
              </w:rPr>
            </w:pPr>
            <w:r>
              <w:rPr>
                <w:rFonts w:ascii="Arial" w:cs="Arial" w:eastAsia="Arial" w:hAnsi="Arial"/>
                <w:sz w:val="18"/>
                <w:szCs w:val="18"/>
                <w:color w:val="auto"/>
                <w:w w:val="86"/>
              </w:rPr>
              <w:t>Record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31,065</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Interested director</w:t>
            </w: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Arthur H. Penn</w:t>
            </w:r>
            <w:r>
              <w:rPr>
                <w:rFonts w:ascii="Arial" w:cs="Arial" w:eastAsia="Arial" w:hAnsi="Arial"/>
                <w:sz w:val="22"/>
                <w:szCs w:val="22"/>
                <w:color w:val="auto"/>
                <w:vertAlign w:val="superscript"/>
              </w:rPr>
              <w:t>(3)</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Record/Beneficial</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280,397</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Aviv Efrat</w:t>
            </w:r>
          </w:p>
        </w:tc>
        <w:tc>
          <w:tcPr>
            <w:tcW w:w="1280" w:type="dxa"/>
            <w:vAlign w:val="bottom"/>
          </w:tcPr>
          <w:p>
            <w:pPr>
              <w:jc w:val="center"/>
              <w:spacing w:after="0"/>
              <w:rPr>
                <w:sz w:val="20"/>
                <w:szCs w:val="20"/>
                <w:color w:val="auto"/>
              </w:rPr>
            </w:pPr>
            <w:r>
              <w:rPr>
                <w:rFonts w:ascii="Arial" w:cs="Arial" w:eastAsia="Arial" w:hAnsi="Arial"/>
                <w:sz w:val="18"/>
                <w:szCs w:val="18"/>
                <w:color w:val="auto"/>
                <w:w w:val="86"/>
              </w:rPr>
              <w:t>Record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13,527</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Guy Talarico</w:t>
            </w:r>
          </w:p>
        </w:tc>
        <w:tc>
          <w:tcPr>
            <w:tcW w:w="1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All Directors and Officers as a group (7 persons)</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Record/Beneficial</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473,835</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jc w:val="center"/>
        <w:ind w:left="5620" w:right="700" w:hanging="5612"/>
        <w:spacing w:after="0" w:line="371" w:lineRule="auto"/>
        <w:tabs>
          <w:tab w:leader="none" w:pos="339"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address for each officer and director is c/o PennantPark Investment Corporation, 590 Madison Avenue,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10022 65</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Mr. Bernstein is the President of JAM Investments, LLC and may therefore be deemed to own beneficially the 66,267 shares held by JAM Investments, LLC</w:t>
      </w:r>
    </w:p>
    <w:p>
      <w:pPr>
        <w:spacing w:after="0" w:line="99" w:lineRule="exact"/>
        <w:rPr>
          <w:rFonts w:ascii="Arial" w:cs="Arial" w:eastAsia="Arial" w:hAnsi="Arial"/>
          <w:sz w:val="16"/>
          <w:szCs w:val="16"/>
          <w:color w:val="auto"/>
        </w:rPr>
      </w:pPr>
    </w:p>
    <w:p>
      <w:pPr>
        <w:ind w:left="340" w:right="100" w:hanging="332"/>
        <w:spacing w:after="0" w:line="268"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Penn is the Managing Member of PennantPark Investment Advisers, LLC, and may therefore be deemed to own beneficially the 230,064 shares held by PennantPark Investment Advisers, LLC.</w:t>
      </w:r>
    </w:p>
    <w:p>
      <w:pPr>
        <w:spacing w:after="0" w:line="37"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77" w:lineRule="exact"/>
        <w:rPr>
          <w:sz w:val="20"/>
          <w:szCs w:val="20"/>
          <w:color w:val="auto"/>
        </w:rPr>
      </w:pPr>
    </w:p>
    <w:p>
      <w:pPr>
        <w:ind w:left="340" w:hanging="288"/>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Range of Securities Beneficially Owned by Director, Officers and Portfolio Managers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table sets forth the dollar range of our equity securities beneficially owned by each of our directors as of June 30, 2008. Information as to the beneficial ownerships based on information furnished to the company by such persons. We are not part of a “family of investment companies,” as that term is defined in the 1940 Act.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Directors of PennantPark</w:t>
            </w: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87"/>
              </w:rPr>
              <w:t>Dollar Range of Equity Securities in PennantPark</w:t>
            </w:r>
            <w:r>
              <w:rPr>
                <w:rFonts w:ascii="Arial" w:cs="Arial" w:eastAsia="Arial" w:hAnsi="Arial"/>
                <w:sz w:val="22"/>
                <w:szCs w:val="22"/>
                <w:b w:val="1"/>
                <w:bCs w:val="1"/>
                <w:color w:val="auto"/>
                <w:w w:val="87"/>
                <w:vertAlign w:val="superscript"/>
              </w:rPr>
              <w:t>(1)</w:t>
            </w:r>
          </w:p>
        </w:tc>
      </w:tr>
      <w:tr>
        <w:trPr>
          <w:trHeight w:val="201"/>
        </w:trPr>
        <w:tc>
          <w:tcPr>
            <w:tcW w:w="15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w w:val="82"/>
              </w:rPr>
              <w:t>Independent directors</w:t>
            </w:r>
          </w:p>
        </w:tc>
        <w:tc>
          <w:tcPr>
            <w:tcW w:w="4480" w:type="dxa"/>
            <w:vAlign w:val="bottom"/>
          </w:tcPr>
          <w:p>
            <w:pPr>
              <w:spacing w:after="0"/>
              <w:rPr>
                <w:sz w:val="17"/>
                <w:szCs w:val="17"/>
                <w:color w:val="auto"/>
              </w:rPr>
            </w:pPr>
          </w:p>
        </w:tc>
        <w:tc>
          <w:tcPr>
            <w:tcW w:w="5360" w:type="dxa"/>
            <w:vAlign w:val="bottom"/>
            <w:tcBorders>
              <w:top w:val="single" w:sz="8" w:color="auto"/>
            </w:tcBorders>
          </w:tcPr>
          <w:p>
            <w:pPr>
              <w:spacing w:after="0"/>
              <w:rPr>
                <w:sz w:val="17"/>
                <w:szCs w:val="17"/>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5360" w:type="dxa"/>
            <w:vAlign w:val="bottom"/>
          </w:tcPr>
          <w:p>
            <w:pPr>
              <w:jc w:val="center"/>
              <w:spacing w:after="0" w:line="217" w:lineRule="exact"/>
              <w:rPr>
                <w:sz w:val="20"/>
                <w:szCs w:val="20"/>
                <w:color w:val="auto"/>
              </w:rPr>
            </w:pPr>
            <w:r>
              <w:rPr>
                <w:rFonts w:ascii="Arial" w:cs="Arial" w:eastAsia="Arial" w:hAnsi="Arial"/>
                <w:sz w:val="18"/>
                <w:szCs w:val="18"/>
                <w:color w:val="auto"/>
                <w:w w:val="86"/>
              </w:rPr>
              <w:t>$500,001 - $1,000,000</w:t>
            </w:r>
            <w:r>
              <w:rPr>
                <w:rFonts w:ascii="Arial" w:cs="Arial" w:eastAsia="Arial" w:hAnsi="Arial"/>
                <w:sz w:val="22"/>
                <w:szCs w:val="22"/>
                <w:color w:val="auto"/>
                <w:w w:val="86"/>
                <w:vertAlign w:val="superscript"/>
              </w:rPr>
              <w:t>(2)</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Marshall Brozost</w:t>
            </w:r>
          </w:p>
        </w:tc>
        <w:tc>
          <w:tcPr>
            <w:tcW w:w="5360" w:type="dxa"/>
            <w:vAlign w:val="bottom"/>
          </w:tcPr>
          <w:p>
            <w:pPr>
              <w:jc w:val="center"/>
              <w:spacing w:after="0"/>
              <w:rPr>
                <w:sz w:val="20"/>
                <w:szCs w:val="20"/>
                <w:color w:val="auto"/>
              </w:rPr>
            </w:pPr>
            <w:r>
              <w:rPr>
                <w:rFonts w:ascii="Arial" w:cs="Arial" w:eastAsia="Arial" w:hAnsi="Arial"/>
                <w:sz w:val="18"/>
                <w:szCs w:val="18"/>
                <w:color w:val="auto"/>
                <w:w w:val="87"/>
              </w:rPr>
              <w:t>$50,001 - $100,000</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$500,001 - $1,000,000</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Samuel L. Katz</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$100,000 - $500,000</w:t>
            </w:r>
          </w:p>
        </w:tc>
      </w:tr>
      <w:tr>
        <w:trPr>
          <w:trHeight w:val="331"/>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directors</w:t>
            </w:r>
          </w:p>
        </w:tc>
        <w:tc>
          <w:tcPr>
            <w:tcW w:w="5360" w:type="dxa"/>
            <w:vAlign w:val="bottom"/>
          </w:tcPr>
          <w:p>
            <w:pPr>
              <w:spacing w:after="0"/>
              <w:rPr>
                <w:sz w:val="24"/>
                <w:szCs w:val="24"/>
                <w:color w:val="auto"/>
              </w:rPr>
            </w:pPr>
          </w:p>
        </w:tc>
      </w:tr>
      <w:tr>
        <w:trPr>
          <w:trHeight w:val="299"/>
        </w:trPr>
        <w:tc>
          <w:tcPr>
            <w:tcW w:w="6060" w:type="dxa"/>
            <w:vAlign w:val="bottom"/>
            <w:gridSpan w:val="2"/>
          </w:tcPr>
          <w:p>
            <w:pPr>
              <w:spacing w:after="0"/>
              <w:rPr>
                <w:sz w:val="20"/>
                <w:szCs w:val="20"/>
                <w:color w:val="auto"/>
              </w:rPr>
            </w:pPr>
            <w:r>
              <w:rPr>
                <w:rFonts w:ascii="Arial" w:cs="Arial" w:eastAsia="Arial" w:hAnsi="Arial"/>
                <w:sz w:val="18"/>
                <w:szCs w:val="18"/>
                <w:color w:val="auto"/>
              </w:rPr>
              <w:t>Arthur H. Penn</w:t>
            </w:r>
          </w:p>
        </w:tc>
        <w:tc>
          <w:tcPr>
            <w:tcW w:w="5360" w:type="dxa"/>
            <w:vAlign w:val="bottom"/>
          </w:tcPr>
          <w:p>
            <w:pPr>
              <w:jc w:val="center"/>
              <w:spacing w:after="0"/>
              <w:rPr>
                <w:sz w:val="20"/>
                <w:szCs w:val="20"/>
                <w:color w:val="auto"/>
              </w:rPr>
            </w:pPr>
            <w:r>
              <w:rPr>
                <w:rFonts w:ascii="Arial" w:cs="Arial" w:eastAsia="Arial" w:hAnsi="Arial"/>
                <w:sz w:val="18"/>
                <w:szCs w:val="18"/>
                <w:color w:val="auto"/>
                <w:w w:val="86"/>
              </w:rPr>
              <w:t>Over $1,000,000</w:t>
            </w:r>
            <w:r>
              <w:rPr>
                <w:rFonts w:ascii="Arial" w:cs="Arial" w:eastAsia="Arial" w:hAnsi="Arial"/>
                <w:sz w:val="22"/>
                <w:szCs w:val="22"/>
                <w:color w:val="auto"/>
                <w:w w:val="86"/>
                <w:vertAlign w:val="superscript"/>
              </w:rPr>
              <w:t>(3)</w:t>
            </w:r>
          </w:p>
        </w:tc>
      </w:tr>
      <w:tr>
        <w:trPr>
          <w:trHeight w:val="241"/>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 who are not directors</w:t>
            </w:r>
          </w:p>
        </w:tc>
        <w:tc>
          <w:tcPr>
            <w:tcW w:w="5360" w:type="dxa"/>
            <w:vAlign w:val="bottom"/>
          </w:tcPr>
          <w:p>
            <w:pPr>
              <w:spacing w:after="0"/>
              <w:rPr>
                <w:sz w:val="20"/>
                <w:szCs w:val="20"/>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Aviv Efrat</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$100,000 - $500,000</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Guy Talarico</w:t>
            </w: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None</w:t>
            </w:r>
          </w:p>
        </w:tc>
      </w:tr>
      <w:tr>
        <w:trPr>
          <w:trHeight w:val="318"/>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Portfolio managers</w:t>
            </w:r>
          </w:p>
        </w:tc>
        <w:tc>
          <w:tcPr>
            <w:tcW w:w="5360" w:type="dxa"/>
            <w:vAlign w:val="bottom"/>
          </w:tcPr>
          <w:p>
            <w:pPr>
              <w:spacing w:after="0"/>
              <w:rPr>
                <w:sz w:val="24"/>
                <w:szCs w:val="24"/>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Geoffrey S. Chang</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$100,001 - $500,000</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Salvatore Giannetti III</w:t>
            </w:r>
          </w:p>
        </w:tc>
        <w:tc>
          <w:tcPr>
            <w:tcW w:w="5360" w:type="dxa"/>
            <w:vAlign w:val="bottom"/>
          </w:tcPr>
          <w:p>
            <w:pPr>
              <w:jc w:val="center"/>
              <w:spacing w:after="0"/>
              <w:rPr>
                <w:sz w:val="20"/>
                <w:szCs w:val="20"/>
                <w:color w:val="auto"/>
              </w:rPr>
            </w:pPr>
            <w:r>
              <w:rPr>
                <w:rFonts w:ascii="Arial" w:cs="Arial" w:eastAsia="Arial" w:hAnsi="Arial"/>
                <w:sz w:val="18"/>
                <w:szCs w:val="18"/>
                <w:color w:val="auto"/>
                <w:w w:val="87"/>
              </w:rPr>
              <w:t>$50,001 - $100,000</w:t>
            </w: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P. Whitridge Williams, Jr.</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$100,001 - $500,000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Also reflects holdings of JAM Investments, LLC.</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9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PennantPark has entered into the Investment Management Agreement with the Investment Adviser under which the Investment Adviser, subject to the overall supervision of PennantPark Investment’s board of directors, manages the day-to-day operations of and provides investment advisory services to, PennantPark. Under the terms of our Investment Management Agreement, PennantPark Investment Advisers:</w:t>
      </w:r>
    </w:p>
    <w:p>
      <w:pPr>
        <w:spacing w:after="0" w:line="26"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113" w:lineRule="exact"/>
        <w:rPr>
          <w:rFonts w:ascii="Arial" w:cs="Arial" w:eastAsia="Arial" w:hAnsi="Arial"/>
          <w:sz w:val="16"/>
          <w:szCs w:val="16"/>
          <w:color w:val="auto"/>
        </w:rPr>
      </w:pPr>
    </w:p>
    <w:p>
      <w:pPr>
        <w:ind w:left="900" w:right="54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closes and monitors the investments we make.</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PennantPark Investment Advisers’ services under our Investment Management Agreement are not exclusive, and it is free to furnish similar services to other entities so long as its services to us are not impaired. The Investment Adviser has not yet undertaken any such services, but may do so at any time and without the prior approval of our stockholders or our board of directors. Our board of directors would monitor any potential conflicts that may arise upon such a development. For providing these services, the Investment Adviser receives a fee from PennantPark, consisting of two components—a base management fee and an incentive fee (collectively, “Management Fees”).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90" w:lineRule="exact"/>
        <w:rPr>
          <w:sz w:val="20"/>
          <w:szCs w:val="20"/>
          <w:color w:val="auto"/>
        </w:rPr>
      </w:pPr>
    </w:p>
    <w:p>
      <w:pPr>
        <w:ind w:right="20" w:firstLine="456"/>
        <w:spacing w:after="0" w:line="303" w:lineRule="auto"/>
        <w:rPr>
          <w:sz w:val="20"/>
          <w:szCs w:val="20"/>
          <w:color w:val="auto"/>
        </w:rPr>
      </w:pPr>
      <w:r>
        <w:rPr>
          <w:rFonts w:ascii="Arial" w:cs="Arial" w:eastAsia="Arial" w:hAnsi="Arial"/>
          <w:sz w:val="15"/>
          <w:szCs w:val="15"/>
          <w:color w:val="auto"/>
        </w:rPr>
        <w:t>The base management fee is calculated at an annual rate of 2.00% of our gross assets (net of U.S. Treasury Bills (“average adjusted gross total assets”)). Although the base management fee is 2.00% of our average adjusted gross total assets, the Investment Adviser waived a portion of the base management fee such that the base management fee equaled 1.50% from the consummation of the initial public offering through September 30, 2007. The base management fee is</w:t>
      </w:r>
    </w:p>
    <w:p>
      <w:pPr>
        <w:spacing w:after="0" w:line="1"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1.75% from October 1, 2007 through March 31, 2008. Our base management fee is 2.00% after March 31, 2008. For services rendered under our Investment Management Agreement during the period commencing from the closing of the initial public offering through and including September 30, 2007, the base management fee was payable monthly in arrears. For services rendered under our Investment Management Agreement after September 30, 2007, the base management fee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Base investment advisory fees for any partial month or quarter are appropriately pro rated. For the nine months ended June 30, 2008 and the period January 11, 2007 (inception) to September 30, 2007, the Investment Adviser earned a base management fee, after fee waiver, of $4.8 million and $1.9 million, respectively.</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our Administration Agreement, and any interest expense and distributions paid on any issued and outstanding preferred stock, but excluding the incentive fee). Pre-Incentive Fee Net Investment Income includes, in the case of investments with a deferred interest feature (such as original issue discount, debt instruments with pay in kind interest and zero coupon securities), accrued income that we have not yet received in cash. Pre-Incentive Fee Net Investment Income does not include any realized capital gains, realized capital losses or unrealized capital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323" w:lineRule="auto"/>
        <w:rPr>
          <w:sz w:val="20"/>
          <w:szCs w:val="20"/>
          <w:color w:val="auto"/>
        </w:rPr>
      </w:pPr>
      <w:r>
        <w:rPr>
          <w:rFonts w:ascii="Arial" w:cs="Arial" w:eastAsia="Arial" w:hAnsi="Arial"/>
          <w:sz w:val="15"/>
          <w:szCs w:val="15"/>
          <w:color w:val="auto"/>
        </w:rPr>
        <w:t>appreciation or depreciation. Pre-Incentive Fee Net Investment Income, expressed as a rate of return on the value of our net assets at the end of the immediately preceding calendar quarter, will be compared to a Hurdle of 1.75% per quarter (7.00% annualized). Our net investment income used to calculate this part of the incentive fee is also included in the amount of our average adjusted gross total assets used to calculate the 2.00% base management fee. We have agreed to pay PennantPark Investment Advisers an incentive fee with respect to our Pre-Incentive Fee Net Investment Income in each calendar quarter as follows:</w:t>
      </w:r>
    </w:p>
    <w:p>
      <w:pPr>
        <w:spacing w:after="0" w:line="17"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our Pre-Incentive Fee Net Investment Income does not exceed the Hurdle of 1.75%;</w:t>
      </w:r>
    </w:p>
    <w:p>
      <w:pPr>
        <w:spacing w:after="0" w:line="113" w:lineRule="exact"/>
        <w:rPr>
          <w:rFonts w:ascii="Arial" w:cs="Arial" w:eastAsia="Arial" w:hAnsi="Arial"/>
          <w:sz w:val="16"/>
          <w:szCs w:val="16"/>
          <w:color w:val="auto"/>
        </w:rPr>
      </w:pPr>
    </w:p>
    <w:p>
      <w:pPr>
        <w:ind w:left="900" w:right="300" w:hanging="325"/>
        <w:spacing w:after="0" w:line="255"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100% of our Pre-Incentive Fee Net Investment Income with respect to that portion of such Pre-Incentive Fee Net Investment Income, if any, that exceeds the Hurdle but is less than 2.1875% in any calendar quarter (8.75% annualized). We refer to this portion of our Pre-Incentive Fee Net Investment Income (which exceeds the Hurdle but is less than 2.1875%) as the “catch-up.” The “catch-up” is meant to provide our Investment Adviser with 20% of our Pre-Incentive Fee Net Investment Income as if a Hurdle did not apply if this net investment income exceeds 2.1875% in any calendar quarter; and</w:t>
      </w:r>
    </w:p>
    <w:p>
      <w:pPr>
        <w:spacing w:after="0" w:line="61"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20% of the amount of our Pre-Incentive Fee Net Investment Income, if any, that exceeds 2.1875% in any calendar quarter (8.75% annualized) is payable to our Investment Adviser (once the Hurdle is reached and the catch-up is achieved, 20% of all Pre-Incentive Fee Investment Income thereafter is allocated to our Investment Adviser). These calculations are appropriately pro rated for any period of less than three months and adjusted for any share issuances or repurchases during the current quarter.</w:t>
      </w:r>
    </w:p>
    <w:p>
      <w:pPr>
        <w:spacing w:after="0" w:line="143"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Graphical Representation of Calculation of Quarterly Incentive Fee Based on Net Investment Income</w:t>
      </w:r>
    </w:p>
    <w:p>
      <w:pPr>
        <w:spacing w:after="0" w:line="8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Pre-incentive fee net investment income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109855</wp:posOffset>
            </wp:positionV>
            <wp:extent cx="3833495" cy="6261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3349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Percentage of pre-incentive fee net investment income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allocated to income-related portion of incentive fee</w:t>
      </w:r>
    </w:p>
    <w:p>
      <w:pPr>
        <w:spacing w:after="0" w:line="16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advisory and management agreement, as of the termination date), commencing on December 31, 2007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nine months ended June 30, 2008 and the period January 11, 2007 (inception) to September 30, 2007, the Investment Adviser earned $2.4 million and zero, respectively, in incentive fees.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income (including interest, distributions, fees, etc.) = 1.25%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Fee Net Investment Income</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(investment income—(base management fee + other expenses)) = 0.55%</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6"/>
          <w:szCs w:val="16"/>
          <w:color w:val="auto"/>
        </w:rPr>
        <w:t>Pre-incentive net investment income does not exceed Hurdle; therefore there is no incentive fee.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income (including interest, distributions, fees, etc.) = 2.70%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Fee Net Investment Income</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(investment income—(base management fee + other expenses)) = 2.00%</w:t>
      </w:r>
    </w:p>
    <w:p>
      <w:pPr>
        <w:spacing w:after="0" w:line="205" w:lineRule="exact"/>
        <w:rPr>
          <w:sz w:val="20"/>
          <w:szCs w:val="20"/>
          <w:color w:val="auto"/>
        </w:rPr>
      </w:pPr>
    </w:p>
    <w:p>
      <w:pPr>
        <w:ind w:left="460"/>
        <w:spacing w:after="0"/>
        <w:tabs>
          <w:tab w:leader="none" w:pos="214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20% x Pre-Incentive Fee Net Investment Income, subject to “catch-up”</w:t>
      </w:r>
    </w:p>
    <w:p>
      <w:pPr>
        <w:spacing w:after="0" w:line="15" w:lineRule="exact"/>
        <w:rPr>
          <w:sz w:val="20"/>
          <w:szCs w:val="20"/>
          <w:color w:val="auto"/>
        </w:rPr>
      </w:pPr>
    </w:p>
    <w:p>
      <w:pPr>
        <w:ind w:left="2300" w:hanging="145"/>
        <w:spacing w:after="0"/>
        <w:tabs>
          <w:tab w:leader="none" w:pos="2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2.00% - 1.75%</w:t>
      </w:r>
    </w:p>
    <w:p>
      <w:pPr>
        <w:spacing w:after="0" w:line="9" w:lineRule="exact"/>
        <w:rPr>
          <w:rFonts w:ascii="Arial" w:cs="Arial" w:eastAsia="Arial" w:hAnsi="Arial"/>
          <w:sz w:val="18"/>
          <w:szCs w:val="18"/>
          <w:color w:val="auto"/>
        </w:rPr>
      </w:pPr>
    </w:p>
    <w:p>
      <w:pPr>
        <w:ind w:left="2300" w:hanging="145"/>
        <w:spacing w:after="0"/>
        <w:tabs>
          <w:tab w:leader="none" w:pos="2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0.25%</w:t>
      </w:r>
    </w:p>
    <w:p>
      <w:pPr>
        <w:spacing w:after="0" w:line="9" w:lineRule="exact"/>
        <w:rPr>
          <w:rFonts w:ascii="Arial" w:cs="Arial" w:eastAsia="Arial" w:hAnsi="Arial"/>
          <w:sz w:val="18"/>
          <w:szCs w:val="18"/>
          <w:color w:val="auto"/>
        </w:rPr>
      </w:pPr>
    </w:p>
    <w:p>
      <w:pPr>
        <w:ind w:left="2300" w:hanging="145"/>
        <w:spacing w:after="0"/>
        <w:tabs>
          <w:tab w:leader="none" w:pos="2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100% x 0.25%</w:t>
      </w:r>
    </w:p>
    <w:p>
      <w:pPr>
        <w:spacing w:after="0" w:line="9" w:lineRule="exact"/>
        <w:rPr>
          <w:rFonts w:ascii="Arial" w:cs="Arial" w:eastAsia="Arial" w:hAnsi="Arial"/>
          <w:sz w:val="18"/>
          <w:szCs w:val="18"/>
          <w:color w:val="auto"/>
        </w:rPr>
      </w:pPr>
    </w:p>
    <w:p>
      <w:pPr>
        <w:ind w:left="2300" w:hanging="145"/>
        <w:spacing w:after="0"/>
        <w:tabs>
          <w:tab w:leader="none" w:pos="2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0.25%</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income (including interest, distributions, fees, etc.) = 3.00%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Fee Net Investment Income</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(investment income—(base management fee + other expenses)) = 2.30%</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Incentive fee = 20% x Pre-Incentive Fee Net Investment Income, subject to “catch-up”</w:t>
      </w:r>
    </w:p>
    <w:p>
      <w:pPr>
        <w:spacing w:after="0" w:line="90" w:lineRule="exact"/>
        <w:rPr>
          <w:sz w:val="20"/>
          <w:szCs w:val="20"/>
          <w:color w:val="auto"/>
        </w:rPr>
      </w:pPr>
    </w:p>
    <w:p>
      <w:pPr>
        <w:jc w:val="right"/>
        <w:ind w:right="2219"/>
        <w:spacing w:after="0"/>
        <w:rPr>
          <w:sz w:val="20"/>
          <w:szCs w:val="20"/>
          <w:color w:val="auto"/>
        </w:rPr>
      </w:pPr>
      <w:r>
        <w:rPr>
          <w:rFonts w:ascii="Arial" w:cs="Arial" w:eastAsia="Arial" w:hAnsi="Arial"/>
          <w:sz w:val="18"/>
          <w:szCs w:val="18"/>
          <w:color w:val="auto"/>
        </w:rPr>
        <w:t>Incentive fee = 100% x “catch-up” + (20% x (Pre-Incentive Fee Net Investment Income – 2.1875%))</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219"/>
          </w:cols>
          <w:pgMar w:left="240" w:top="459" w:right="1440"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Catch-up = 2.1875% - 1.75%</w:t>
      </w:r>
    </w:p>
    <w:p>
      <w:pPr>
        <w:spacing w:after="0" w:line="90" w:lineRule="exact"/>
        <w:rPr>
          <w:sz w:val="20"/>
          <w:szCs w:val="20"/>
          <w:color w:val="auto"/>
        </w:rPr>
      </w:pPr>
    </w:p>
    <w:p>
      <w:pPr>
        <w:ind w:left="1040" w:hanging="137"/>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0.4375%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(100% x 0.4375%) + (20% x (2.3% - 2.1875%))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0.4375% + (20% x 0.1125%)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0.4375% + 0.0225%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0.46%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 no net realized capital gains or losses</w:t>
      </w:r>
    </w:p>
    <w:p>
      <w:pPr>
        <w:spacing w:after="0" w:line="90" w:lineRule="exact"/>
        <w:rPr>
          <w:sz w:val="20"/>
          <w:szCs w:val="20"/>
          <w:color w:val="auto"/>
        </w:rPr>
      </w:pPr>
    </w:p>
    <w:p>
      <w:pPr>
        <w:ind w:left="460" w:right="460"/>
        <w:spacing w:after="0" w:line="268" w:lineRule="auto"/>
        <w:rPr>
          <w:sz w:val="20"/>
          <w:szCs w:val="20"/>
          <w:color w:val="auto"/>
        </w:rPr>
      </w:pPr>
      <w:r>
        <w:rPr>
          <w:rFonts w:ascii="Arial" w:cs="Arial" w:eastAsia="Arial" w:hAnsi="Arial"/>
          <w:sz w:val="18"/>
          <w:szCs w:val="18"/>
          <w:color w:val="auto"/>
        </w:rPr>
        <w:t>Year 2 = 6% net realized capital gains and 1% realized capital losses and unrealized capital depreciation Capital gain incentive fee = 20% x (realized capital gains for year computed net of all realized capital losses and unrealized capital depreciation at year end)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580" w:type="dxa"/>
            <w:vAlign w:val="bottom"/>
          </w:tcPr>
          <w:p>
            <w:pPr>
              <w:spacing w:after="0"/>
              <w:rPr>
                <w:sz w:val="20"/>
                <w:szCs w:val="20"/>
                <w:color w:val="auto"/>
              </w:rPr>
            </w:pPr>
            <w:r>
              <w:rPr>
                <w:rFonts w:ascii="Arial" w:cs="Arial" w:eastAsia="Arial" w:hAnsi="Arial"/>
                <w:sz w:val="18"/>
                <w:szCs w:val="18"/>
                <w:b w:val="1"/>
                <w:bCs w:val="1"/>
                <w:color w:val="auto"/>
              </w:rPr>
              <w:t>Management</w:t>
            </w:r>
          </w:p>
        </w:tc>
        <w:tc>
          <w:tcPr>
            <w:tcW w:w="1980" w:type="dxa"/>
            <w:vAlign w:val="bottom"/>
          </w:tcPr>
          <w:p>
            <w:pPr>
              <w:spacing w:after="0"/>
              <w:rPr>
                <w:sz w:val="19"/>
                <w:szCs w:val="19"/>
                <w:color w:val="auto"/>
              </w:rPr>
            </w:pPr>
          </w:p>
        </w:tc>
      </w:tr>
      <w:tr>
        <w:trPr>
          <w:trHeight w:val="291"/>
        </w:trPr>
        <w:tc>
          <w:tcPr>
            <w:tcW w:w="2580" w:type="dxa"/>
            <w:vAlign w:val="bottom"/>
          </w:tcPr>
          <w:p>
            <w:pPr>
              <w:ind w:left="460"/>
              <w:spacing w:after="0"/>
              <w:rPr>
                <w:sz w:val="20"/>
                <w:szCs w:val="20"/>
                <w:color w:val="auto"/>
              </w:rPr>
            </w:pPr>
            <w:r>
              <w:rPr>
                <w:rFonts w:ascii="Arial" w:cs="Arial" w:eastAsia="Arial" w:hAnsi="Arial"/>
                <w:sz w:val="18"/>
                <w:szCs w:val="18"/>
                <w:color w:val="auto"/>
              </w:rPr>
              <w:t>Year 1 incentive fee</w:t>
            </w:r>
          </w:p>
        </w:tc>
        <w:tc>
          <w:tcPr>
            <w:tcW w:w="1980" w:type="dxa"/>
            <w:vAlign w:val="bottom"/>
          </w:tcPr>
          <w:p>
            <w:pPr>
              <w:ind w:left="720"/>
              <w:spacing w:after="0"/>
              <w:rPr>
                <w:sz w:val="20"/>
                <w:szCs w:val="20"/>
                <w:color w:val="auto"/>
              </w:rPr>
            </w:pPr>
            <w:r>
              <w:rPr>
                <w:rFonts w:ascii="Arial" w:cs="Arial" w:eastAsia="Arial" w:hAnsi="Arial"/>
                <w:sz w:val="18"/>
                <w:szCs w:val="18"/>
                <w:color w:val="auto"/>
              </w:rPr>
              <w:t>= 20% x (0)</w:t>
            </w:r>
          </w:p>
        </w:tc>
      </w:tr>
      <w:tr>
        <w:trPr>
          <w:trHeight w:val="216"/>
        </w:trPr>
        <w:tc>
          <w:tcPr>
            <w:tcW w:w="2580" w:type="dxa"/>
            <w:vAlign w:val="bottom"/>
          </w:tcPr>
          <w:p>
            <w:pPr>
              <w:spacing w:after="0"/>
              <w:rPr>
                <w:sz w:val="18"/>
                <w:szCs w:val="18"/>
                <w:color w:val="auto"/>
              </w:rPr>
            </w:pPr>
          </w:p>
        </w:tc>
        <w:tc>
          <w:tcPr>
            <w:tcW w:w="1980" w:type="dxa"/>
            <w:vAlign w:val="bottom"/>
          </w:tcPr>
          <w:p>
            <w:pPr>
              <w:ind w:left="720"/>
              <w:spacing w:after="0"/>
              <w:rPr>
                <w:sz w:val="20"/>
                <w:szCs w:val="20"/>
                <w:color w:val="auto"/>
              </w:rPr>
            </w:pPr>
            <w:r>
              <w:rPr>
                <w:rFonts w:ascii="Arial" w:cs="Arial" w:eastAsia="Arial" w:hAnsi="Arial"/>
                <w:sz w:val="18"/>
                <w:szCs w:val="18"/>
                <w:color w:val="auto"/>
              </w:rPr>
              <w:t>= 0</w:t>
            </w:r>
          </w:p>
        </w:tc>
      </w:tr>
      <w:tr>
        <w:trPr>
          <w:trHeight w:val="222"/>
        </w:trPr>
        <w:tc>
          <w:tcPr>
            <w:tcW w:w="2580" w:type="dxa"/>
            <w:vAlign w:val="bottom"/>
          </w:tcPr>
          <w:p>
            <w:pPr>
              <w:spacing w:after="0"/>
              <w:rPr>
                <w:sz w:val="19"/>
                <w:szCs w:val="19"/>
                <w:color w:val="auto"/>
              </w:rPr>
            </w:pPr>
          </w:p>
        </w:tc>
        <w:tc>
          <w:tcPr>
            <w:tcW w:w="1980" w:type="dxa"/>
            <w:vAlign w:val="bottom"/>
          </w:tcPr>
          <w:p>
            <w:pPr>
              <w:ind w:left="720"/>
              <w:spacing w:after="0"/>
              <w:rPr>
                <w:sz w:val="20"/>
                <w:szCs w:val="20"/>
                <w:color w:val="auto"/>
              </w:rPr>
            </w:pPr>
            <w:r>
              <w:rPr>
                <w:rFonts w:ascii="Arial" w:cs="Arial" w:eastAsia="Arial" w:hAnsi="Arial"/>
                <w:sz w:val="18"/>
                <w:szCs w:val="18"/>
                <w:color w:val="auto"/>
                <w:w w:val="87"/>
              </w:rPr>
              <w:t>= no incentive fee</w:t>
            </w:r>
          </w:p>
        </w:tc>
      </w:tr>
    </w:tbl>
    <w:p>
      <w:pPr>
        <w:spacing w:after="0" w:line="102" w:lineRule="exact"/>
        <w:rPr>
          <w:sz w:val="20"/>
          <w:szCs w:val="20"/>
          <w:color w:val="auto"/>
        </w:rPr>
      </w:pPr>
    </w:p>
    <w:p>
      <w:pPr>
        <w:ind w:left="460"/>
        <w:spacing w:after="0"/>
        <w:tabs>
          <w:tab w:leader="none" w:pos="3280" w:val="left"/>
        </w:tabs>
        <w:rPr>
          <w:sz w:val="20"/>
          <w:szCs w:val="20"/>
          <w:color w:val="auto"/>
        </w:rPr>
      </w:pPr>
      <w:r>
        <w:rPr>
          <w:rFonts w:ascii="Arial" w:cs="Arial" w:eastAsia="Arial" w:hAnsi="Arial"/>
          <w:sz w:val="18"/>
          <w:szCs w:val="18"/>
          <w:color w:val="auto"/>
        </w:rPr>
        <w:t>Year 2 incentive fee</w:t>
      </w:r>
      <w:r>
        <w:rPr>
          <w:sz w:val="20"/>
          <w:szCs w:val="20"/>
          <w:color w:val="auto"/>
        </w:rPr>
        <w:tab/>
      </w:r>
      <w:r>
        <w:rPr>
          <w:rFonts w:ascii="Arial" w:cs="Arial" w:eastAsia="Arial" w:hAnsi="Arial"/>
          <w:sz w:val="16"/>
          <w:szCs w:val="16"/>
          <w:color w:val="auto"/>
        </w:rPr>
        <w:t>= 20% x (6% - 1%)</w:t>
      </w:r>
    </w:p>
    <w:p>
      <w:pPr>
        <w:spacing w:after="0" w:line="15" w:lineRule="exact"/>
        <w:rPr>
          <w:sz w:val="20"/>
          <w:szCs w:val="20"/>
          <w:color w:val="auto"/>
        </w:rPr>
      </w:pPr>
    </w:p>
    <w:p>
      <w:pPr>
        <w:ind w:left="3440" w:hanging="137"/>
        <w:spacing w:after="0"/>
        <w:tabs>
          <w:tab w:leader="none" w:pos="34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20% x 5%</w:t>
      </w:r>
    </w:p>
    <w:p>
      <w:pPr>
        <w:spacing w:after="0" w:line="9" w:lineRule="exact"/>
        <w:rPr>
          <w:rFonts w:ascii="Arial" w:cs="Arial" w:eastAsia="Arial" w:hAnsi="Arial"/>
          <w:sz w:val="18"/>
          <w:szCs w:val="18"/>
          <w:color w:val="auto"/>
        </w:rPr>
      </w:pPr>
    </w:p>
    <w:p>
      <w:pPr>
        <w:ind w:left="3440" w:hanging="137"/>
        <w:spacing w:after="0"/>
        <w:tabs>
          <w:tab w:leader="none" w:pos="34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1%</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57"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7.0% annualized Hurdle.</w:t>
      </w:r>
    </w:p>
    <w:p>
      <w:pPr>
        <w:spacing w:after="0" w:line="76" w:lineRule="exact"/>
        <w:rPr>
          <w:rFonts w:ascii="Arial" w:cs="Arial" w:eastAsia="Arial" w:hAnsi="Arial"/>
          <w:sz w:val="18"/>
          <w:szCs w:val="18"/>
          <w:color w:val="auto"/>
        </w:rPr>
      </w:pPr>
    </w:p>
    <w:p>
      <w:pPr>
        <w:ind w:left="460" w:right="340" w:hanging="452"/>
        <w:spacing w:after="0" w:line="306"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Represents 2.0% annualized base management fee. Although the management fee is 2.00% of our average adjusted gross total assets, the Investment Adviser agreed to waive a portion of the base management fee such that the base management fee equaled 1.50% from the consummation of the initial public offering through September 30, 2007, 1.75% from October 1, 2007 through March 31, 2008, and 2.00% thereafter.</w:t>
      </w:r>
    </w:p>
    <w:p>
      <w:pPr>
        <w:spacing w:after="0" w:line="12"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Investment Management Agreement was approved by our board of directors, including a majority of our directors who are not interested persons of PennantPark, on February 13, 2007. Unless terminated earlier as described below, our Investment Management Agreement will continue in effect for a period of two years from its execution date through April 17, 2009. It will remain in effect from year to year thereafter if approved annually by our board of directors, or by the affirmative vote of the holders of a majority of our outstanding voting securities, including, in either case, approval by a majority of our directors who are not interested persons. The Investment Management Agreement will automatically terminate in the event of its assignment. The Investment Management Agreement may be terminated by either party without penalty upon not more than 60 days’ written notice to the other. See “Risk Factors-Risks relating to our business and structure—We are dependent upon PennantPark Investment Advisers’ key personnel for our future success, and if we are unable to hire and retain qualified personnel or if we lose any member of our management team, our ability to achieve our investment objectives could be significantly harmed.”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Investment Management Agreement provides that, absent willful misfeasance, bad faith or gross negligence in the performance of its duties or by reason of the reckless disregard of its duties and obligations, PennantPark Investment Advisers and its officers, managers, partners, agents, employees, controlling persons, members and any other person or entity affiliated with it are entitled to indemnification from PennantPark for any damages, liabilities, costs and expenses (including reasonable attorneys’ fees and amounts reasonably paid in settlement) arising from the rendering of PennantPark Investment Advisers’ services under each respective agreement or otherwise as an Investment Adviser of PennantPark.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90" w:lineRule="exact"/>
        <w:rPr>
          <w:sz w:val="20"/>
          <w:szCs w:val="20"/>
          <w:color w:val="auto"/>
        </w:rPr>
      </w:pPr>
    </w:p>
    <w:p>
      <w:pPr>
        <w:ind w:right="500" w:firstLine="456"/>
        <w:spacing w:after="0" w:line="304" w:lineRule="auto"/>
        <w:rPr>
          <w:sz w:val="20"/>
          <w:szCs w:val="20"/>
          <w:color w:val="auto"/>
        </w:rPr>
      </w:pPr>
      <w:r>
        <w:rPr>
          <w:rFonts w:ascii="Arial" w:cs="Arial" w:eastAsia="Arial" w:hAnsi="Arial"/>
          <w:sz w:val="18"/>
          <w:szCs w:val="18"/>
          <w:color w:val="auto"/>
        </w:rPr>
        <w:t>PennantPark Investment Advisers is a registered Investment Adviser under the Advisers Act of 1940. The principal executive offices of PennantPark Investment Advisers are located at 590 Madison Avenue,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NY 10022.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Pursuant to the Administration Agreement, the Administrator furnishes us with office facilities, equipment and clerical, bookkeeping and record keeping services at such facilities. Under our Administration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provides on our behalf managerial assistance to those portfolio companies to which we are required to provide such assistance. The Administration Agreement may be terminated by either party without penalty upon 60 days’ written notice to the other party. To the extent that our Administrator outsources any of its functions, we pay the fees associated with such functions on a direct basis without profit to the Administrator. For the nine months ended June 30, 2008 and the period January 11, 2007 (inception) to September 30, 2007, the Investment Adviser was reimbursed $1.6 million and approximately $490,000, respectively, from the Company, including expenses it incurred on behalf of the Administrator for the services described above.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Administration Agreement provides that, absent willful misfeasance, bad faith or negligence in the performance of its duties or by reason of the reckless disregard of its duties and obligations, PennantPark Investment Administration and its officers, manager, partners, agents, employees, controlling persons, members and any other person or entity affiliated with it are entitled to indemnification from PennantPark for any damages, liabilities, costs and expenses (including reasonable attorneys’ fees and amounts reasonably paid in settlement) arising from the rendering of PennantPark Investment Administration’s services under our Administration Agreement or otherwise as Administrator for PennantPark.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net asset value per share of our outstanding shares of common stock is determined quarterly by dividing the value of total assets minus liabilities by the total number of shares outstanding.</w:t>
      </w:r>
    </w:p>
    <w:p>
      <w:pPr>
        <w:spacing w:after="0" w:line="132"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purchased within 60 days of maturity will be valued at cost plus accreted discount, or minus amortized premium, which approximates value. With respect to unquoted securities, our board of directors, together with our independent third party valuation firms, values each investment considering, among other measures, discounted cash flow models, comparisons of financial ratios of peer companies that are public and other factors.</w:t>
      </w:r>
    </w:p>
    <w:p>
      <w:pPr>
        <w:spacing w:after="0" w:line="12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When an external event such as a purchase transaction, public offering or subsequent equity sale occurs in connection with one of our portfolio companies, our board uses the pricing indicated by the external event to corroborate and/or assist us in our valuation of our investment in such portfolio company. Because there are not always readily available markets for many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2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are readily available but believed not to reflect the fair value of an investment, our board of directors undertakes a multi-step valuation process each quarter, as described below:</w:t>
      </w:r>
    </w:p>
    <w:p>
      <w:pPr>
        <w:spacing w:after="0" w:line="51" w:lineRule="exact"/>
        <w:rPr>
          <w:sz w:val="20"/>
          <w:szCs w:val="20"/>
          <w:color w:val="auto"/>
        </w:rPr>
      </w:pPr>
    </w:p>
    <w:p>
      <w:pPr>
        <w:ind w:left="900" w:right="46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jc w:val="both"/>
        <w:ind w:left="900" w:right="60" w:hanging="325"/>
        <w:spacing w:after="0" w:line="259"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board of directors also engages one or more independent valuation firms to conduct independent appraisals of our investments for which market quotations are not readily available or are readily available but believed not to reflect the fair value of an investment. The independent valuation firm reviews management’s preliminary valuations and its own independent assessment;</w:t>
      </w:r>
    </w:p>
    <w:p>
      <w:pPr>
        <w:spacing w:after="0" w:line="59" w:lineRule="exact"/>
        <w:rPr>
          <w:rFonts w:ascii="Arial" w:cs="Arial" w:eastAsia="Arial" w:hAnsi="Arial"/>
          <w:sz w:val="18"/>
          <w:szCs w:val="18"/>
          <w:color w:val="auto"/>
        </w:rPr>
      </w:pPr>
    </w:p>
    <w:p>
      <w:pPr>
        <w:ind w:left="900" w:right="280" w:hanging="325"/>
        <w:spacing w:after="0" w:line="332"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6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types of factors that we may take into account in fair value pricing our investments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Determination of fair values involves subjective judgments and estimates not susceptible to substantiation by auditing procedures. Accordingly, under current auditing standards, the notes to our financial statements will refer to the uncertainty with respect to the possible effect of such valuations, and any change in such valuations, on our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In connection with each offering of shares of our common stock, our board of directors or a committee thereof will be required to make the determination that we are not selling shares of our common stock at a price below net asset value of our common stock at the time at which the sale is made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32"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90" w:lineRule="exact"/>
        <w:rPr>
          <w:rFonts w:ascii="Arial" w:cs="Arial" w:eastAsia="Arial" w:hAnsi="Arial"/>
          <w:sz w:val="18"/>
          <w:szCs w:val="18"/>
          <w:color w:val="auto"/>
        </w:rPr>
      </w:pPr>
    </w:p>
    <w:p>
      <w:pPr>
        <w:jc w:val="both"/>
        <w:ind w:left="900" w:right="180" w:hanging="325"/>
        <w:spacing w:after="0" w:line="306"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net asset value of our common stock has occurred (including through the realization of gains on the sale of our portfolio securities) during the period beginning on the date of the most recent public filing with the SEC that discloses the net asset value of our common stock and ending two days prior to the date of the sale of our common stock; and</w:t>
      </w:r>
    </w:p>
    <w:p>
      <w:pPr>
        <w:spacing w:after="0" w:line="25"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net asset value of our common stock during the period discussed above.</w:t>
      </w:r>
    </w:p>
    <w:p>
      <w:pPr>
        <w:spacing w:after="0" w:line="132"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Importantly, this determination will not necessarily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To the extent that the above procedures result in even a remote possibility that we may (i) issue shares of our common stock at a price below the then current net asset value of our common stock at the time at which the sale is made or (ii) trigger our undertaking to suspend the offering of shares of our common stock pursuant to this prospectus if the net asset value fluctuates by certain amounts in certain circumstances until the prospectus is amended (see Part C —“Undertakings”), the Board of Directors or a committee thereof will elect, in the case of clause (i) above, either to postpone the offering until such time that there is no longer the possibility of the occurrence of such event or to undertake to determine net asset value within two days prior to any such sale to ensure that such sale will not be below our then current net asset value, and, in the case of clause (ii) above, to comply with such undertaking or to undertake to determine net asset value to ensure that such undertaking has not been triggered.</w:t>
      </w:r>
    </w:p>
    <w:p>
      <w:pPr>
        <w:spacing w:after="0" w:line="118"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We may, however, subject to the requirements of the 1940 Act,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S-3.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2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4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and Trust Company,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intend to use primarily newly issued shares to implement the plan, whether our shares are trading at a premium or at a discount to net asset value.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NASDAQ on the valuation date for such distribution. Market price per share on that date will be the closing price for such shares on NASDAQ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18" w:lineRule="exact"/>
        <w:rPr>
          <w:sz w:val="20"/>
          <w:szCs w:val="20"/>
          <w:color w:val="auto"/>
        </w:rPr>
      </w:pPr>
    </w:p>
    <w:p>
      <w:pPr>
        <w:jc w:val="both"/>
        <w:ind w:right="380" w:firstLine="456"/>
        <w:spacing w:after="0" w:line="256" w:lineRule="auto"/>
        <w:rPr>
          <w:sz w:val="20"/>
          <w:szCs w:val="20"/>
          <w:color w:val="auto"/>
        </w:rPr>
      </w:pPr>
      <w:r>
        <w:rPr>
          <w:rFonts w:ascii="Arial" w:cs="Arial" w:eastAsia="Arial" w:hAnsi="Arial"/>
          <w:sz w:val="18"/>
          <w:szCs w:val="18"/>
          <w:color w:val="auto"/>
        </w:rPr>
        <w:t>There will be no brokerage charges or other charges to stockholders who participate in the plan.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43"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Participants may terminate their accounts under the plan by notifying the plan Administrator via its website at www.amstock.com, by filling out the transaction request form located at bottom of their statement and sending it to the plan Administrator.</w:t>
      </w:r>
    </w:p>
    <w:p>
      <w:pPr>
        <w:spacing w:after="0" w:line="132"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and Trust Company, P.O. Box 922, Wall Street Station, New York, New York 10269, or by the Plan Administrator’s Interactive Voice Response System at 1-888-777-0324.</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June 30, 2008 our authorized capital stock consisted of 100,000,000 shares of stock, par value $0.001 per share, all of which is classified as common stock. Our common stock is quoted on NASDAQ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last reported closing market price of our common stock on September 2, 2008 was $8.22 per share. As of September 8, 2008, we had 18 stockholders of record.</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our outstanding classes of securities as of September 2,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Amount Held by</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Amount</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Us or for Our</w:t>
            </w:r>
          </w:p>
        </w:tc>
        <w:tc>
          <w:tcPr>
            <w:tcW w:w="56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61"/>
        </w:trPr>
        <w:tc>
          <w:tcPr>
            <w:tcW w:w="7660" w:type="dxa"/>
            <w:vAlign w:val="bottom"/>
            <w:gridSpan w:val="3"/>
          </w:tcPr>
          <w:p>
            <w:pPr>
              <w:spacing w:after="0"/>
              <w:rPr>
                <w:sz w:val="20"/>
                <w:szCs w:val="20"/>
                <w:color w:val="auto"/>
              </w:rPr>
            </w:pPr>
            <w:r>
              <w:rPr>
                <w:rFonts w:ascii="Arial" w:cs="Arial" w:eastAsia="Arial" w:hAnsi="Arial"/>
                <w:sz w:val="14"/>
                <w:szCs w:val="14"/>
                <w:b w:val="1"/>
                <w:bCs w:val="1"/>
                <w:color w:val="auto"/>
              </w:rPr>
              <w:t>Title of Class</w:t>
            </w: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Authorized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Account</w:t>
            </w:r>
          </w:p>
        </w:tc>
        <w:tc>
          <w:tcPr>
            <w:tcW w:w="560" w:type="dxa"/>
            <w:vAlign w:val="bottom"/>
          </w:tcPr>
          <w:p>
            <w:pPr>
              <w:spacing w:after="0"/>
              <w:rPr>
                <w:sz w:val="14"/>
                <w:szCs w:val="14"/>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par value $0.001 per share</w:t>
            </w:r>
          </w:p>
        </w:tc>
        <w:tc>
          <w:tcPr>
            <w:tcW w:w="14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7"/>
              </w:rPr>
              <w:t>100,000,000</w:t>
            </w:r>
          </w:p>
        </w:tc>
        <w:tc>
          <w:tcPr>
            <w:tcW w:w="960" w:type="dxa"/>
            <w:vAlign w:val="bottom"/>
            <w:shd w:val="clear" w:color="auto" w:fill="CCEEFF"/>
          </w:tcPr>
          <w:p>
            <w:pPr>
              <w:ind w:left="800"/>
              <w:spacing w:after="0"/>
              <w:rPr>
                <w:sz w:val="20"/>
                <w:szCs w:val="20"/>
                <w:color w:val="auto"/>
              </w:rPr>
            </w:pPr>
            <w:r>
              <w:rPr>
                <w:rFonts w:ascii="Arial" w:cs="Arial" w:eastAsia="Arial" w:hAnsi="Arial"/>
                <w:sz w:val="18"/>
                <w:szCs w:val="18"/>
                <w:color w:val="auto"/>
                <w:w w:val="77"/>
              </w:rPr>
              <w:t>—</w:t>
            </w:r>
          </w:p>
        </w:tc>
        <w:tc>
          <w:tcPr>
            <w:tcW w:w="136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6"/>
              </w:rPr>
              <w:t>21,068,772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Maryland law permits a Maryland corporation to include in its charter a provision limiting the liability of its directors and officers to the corporation and its stockholders for money damages except for liability resulting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charter authorizes us, to the maximum extent permitted by Maryland law and subject to the requirements of the 1940 Act, to obligate us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board of directors is divided into three classes of directors serving staggered three-year terms. The initial terms of the first, second and third classes will expire in 2008, 2009 and 2010, respectively, and in each case, those directors will serve until their successors are duly elected and qualify. Beginning in 2008, upon expiration of their current terms, directors of each class will be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the board of directors or (3) by a stockholder who is entitled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90"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9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35"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bylaws contain a provision exempting from the Control Share Acquisition Act any and all acquisitions by any person of our shares of stock. There can be no assurance that such provision will not be amended or eliminated at any time in the future. However, we will amend our bylaws to be subject to the Control Share Acquisition Act only if the board of directors determines that it would be in our best interests based on our determination that our being subject to the Control Share Acquisition Act does not conflict with the 1940 Act.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62"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1"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90" w:lineRule="exact"/>
        <w:rPr>
          <w:rFonts w:ascii="Arial" w:cs="Arial" w:eastAsia="Arial" w:hAnsi="Arial"/>
          <w:sz w:val="18"/>
          <w:szCs w:val="18"/>
          <w:color w:val="auto"/>
        </w:rPr>
      </w:pPr>
    </w:p>
    <w:p>
      <w:pPr>
        <w:ind w:left="900" w:right="460" w:hanging="325"/>
        <w:spacing w:after="0" w:line="332"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8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PREFERRED STOCK</w:t>
      </w:r>
    </w:p>
    <w:p>
      <w:pPr>
        <w:spacing w:after="0" w:line="1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1940 Act generally requires, among other things,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business development company. We believe that the availability for issuance of preferred stock will provide us with increased flexibility in structuring future financings and acquisitions.</w:t>
      </w:r>
    </w:p>
    <w:p>
      <w:pPr>
        <w:spacing w:after="0" w:line="11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51"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90" w:lineRule="exact"/>
        <w:rPr>
          <w:rFonts w:ascii="Arial" w:cs="Arial" w:eastAsia="Arial" w:hAnsi="Arial"/>
          <w:sz w:val="18"/>
          <w:szCs w:val="18"/>
          <w:color w:val="auto"/>
        </w:rPr>
      </w:pPr>
    </w:p>
    <w:p>
      <w:pPr>
        <w:ind w:left="900" w:right="64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32"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will be quarterly and for any auction rate preferred stock, or ARPS, will be weekly or monthly and subject to extension. With respect to ARPS, we expect the dividend rate to be variable and determined for each dividend period.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OUR WARRANTS</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90"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9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59"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will expire;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20"/>
          </w:cols>
          <w:pgMar w:left="240" w:top="459"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of Directors approves such issuance on the basis that the issuance is in the best interests of the Company and its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177" w:lineRule="exact"/>
        <w:rPr>
          <w:sz w:val="20"/>
          <w:szCs w:val="20"/>
          <w:color w:val="auto"/>
        </w:rPr>
      </w:pPr>
    </w:p>
    <w:p>
      <w:pPr>
        <w:ind w:firstLine="456"/>
        <w:spacing w:after="0" w:line="269"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S-3.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13"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113" w:lineRule="exact"/>
        <w:rPr>
          <w:rFonts w:ascii="Arial" w:cs="Arial" w:eastAsia="Arial" w:hAnsi="Arial"/>
          <w:sz w:val="16"/>
          <w:szCs w:val="16"/>
          <w:color w:val="auto"/>
        </w:rPr>
      </w:pPr>
    </w:p>
    <w:p>
      <w:pPr>
        <w:ind w:left="900" w:right="480" w:hanging="325"/>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shall expire (subject to any extension);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90" w:lineRule="exact"/>
        <w:rPr>
          <w:rFonts w:ascii="Arial" w:cs="Arial" w:eastAsia="Arial" w:hAnsi="Arial"/>
          <w:sz w:val="18"/>
          <w:szCs w:val="18"/>
          <w:color w:val="auto"/>
        </w:rPr>
      </w:pPr>
    </w:p>
    <w:p>
      <w:pPr>
        <w:ind w:left="900" w:right="860" w:hanging="325"/>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Subscription Rights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shall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43"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DEBT SECURITIES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“Description of our Debt Securities—Events of Default.” Second, the trustee performs certain administrative duties for us, such as sending interest and principal payments to holders.</w:t>
      </w:r>
    </w:p>
    <w:p>
      <w:pPr>
        <w:spacing w:after="0" w:line="1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form of the indenture with the SEC. See “Description of our Debt Securities—Additional Information” for information on how to obtain a copy of the indenture.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which will accompany this prospectus, will describe the particular series of debt securities being offered by including:</w:t>
      </w:r>
    </w:p>
    <w:p>
      <w:pPr>
        <w:spacing w:after="0" w:line="113"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90" w:lineRule="exact"/>
        <w:rPr>
          <w:rFonts w:ascii="Arial" w:cs="Arial" w:eastAsia="Arial" w:hAnsi="Arial"/>
          <w:sz w:val="18"/>
          <w:szCs w:val="18"/>
          <w:color w:val="auto"/>
        </w:rPr>
      </w:pPr>
    </w:p>
    <w:p>
      <w:pPr>
        <w:jc w:val="both"/>
        <w:ind w:left="900" w:right="40" w:hanging="325"/>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place or places, if any, other than or in addition to The City of New York, of payment, transfer, conversion and/or exchange of the debt securities;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federal income tax considerations relating to original issue discount;</w:t>
      </w:r>
    </w:p>
    <w:p>
      <w:pPr>
        <w:spacing w:after="0" w:line="113" w:lineRule="exact"/>
        <w:rPr>
          <w:rFonts w:ascii="Arial" w:cs="Arial" w:eastAsia="Arial" w:hAnsi="Arial"/>
          <w:sz w:val="16"/>
          <w:szCs w:val="16"/>
          <w:color w:val="auto"/>
        </w:rPr>
      </w:pPr>
    </w:p>
    <w:p>
      <w:pPr>
        <w:ind w:left="900" w:right="160" w:hanging="325"/>
        <w:spacing w:after="0" w:line="332"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debt securities may be secured or unsecured obligations. Under the provisions of the 1940 Act, we are permitted, as a business development company, to issue debt only in amounts such that our asset coverage, as defined in the 1940 Act, equals at least 200% after each issuance of debt. Unless the prospectus supplement states otherwise, principal (and premium, if any) and interest, if any, will be paid by us in immediately available funds.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does not contain any provisions that give you protection in the event we issue a large amount of debt or we are acquired by another entity.</w:t>
      </w:r>
    </w:p>
    <w:p>
      <w:pPr>
        <w:spacing w:after="0" w:line="19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1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60"/>
          </w:cols>
          <w:pgMar w:left="240" w:top="459" w:right="2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90" w:lineRule="exact"/>
        <w:rPr>
          <w:sz w:val="20"/>
          <w:szCs w:val="20"/>
          <w:color w:val="auto"/>
        </w:rPr>
      </w:pPr>
    </w:p>
    <w:p>
      <w:pPr>
        <w:ind w:right="340" w:firstLine="456"/>
        <w:spacing w:after="0" w:line="335" w:lineRule="auto"/>
        <w:rPr>
          <w:sz w:val="20"/>
          <w:szCs w:val="20"/>
          <w:color w:val="auto"/>
        </w:rPr>
      </w:pPr>
      <w:r>
        <w:rPr>
          <w:rFonts w:ascii="Arial" w:cs="Arial" w:eastAsia="Arial" w:hAnsi="Arial"/>
          <w:sz w:val="15"/>
          <w:szCs w:val="15"/>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8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43"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51"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5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4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90" w:lineRule="exact"/>
        <w:rPr>
          <w:sz w:val="20"/>
          <w:szCs w:val="20"/>
          <w:color w:val="auto"/>
        </w:rPr>
      </w:pPr>
    </w:p>
    <w:p>
      <w:pPr>
        <w:ind w:left="900" w:right="580" w:hanging="325"/>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50"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59"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50"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25"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50" w:lineRule="exact"/>
        <w:rPr>
          <w:rFonts w:ascii="Arial" w:cs="Arial" w:eastAsia="Arial" w:hAnsi="Arial"/>
          <w:sz w:val="18"/>
          <w:szCs w:val="18"/>
          <w:color w:val="auto"/>
        </w:rPr>
      </w:pPr>
    </w:p>
    <w:p>
      <w:pPr>
        <w:ind w:left="900" w:right="340" w:hanging="325"/>
        <w:spacing w:after="0" w:line="259"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60"/>
          </w:cols>
          <w:pgMar w:left="240" w:top="459" w:right="2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325"/>
        <w:spacing w:after="0" w:line="332"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w:t>
      </w:r>
    </w:p>
    <w:p>
      <w:pPr>
        <w:spacing w:after="0" w:line="4" w:lineRule="exact"/>
        <w:rPr>
          <w:rFonts w:ascii="Arial" w:cs="Arial" w:eastAsia="Arial" w:hAnsi="Arial"/>
          <w:sz w:val="16"/>
          <w:szCs w:val="16"/>
          <w:color w:val="auto"/>
        </w:rPr>
      </w:pPr>
    </w:p>
    <w:p>
      <w:pPr>
        <w:ind w:left="900" w:right="120" w:hanging="325"/>
        <w:spacing w:after="0" w:line="306"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Securities—Holders of Registered Debt Securities” above.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90" w:lineRule="exact"/>
        <w:rPr>
          <w:sz w:val="20"/>
          <w:szCs w:val="20"/>
          <w:color w:val="auto"/>
        </w:rPr>
      </w:pPr>
    </w:p>
    <w:p>
      <w:pPr>
        <w:ind w:left="900" w:right="180" w:hanging="325"/>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32"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90" w:lineRule="exact"/>
        <w:rPr>
          <w:sz w:val="20"/>
          <w:szCs w:val="20"/>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within five days of its due 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we do not deposit any sinking fund payment in respect of debt securities of the series on its due date and we do not cure this default within five days.</w:t>
      </w:r>
    </w:p>
    <w:p>
      <w:pPr>
        <w:spacing w:after="0" w:line="113" w:lineRule="exact"/>
        <w:rPr>
          <w:rFonts w:ascii="Arial" w:cs="Arial" w:eastAsia="Arial" w:hAnsi="Arial"/>
          <w:sz w:val="16"/>
          <w:szCs w:val="16"/>
          <w:color w:val="auto"/>
        </w:rPr>
      </w:pPr>
    </w:p>
    <w:p>
      <w:pPr>
        <w:ind w:left="900" w:right="180" w:hanging="325"/>
        <w:spacing w:after="0" w:line="332"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66.66%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51" w:lineRule="exact"/>
        <w:rPr>
          <w:sz w:val="20"/>
          <w:szCs w:val="20"/>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90" w:lineRule="exact"/>
        <w:rPr>
          <w:rFonts w:ascii="Arial" w:cs="Arial" w:eastAsia="Arial" w:hAnsi="Arial"/>
          <w:sz w:val="18"/>
          <w:szCs w:val="18"/>
          <w:color w:val="auto"/>
        </w:rPr>
      </w:pPr>
    </w:p>
    <w:p>
      <w:pPr>
        <w:ind w:left="900" w:right="280" w:hanging="325"/>
        <w:spacing w:after="0" w:line="357" w:lineRule="auto"/>
        <w:tabs>
          <w:tab w:leader="none" w:pos="9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165"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2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51" w:lineRule="exact"/>
        <w:rPr>
          <w:sz w:val="20"/>
          <w:szCs w:val="20"/>
          <w:color w:val="auto"/>
        </w:rPr>
      </w:pPr>
    </w:p>
    <w:p>
      <w:pPr>
        <w:ind w:left="900" w:right="160" w:hanging="325"/>
        <w:spacing w:after="0" w:line="294"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 the United States or the District of Columbia, any country comprising the European Union, the United Kingdom or Japan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p>
      <w:pPr>
        <w:spacing w:after="0" w:line="34" w:lineRule="exact"/>
        <w:rPr>
          <w:rFonts w:ascii="Arial" w:cs="Arial" w:eastAsia="Arial" w:hAnsi="Arial"/>
          <w:sz w:val="16"/>
          <w:szCs w:val="16"/>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13" w:lineRule="exact"/>
        <w:rPr>
          <w:sz w:val="20"/>
          <w:szCs w:val="20"/>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at any time after a change of control has occurred, reduce the premium payable upon a change of control;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90"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w:t>
      </w:r>
    </w:p>
    <w:p>
      <w:pPr>
        <w:spacing w:after="0" w:line="113" w:lineRule="exact"/>
        <w:rPr>
          <w:rFonts w:ascii="Arial" w:cs="Arial" w:eastAsia="Arial" w:hAnsi="Arial"/>
          <w:sz w:val="16"/>
          <w:szCs w:val="16"/>
          <w:color w:val="auto"/>
        </w:rPr>
      </w:pPr>
    </w:p>
    <w:p>
      <w:pPr>
        <w:ind w:left="900" w:right="300" w:hanging="325"/>
        <w:spacing w:after="0" w:line="332"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Securities—Changes Requiring Your Approval.”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90" w:lineRule="exact"/>
        <w:rPr>
          <w:sz w:val="20"/>
          <w:szCs w:val="20"/>
          <w:color w:val="auto"/>
        </w:rPr>
      </w:pPr>
    </w:p>
    <w:p>
      <w:pPr>
        <w:ind w:left="900" w:hanging="325"/>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37"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00"/>
          </w:cols>
          <w:pgMar w:left="240" w:top="459" w:right="3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62" w:lineRule="exact"/>
        <w:rPr>
          <w:sz w:val="20"/>
          <w:szCs w:val="20"/>
          <w:color w:val="auto"/>
        </w:rPr>
      </w:pPr>
    </w:p>
    <w:p>
      <w:pPr>
        <w:ind w:left="900" w:right="100" w:hanging="325"/>
        <w:spacing w:after="0" w:line="25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59"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must deliver to the trustee a legal opinion of our counsel stating that the above deposit does not require registration by us under the Investment Company Act of 1940, as amended, and a legal opinion and officers’ certificate stating that all conditions precedent to covenant defeasance have been complied with.</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9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4" w:lineRule="exact"/>
        <w:rPr>
          <w:sz w:val="20"/>
          <w:szCs w:val="20"/>
          <w:color w:val="auto"/>
        </w:rPr>
      </w:pPr>
    </w:p>
    <w:p>
      <w:pPr>
        <w:ind w:left="900" w:right="100" w:hanging="325"/>
        <w:spacing w:after="0" w:line="259"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59" w:lineRule="exact"/>
        <w:rPr>
          <w:rFonts w:ascii="Arial" w:cs="Arial" w:eastAsia="Arial" w:hAnsi="Arial"/>
          <w:sz w:val="18"/>
          <w:szCs w:val="18"/>
          <w:color w:val="auto"/>
        </w:rPr>
      </w:pPr>
    </w:p>
    <w:p>
      <w:pPr>
        <w:ind w:left="900" w:right="40" w:hanging="325"/>
        <w:spacing w:after="0" w:line="318" w:lineRule="auto"/>
        <w:tabs>
          <w:tab w:leader="none" w:pos="900" w:val="left"/>
        </w:tabs>
        <w:numPr>
          <w:ilvl w:val="0"/>
          <w:numId w:val="66"/>
        </w:numPr>
        <w:rPr>
          <w:rFonts w:ascii="Arial" w:cs="Arial" w:eastAsia="Arial" w:hAnsi="Arial"/>
          <w:sz w:val="15"/>
          <w:szCs w:val="15"/>
          <w:color w:val="auto"/>
        </w:rPr>
      </w:pPr>
      <w:r>
        <w:rPr>
          <w:rFonts w:ascii="Arial" w:cs="Arial" w:eastAsia="Arial" w:hAnsi="Arial"/>
          <w:sz w:val="15"/>
          <w:szCs w:val="15"/>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45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80" w:hanging="325"/>
        <w:spacing w:after="0" w:line="259"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stating that the above deposit does not require registration by us under the Investment Company Act of 1940, as amended, and a legal opinion and officers’ certificate stating that all conditions precedent to defeasance have been complied with.</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90"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17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32"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40"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6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60"/>
          </w:cols>
          <w:pgMar w:left="240" w:top="459" w:right="2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2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90" w:lineRule="exact"/>
        <w:rPr>
          <w:sz w:val="20"/>
          <w:szCs w:val="20"/>
          <w:color w:val="auto"/>
        </w:rPr>
      </w:pPr>
    </w:p>
    <w:p>
      <w:pPr>
        <w:ind w:left="900" w:right="360" w:hanging="325"/>
        <w:spacing w:after="0" w:line="256"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71"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use Bank of New York Mellon to serve as the trustee under the indenture.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are a business development company under the 1940 Act and intend to elect to be treated as a RIC under Subchapter M of the Code. The 1940 Act contains prohibitions and restrictions relating to transactions between business development companies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business development company unless approved by a majority of our outstanding voting securities.</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Our intention is to not write (sell) or buy put or call options to manage risks associated with the publicly traded securities of our portfolio companies, except that we may enter into hedging transactions to manage the risks associated with interest rate fluctuations. However, we may purchase or otherwise receive warrants to purchase the common stock of our portfolio companies in connection with acquisition financing or other investment. Similarly, in connection with an acquisition, we may acquire rights to require the issuers of acquired securities or their affiliates to repurchase them under certain circumstances. We also do not intend to acquire securities issued by any investment company that exceed the limits imposed by the 1940 Act. Under these limits, we generally cannot acquire more than 3% of the voting stock of any registered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None of these policies is fundamental and may be changed without stockholder approval.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Under the 1940 Act, a business development company may not acquire any asset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proposed business are the following:</w:t>
      </w:r>
    </w:p>
    <w:p>
      <w:pPr>
        <w:spacing w:after="0" w:line="59" w:lineRule="exact"/>
        <w:rPr>
          <w:sz w:val="20"/>
          <w:szCs w:val="20"/>
          <w:color w:val="auto"/>
        </w:rPr>
      </w:pPr>
    </w:p>
    <w:p>
      <w:pPr>
        <w:ind w:left="460" w:right="220" w:firstLine="443"/>
        <w:spacing w:after="0" w:line="284" w:lineRule="auto"/>
        <w:tabs>
          <w:tab w:leader="none" w:pos="1147" w:val="left"/>
        </w:tabs>
        <w:numPr>
          <w:ilvl w:val="0"/>
          <w:numId w:val="70"/>
        </w:numPr>
        <w:rPr>
          <w:rFonts w:ascii="Arial" w:cs="Arial" w:eastAsia="Arial" w:hAnsi="Arial"/>
          <w:sz w:val="16"/>
          <w:szCs w:val="16"/>
          <w:color w:val="auto"/>
        </w:rPr>
      </w:pPr>
      <w:r>
        <w:rPr>
          <w:rFonts w:ascii="Arial" w:cs="Arial" w:eastAsia="Arial" w:hAnsi="Arial"/>
          <w:sz w:val="16"/>
          <w:szCs w:val="16"/>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1940 Act to include any issuer which:</w:t>
      </w:r>
    </w:p>
    <w:p>
      <w:pPr>
        <w:spacing w:after="0" w:line="83" w:lineRule="exact"/>
        <w:rPr>
          <w:rFonts w:ascii="Arial" w:cs="Arial" w:eastAsia="Arial" w:hAnsi="Arial"/>
          <w:sz w:val="16"/>
          <w:szCs w:val="16"/>
          <w:color w:val="auto"/>
        </w:rPr>
      </w:pPr>
    </w:p>
    <w:p>
      <w:pPr>
        <w:ind w:left="1580" w:hanging="239"/>
        <w:spacing w:after="0"/>
        <w:tabs>
          <w:tab w:leader="none" w:pos="15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920" w:right="60" w:firstLine="421"/>
        <w:spacing w:after="0" w:line="357" w:lineRule="auto"/>
        <w:tabs>
          <w:tab w:leader="none" w:pos="1588" w:val="left"/>
        </w:tabs>
        <w:numPr>
          <w:ilvl w:val="1"/>
          <w:numId w:val="70"/>
        </w:numPr>
        <w:rPr>
          <w:rFonts w:ascii="Arial" w:cs="Arial" w:eastAsia="Arial" w:hAnsi="Arial"/>
          <w:sz w:val="15"/>
          <w:szCs w:val="15"/>
          <w:color w:val="auto"/>
        </w:rPr>
      </w:pPr>
      <w:r>
        <w:rPr>
          <w:rFonts w:ascii="Arial" w:cs="Arial" w:eastAsia="Arial" w:hAnsi="Arial"/>
          <w:sz w:val="15"/>
          <w:szCs w:val="15"/>
          <w:color w:val="auto"/>
        </w:rPr>
        <w:t>is not an investment company (other than a small business investment company wholly owned by the business development company) or a company that would be an investment company but is excluded from the definition of an investment company by Section 3(c) of the 1940 Act; and</w:t>
      </w:r>
    </w:p>
    <w:p>
      <w:pPr>
        <w:jc w:val="both"/>
        <w:ind w:left="920" w:right="440" w:firstLine="421"/>
        <w:spacing w:after="0" w:line="259" w:lineRule="auto"/>
        <w:tabs>
          <w:tab w:leader="none" w:pos="1579" w:val="left"/>
        </w:tabs>
        <w:numPr>
          <w:ilvl w:val="1"/>
          <w:numId w:val="70"/>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 has any class of Securities listed on a national securities exchange subject to a market capitalization maximum; or is controlled by the Company which has an affiliated person who is a director of such portfolio company.</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90" w:lineRule="exact"/>
        <w:rPr>
          <w:rFonts w:ascii="Arial" w:cs="Arial" w:eastAsia="Arial" w:hAnsi="Arial"/>
          <w:sz w:val="18"/>
          <w:szCs w:val="18"/>
          <w:color w:val="auto"/>
        </w:rPr>
      </w:pPr>
    </w:p>
    <w:p>
      <w:pPr>
        <w:jc w:val="both"/>
        <w:ind w:left="460" w:right="140" w:firstLine="443"/>
        <w:spacing w:after="0" w:line="306" w:lineRule="auto"/>
        <w:tabs>
          <w:tab w:leader="none" w:pos="1147" w:val="left"/>
        </w:tabs>
        <w:numPr>
          <w:ilvl w:val="0"/>
          <w:numId w:val="70"/>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operating company or from an affiliated person of the issuer, or in transactions incident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firstLine="443"/>
        <w:spacing w:after="0" w:line="268" w:lineRule="auto"/>
        <w:tabs>
          <w:tab w:leader="none" w:pos="1147"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0"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Effective mid-July, 2008, the definition of eligible portfolio company will be expanded to include any domestic operating company that has a class of securities listed on a national securities exchange provided it has a market capitalization of less than $250 million. Market capitalization will be calculated using the price at which the portfolio company’s common equity is last sold, or the average of the bid and ask prices of the portfolio company’s common equity, in the principal market for such common equity on any day in the 60-day period immediately before the acquisition of its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a business development company must have been organized and have its principal place of business in the United States and must be operated for the purpose of making investments in the types of securities described in (1), (2) or (3) above. However, in order to count portfolio securities as qualifying assets for the purpose of the 70% test, the business development company must either control the issuer of the securities or must offer to make available to the issuer of the securities (other than small and solvent companies described above) significant managerial assistance; except that, where the business development company purchases such securities in conjunction with one or more other persons acting together, one of the other persons in the group may make available such managerial assistance. Making available managerial assistance means, among other things, any arrangement whereby the business development company, through its directors, officers or employees, offers to provide, and, if accepted, does so provide, significant guidance and counsel concerning the management, operations or business objectives and policies of a portfolio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right="140" w:firstLine="456"/>
        <w:spacing w:after="0" w:line="287" w:lineRule="auto"/>
        <w:rPr>
          <w:sz w:val="20"/>
          <w:szCs w:val="20"/>
          <w:color w:val="auto"/>
        </w:rPr>
      </w:pPr>
      <w:r>
        <w:rPr>
          <w:rFonts w:ascii="Arial" w:cs="Arial" w:eastAsia="Arial" w:hAnsi="Arial"/>
          <w:sz w:val="16"/>
          <w:szCs w:val="16"/>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stock senior to our common stock if our asset coverage, as defined in the 1940 Act, is at least equal to 200%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total assets for temporary or emergency purposes without regard to asset coverage. For a discussion of the risks associated with leverage, see “Risk Factors—Risks relating to our business and structure—Regulations governing our operation as a business development company will affect our ability to, and the way in which we, raise additional capital.”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and PennantPark Investment Advisers have each adopted a code of ethics pursuant to Rule 17j-1 under the 1940 Act that establishes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You may read and copy the code of ethics at the SEC’s Public Reference Room in Washington, D.C. You may obtain information on the operation of the Public Reference Room by calling the SEC at (202) 551-8090. In addition, the code of ethics is attached as an exhibit to the registration statement of which this prospectus is a part, and is available on the EDGAR Database on the SEC’s Internet site at http://www.sec.gov. You may also obtain copies of the code of ethics, after paying a duplicating fee, by electronic request at the following Email address: publicinfo@sec.gov, or by writing the SEC’s Public Reference Section, 100 F Street, N.E., Washington, D.C. 20549.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shareholder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proxy voting decisions are made by the senior officers who are responsible for monitoring each of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90" w:lineRule="exact"/>
        <w:rPr>
          <w:sz w:val="20"/>
          <w:szCs w:val="20"/>
          <w:color w:val="auto"/>
        </w:rPr>
      </w:pPr>
    </w:p>
    <w:p>
      <w:pPr>
        <w:ind w:right="80" w:firstLine="456"/>
        <w:spacing w:after="0" w:line="304" w:lineRule="auto"/>
        <w:rPr>
          <w:sz w:val="20"/>
          <w:szCs w:val="20"/>
          <w:color w:val="auto"/>
        </w:rPr>
      </w:pPr>
      <w:r>
        <w:rPr>
          <w:rFonts w:ascii="Arial" w:cs="Arial" w:eastAsia="Arial" w:hAnsi="Arial"/>
          <w:sz w:val="18"/>
          <w:szCs w:val="18"/>
          <w:color w:val="auto"/>
        </w:rPr>
        <w:t>You may obtain information about how we voted proxies by making a written request for proxy voting information to: Aviv Efrat, Chief Financial Officer and Treasurer, 590 Madison Avenue,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10022.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Principles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will maintain physical, electronic and procedural safeguards designed to protect the non-public personal information of our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without the prior approval of our board of directors who are not interested persons and, in some cases, prior approval by the SEC.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171"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We are required to provide and maintain a bond issued by a reputable fidelity insurance company to protect us against larceny and embezzlement. Furthermore, as a business development company, we are prohibited from protecting any director or officer against any liability to PennantPark or our stockholders arising from willful misfeasance, bad faith, gross negligence or reckless disregard of the duties involved in the conduct of such person’s office.</w:t>
      </w:r>
    </w:p>
    <w:p>
      <w:pPr>
        <w:spacing w:after="0" w:line="10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We and PennantPark Investment Advisers will each be required to adopt and implement written policies and procedures reasonably designed to prevent violation of the federal securities laws, review these policies and procedures annually for their adequacy and the effectiveness of their implementation, and designate a chief compliance officer to be responsible for administering the policies and procedures.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Sarbanes-Oxley Act of 2002 imposes a wide variety of new regulatory requirements on publicly held companies and their insiders. Many of these requirements affect us. For example:</w:t>
      </w:r>
    </w:p>
    <w:p>
      <w:pPr>
        <w:spacing w:after="0" w:line="51" w:lineRule="exact"/>
        <w:rPr>
          <w:sz w:val="20"/>
          <w:szCs w:val="20"/>
          <w:color w:val="auto"/>
        </w:rPr>
      </w:pPr>
    </w:p>
    <w:p>
      <w:pPr>
        <w:ind w:left="900" w:right="340" w:hanging="325"/>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60"/>
          </w:cols>
          <w:pgMar w:left="240" w:top="459" w:right="2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325"/>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 over financial reporting, which must be audited by our independent registered public accounting firm; and</w:t>
      </w:r>
    </w:p>
    <w:p>
      <w:pPr>
        <w:spacing w:after="0" w:line="50"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 under. We will continue to monitor our compliance with all regulations that are adopted under the Sarbanes-Oxley Act and will take actions necessary to ensure that we are in compliance with that act.</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80"/>
          </w:cols>
          <w:pgMar w:left="240" w:top="459" w:right="3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177"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will not necessarily pay the lowest spread or commission available. Subject to applicable legal requirements, the Investment Adviser may select a broker based partly upon brokerage or research services provided to the Investment Adviser and PennantPark and any other clients. In return for such services, we may pay a higher commission than other brokers would charge if the Investment Adviser determines in good faith that such commission is reasonable in relation to the services provided.</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shares. This summary does not purport to be a complete description of the income tax considerations applicable to such an investment.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90" w:lineRule="exact"/>
        <w:rPr>
          <w:sz w:val="20"/>
          <w:szCs w:val="20"/>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trust or an estate, the income of which is subject to U.S. federal income taxation regardless of its source.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“Non-U.S. stockholder” is a beneficial owner of shares of our common stock that is not a U.S. stockholder.</w:t>
      </w:r>
    </w:p>
    <w:p>
      <w:pPr>
        <w:spacing w:after="0" w:line="171"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elected to be treated, and intend to qualify annually, as a RIC under Subchapter M of the Code. For a short period ending April 30, 2007, we were not a RIC and were subject to corporate-level income tax. To maintain RIC tax benefits, we must, among other requirements, meet certain source-of-income and asset diversification requirements (as described below). We also must distribute at least 90% of our ordinary income and realized net short-term capital gains in excess of realized net long-term capital losses, if any, out of the assets legally available for distribution. In order to avoid certain excise taxes imposed on RICs, we currently intend to distribute during each calendar year an amount at least equal to the sum of (1) 98% of our ordinary income for the calendar year, (2) 98% of our capital gains in excess of capital losses for the one-year period ending on October 31 of the calendar year and (3) any ordinary income and net capital gains for preceding years that were not distributed during such years. In addition, although we currently intend to distribute realized net capital gains (i.e., net long-term capital gains in excess of short-term capital losses), if any, at least annually, out of the assets legally available for such distributions, we may in the future decide to retain such capital gains for investment.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90" w:lineRule="exact"/>
        <w:rPr>
          <w:sz w:val="20"/>
          <w:szCs w:val="20"/>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qualify to be treated as a business development company under the 1940 Act at all times during each taxable year;</w:t>
      </w:r>
    </w:p>
    <w:p>
      <w:pPr>
        <w:spacing w:after="0" w:line="9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9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59" w:lineRule="exact"/>
        <w:rPr>
          <w:rFonts w:ascii="Arial" w:cs="Arial" w:eastAsia="Arial" w:hAnsi="Arial"/>
          <w:sz w:val="18"/>
          <w:szCs w:val="18"/>
          <w:color w:val="auto"/>
        </w:rPr>
      </w:pPr>
    </w:p>
    <w:p>
      <w:pPr>
        <w:ind w:left="900" w:right="300" w:hanging="325"/>
        <w:spacing w:after="0" w:line="306" w:lineRule="auto"/>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(the “Diversification Tests”).</w:t>
      </w:r>
    </w:p>
    <w:p>
      <w:pPr>
        <w:spacing w:after="0" w:line="182" w:lineRule="exact"/>
        <w:rPr>
          <w:sz w:val="20"/>
          <w:szCs w:val="20"/>
          <w:color w:val="auto"/>
        </w:rPr>
      </w:pPr>
    </w:p>
    <w:p>
      <w:pPr>
        <w:jc w:val="center"/>
        <w:ind w:right="10060"/>
        <w:spacing w:after="0"/>
        <w:rPr>
          <w:sz w:val="20"/>
          <w:szCs w:val="20"/>
          <w:color w:val="auto"/>
        </w:rPr>
      </w:pPr>
      <w:r>
        <w:rPr>
          <w:rFonts w:ascii="Arial" w:cs="Arial" w:eastAsia="Arial" w:hAnsi="Arial"/>
          <w:sz w:val="16"/>
          <w:szCs w:val="16"/>
          <w:b w:val="1"/>
          <w:bCs w:val="1"/>
          <w:color w:val="auto"/>
        </w:rPr>
        <w:t>Taxation as a RIC</w:t>
      </w:r>
    </w:p>
    <w:p>
      <w:pPr>
        <w:spacing w:after="0" w:line="119" w:lineRule="exact"/>
        <w:rPr>
          <w:sz w:val="20"/>
          <w:szCs w:val="20"/>
          <w:color w:val="auto"/>
        </w:rPr>
      </w:pPr>
    </w:p>
    <w:p>
      <w:pPr>
        <w:jc w:val="center"/>
        <w:ind w:right="10080"/>
        <w:spacing w:after="0"/>
        <w:rPr>
          <w:sz w:val="20"/>
          <w:szCs w:val="20"/>
          <w:color w:val="auto"/>
        </w:rPr>
      </w:pPr>
      <w:r>
        <w:rPr>
          <w:rFonts w:ascii="Arial" w:cs="Arial" w:eastAsia="Arial" w:hAnsi="Arial"/>
          <w:sz w:val="18"/>
          <w:szCs w:val="18"/>
          <w:color w:val="auto"/>
        </w:rPr>
        <w:t>If we:</w:t>
      </w:r>
    </w:p>
    <w:p>
      <w:pPr>
        <w:spacing w:after="0" w:line="90"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qualify as a RIC;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satisfy the Annual Distribution Requirement;</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will be subject to a 4% nondeductible federal excise tax on certain undistributed income of RICs unless we distribute in a timely manner an amount at least equal to the sum of (1) 98% of our ordinary income for each calendar year, (2) 98% of our capital gain net income for the one-year period ending October 31 in that calendar year and (3) any income realized, but not distributed or taxed, in preceding years (the “Excise Tax Avoidance Requirement”). We currently intend to make sufficient distributions each taxable year to satisfy the Excise Tax Avoidance Requirement.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 among other things:</w:t>
      </w:r>
    </w:p>
    <w:p>
      <w:pPr>
        <w:spacing w:after="0" w:line="90"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qualify to be treated as a business development company under the 1940 Act at all times during each taxable year;</w:t>
      </w:r>
    </w:p>
    <w:p>
      <w:pPr>
        <w:spacing w:after="0" w:line="9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90" w:lineRule="exact"/>
        <w:rPr>
          <w:rFonts w:ascii="Arial" w:cs="Arial" w:eastAsia="Arial" w:hAnsi="Arial"/>
          <w:sz w:val="18"/>
          <w:szCs w:val="18"/>
          <w:color w:val="auto"/>
        </w:rPr>
      </w:pPr>
    </w:p>
    <w:p>
      <w:pPr>
        <w:ind w:left="1480" w:right="380" w:hanging="446"/>
        <w:spacing w:after="0" w:line="259" w:lineRule="auto"/>
        <w:tabs>
          <w:tab w:leader="none" w:pos="14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59" w:lineRule="exact"/>
        <w:rPr>
          <w:rFonts w:ascii="Arial" w:cs="Arial" w:eastAsia="Arial" w:hAnsi="Arial"/>
          <w:sz w:val="18"/>
          <w:szCs w:val="18"/>
          <w:color w:val="auto"/>
        </w:rPr>
      </w:pPr>
    </w:p>
    <w:p>
      <w:pPr>
        <w:ind w:left="1480" w:hanging="446"/>
        <w:spacing w:after="0" w:line="306" w:lineRule="auto"/>
        <w:tabs>
          <w:tab w:leader="none" w:pos="1480" w:val="left"/>
        </w:tabs>
        <w:numPr>
          <w:ilvl w:val="1"/>
          <w:numId w:val="77"/>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(the “Diversification Tests”).</w:t>
      </w:r>
    </w:p>
    <w:p>
      <w:pPr>
        <w:spacing w:after="0" w:line="10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may be required to recognize taxable income in circumstances in which we do not receive cash. For example, if we hold debt obligations that are treated under applicable tax rules as having original issue discount (such as debt instruments with pay in kind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2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8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See “Regulation—Senior securities.”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If we are unable to maintain our status as a RIC, we would be subject to tax on all of our taxable income at regular corporate rates. We would not be able to deduct distributions to stockholders, nor would they be required to be made. Distributions would generally be taxable to our stockholders as ordinary distribution income eligible for the 15% maximum rate to the extent of our current and accumulated earnings and profits. Subject to certain limitations under the Code, corporate distributees would be eligible for the distributions received deduction. Distributions in excess of our current and accumulated earnings and profits would be treated first as a return of capital to the extent of the stockholder’s tax basis, and any remaining distributions would be treated as a capital gain.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Distributions by us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maximum tax rate of 15%, if certain holding period requirements are satisfied. In this regard, it is anticipated that distributions paid by us will generally not be attributable to dividends and, therefore, generally will not qualify for the 15% maximum rate. Distributions of our net capital gains (which is generally our realized net long-term capital gains in excess of realized net short-term capital losses) properly designated by us as “capital gain distributions” will be taxable to a U.S. stockholder as long-term capital gains at a maximum rate of 15%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4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85"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47"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 general, individual U.S. stockholders currently are subject to a maximum federal income tax rate of 15%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0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15% maximum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1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may be required to withhold federal income tax (“backup withholding”) currently at a rate of 28% from all taxable distributions to any non-corporate U.S. stockholder (1) who fails to furnish us with a correct taxpayer identification number or a certificate that such stockholder is exempt from backup withholding, or (2) with respect to whom the IRS notifies us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Distributions of our “investment company taxable income” to Non-U.S. stockholders (including interest income and net short-term capital gain, which generally would be free of withholding if paid to Non-U.S. stockholders directly) are expected to be subject to withholding of federal tax at a 30% rate (or lower rate provided by an applicable treaty) to the extent of our current and accumulated earnings and profits unless the distributions are effectively connected with a U.S. trade or business of the Non-U.S. stockholder, and, if an income tax treaty applies, attributable to a permanent establishment in the United States, in which case the distributions will be subject to federal income tax at the rates applicable to U.S. persons. In that case, we will not be required to withhold federal tax if the Non-U.S. stockholder complies with applicable certification and disclosure requirements. Special certification requirements apply to a Non-U.S. stockholder that is a foreign partnership or a foreign trust, and such entities are urged to consult their own tax advisors.</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Actual or deemed distributions of our net capital gains to a Non-U.S. stockholder, and gains realized by a Non-U.S. stockholder upon the sale of our common stock, will not be subject to federal withholding tax and generally will not be subject to federal income tax unless the distributions or gains, as the case may be, are effectively connected with a U.S. trade or business of the Non-U.S. stockholder and, if an income tax treaty applies, are attributable to a permanent establishment maintained by the Non-U.S. stockholder in the United States.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60"/>
          </w:cols>
          <w:pgMar w:left="240" w:top="459" w:right="2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26" w:lineRule="exact"/>
        <w:rPr>
          <w:sz w:val="20"/>
          <w:szCs w:val="20"/>
          <w:color w:val="auto"/>
        </w:rPr>
      </w:pPr>
    </w:p>
    <w:p>
      <w:pPr>
        <w:ind w:left="900" w:hanging="325"/>
        <w:spacing w:after="0"/>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name or names of any underwriters, dealers or agents and the amounts of securities underwritten or purchased by each of them;</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8"/>
        </w:numPr>
        <w:rPr>
          <w:rFonts w:ascii="Arial" w:cs="Arial" w:eastAsia="Arial" w:hAnsi="Arial"/>
          <w:sz w:val="15"/>
          <w:szCs w:val="15"/>
          <w:color w:val="auto"/>
        </w:rPr>
      </w:pPr>
      <w:r>
        <w:rPr>
          <w:rFonts w:ascii="Arial" w:cs="Arial" w:eastAsia="Arial" w:hAnsi="Arial"/>
          <w:sz w:val="15"/>
          <w:szCs w:val="15"/>
          <w:color w:val="auto"/>
        </w:rPr>
        <w:t>the offering price of the securities and the proceeds to us and any discounts, commissions or concessions allowed or reallowed or paid to dealers; and</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Agents and underwriters may be entitled to indemnification by us against certain civil liabilities, including liabilities under the Securities Act of 1933, as amended, or to contribution with respect to payments which the agents or underwriters may be required to make in respect thereof. Agents and underwriters may be customers of, engage in transactions with, or perform services for us in the ordinary course of business.</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80"/>
          </w:cols>
          <w:pgMar w:left="240" w:top="459" w:right="2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40"/>
          </w:cols>
          <w:pgMar w:left="240" w:top="459" w:right="31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CUSTODIAN, TRANSFER AGENT AND TRUSTEE</w:t>
      </w:r>
    </w:p>
    <w:p>
      <w:pPr>
        <w:spacing w:after="0" w:line="1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PNC Global Investment Servicing, a subsidiary of The PNC Financial Services Group, Inc., provides administrative and accounting services to us under a sub-administration and accounting services agreement. PFPC Trust Company, a subsidiary of The PNC Financial Services Group, Inc., provides custodian services to us pursuant to a custodian services agreement. American Stock Transfer &amp; Trust Company acts as our transfer agent, distribution paying agent and registrar. The principal business address of American Stock Transfer &amp; Trust Company is P.O. Box 922, Wall Street Station, New York, New York 10269, telephone number: (800) 937-5449. Bank of New York Mellon may also serve as trustee for offerings of our debt securities.</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Certain legal matters regarding the securities offered by this prospectus will be passed upon for PennantPark by Dechert LLP, Washington, D.C.</w:t>
      </w:r>
    </w:p>
    <w:p>
      <w:pPr>
        <w:spacing w:after="0" w:line="350"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KPMG LLP, our independent registered public accounting firm, is located at 345 Park Avenue, New York, New York 10154.</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With respect to the unaudited interim financial information as of June 30, 2008, and for the nine month period then ended, included herein, KPMG LLP has reported that they applied limited procedures in accordance with professional standards for a review of such information. However, their separate report included herein states that they did not audit and they do not express an opinion on that interim financial information. Accordingly, the degree of reliance on their report on such information should be restricted in light of the limited nature of the review procedures applied. The accountants are not subject to the liability provisions of Section 11 of the Securities Act of 1933 for their report on the unaudited interim financial information because that report is not a “report” or a “part” of the registration statement prepared or certified by the accountants within the meaning of Sections 7 and 11 of the Securities Act of 1933.</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PRIVACY PRINCIPLES</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committed to maintaining the privacy of securityholders and to safeguarding our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securityholders, although certain nonpublic personal information of our stockholders may become available to us. We do not disclose any nonpublic personal information about our securityholders or former securityholders to anyone, except as permitted by law or as is necessary in order to service securityholders accounts (for example, to a transfer agent or third party administrator).</w:t>
      </w:r>
    </w:p>
    <w:p>
      <w:pPr>
        <w:spacing w:after="0" w:line="10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restrict access to nonpublic personal information about our securityholders to our Investment Adviser’s employees with a legitimate business need for the information. We maintain physical, electronic and procedural safeguards designed to protect the nonpublic personal information of our securityholders.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20" w:type="dxa"/>
            <w:vAlign w:val="bottom"/>
          </w:tcPr>
          <w:p>
            <w:pPr>
              <w:spacing w:after="0"/>
              <w:rPr>
                <w:sz w:val="19"/>
                <w:szCs w:val="19"/>
                <w:color w:val="auto"/>
              </w:rPr>
            </w:pPr>
          </w:p>
        </w:tc>
        <w:tc>
          <w:tcPr>
            <w:tcW w:w="3500" w:type="dxa"/>
            <w:vAlign w:val="bottom"/>
            <w:gridSpan w:val="2"/>
          </w:tcPr>
          <w:p>
            <w:pPr>
              <w:ind w:left="40"/>
              <w:spacing w:after="0"/>
              <w:rPr>
                <w:sz w:val="20"/>
                <w:szCs w:val="20"/>
                <w:color w:val="auto"/>
              </w:rPr>
            </w:pPr>
            <w:r>
              <w:rPr>
                <w:rFonts w:ascii="Arial" w:cs="Arial" w:eastAsia="Arial" w:hAnsi="Arial"/>
                <w:sz w:val="18"/>
                <w:szCs w:val="18"/>
                <w:b w:val="1"/>
                <w:bCs w:val="1"/>
                <w:color w:val="auto"/>
              </w:rPr>
              <w:t>INDEX TO FINANCIAL STATEMENTS</w:t>
            </w:r>
          </w:p>
        </w:tc>
        <w:tc>
          <w:tcPr>
            <w:tcW w:w="66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19"/>
        </w:trPr>
        <w:tc>
          <w:tcPr>
            <w:tcW w:w="7620" w:type="dxa"/>
            <w:vAlign w:val="bottom"/>
            <w:gridSpan w:val="3"/>
          </w:tcPr>
          <w:p>
            <w:pPr>
              <w:spacing w:after="0"/>
              <w:rPr>
                <w:sz w:val="20"/>
                <w:szCs w:val="20"/>
                <w:color w:val="auto"/>
              </w:rPr>
            </w:pPr>
            <w:r>
              <w:rPr>
                <w:rFonts w:ascii="Arial" w:cs="Arial" w:eastAsia="Arial" w:hAnsi="Arial"/>
                <w:sz w:val="18"/>
                <w:szCs w:val="18"/>
                <w:b w:val="1"/>
                <w:bCs w:val="1"/>
                <w:color w:val="auto"/>
              </w:rPr>
              <w:t>PennantPark Investment Corporation</w:t>
            </w:r>
          </w:p>
        </w:tc>
        <w:tc>
          <w:tcPr>
            <w:tcW w:w="66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24"/>
        </w:trPr>
        <w:tc>
          <w:tcPr>
            <w:tcW w:w="7620" w:type="dxa"/>
            <w:vAlign w:val="bottom"/>
            <w:gridSpan w:val="3"/>
          </w:tcPr>
          <w:p>
            <w:pPr>
              <w:spacing w:after="0"/>
              <w:rPr>
                <w:sz w:val="20"/>
                <w:szCs w:val="20"/>
                <w:color w:val="auto"/>
              </w:rPr>
            </w:pPr>
            <w:r>
              <w:rPr>
                <w:rFonts w:ascii="Arial" w:cs="Arial" w:eastAsia="Arial" w:hAnsi="Arial"/>
                <w:sz w:val="18"/>
                <w:szCs w:val="18"/>
                <w:b w:val="1"/>
                <w:bCs w:val="1"/>
                <w:color w:val="auto"/>
              </w:rPr>
              <w:t>Annual Financial Statements</w:t>
            </w:r>
          </w:p>
        </w:tc>
        <w:tc>
          <w:tcPr>
            <w:tcW w:w="66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86"/>
        </w:trPr>
        <w:tc>
          <w:tcPr>
            <w:tcW w:w="7620" w:type="dxa"/>
            <w:vAlign w:val="bottom"/>
            <w:gridSpan w:val="3"/>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Report of Independent Registered Public Accounting Firm</w:t>
              </w:r>
            </w:hyperlink>
          </w:p>
        </w:tc>
        <w:tc>
          <w:tcPr>
            <w:tcW w:w="660" w:type="dxa"/>
            <w:vAlign w:val="bottom"/>
          </w:tcPr>
          <w:p>
            <w:pPr>
              <w:spacing w:after="0"/>
              <w:rPr>
                <w:sz w:val="24"/>
                <w:szCs w:val="24"/>
                <w:color w:val="auto"/>
              </w:rPr>
            </w:pPr>
          </w:p>
        </w:tc>
        <w:tc>
          <w:tcPr>
            <w:tcW w:w="3140" w:type="dxa"/>
            <w:vAlign w:val="bottom"/>
          </w:tcPr>
          <w:p>
            <w:pPr>
              <w:ind w:left="2900"/>
              <w:spacing w:after="0"/>
              <w:rPr>
                <w:sz w:val="20"/>
                <w:szCs w:val="20"/>
                <w:color w:val="auto"/>
              </w:rPr>
            </w:pPr>
            <w:r>
              <w:rPr>
                <w:rFonts w:ascii="Arial" w:cs="Arial" w:eastAsia="Arial" w:hAnsi="Arial"/>
                <w:sz w:val="18"/>
                <w:szCs w:val="18"/>
                <w:color w:val="auto"/>
                <w:w w:val="81"/>
              </w:rPr>
              <w:t>F-2</w:t>
            </w:r>
          </w:p>
        </w:tc>
      </w:tr>
      <w:tr>
        <w:trPr>
          <w:trHeight w:val="20"/>
        </w:trPr>
        <w:tc>
          <w:tcPr>
            <w:tcW w:w="412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304"/>
        </w:trPr>
        <w:tc>
          <w:tcPr>
            <w:tcW w:w="512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120">
              <w:r>
                <w:rPr>
                  <w:rFonts w:ascii="Arial" w:cs="Arial" w:eastAsia="Arial" w:hAnsi="Arial"/>
                  <w:sz w:val="18"/>
                  <w:szCs w:val="18"/>
                  <w:color w:val="0000EE"/>
                  <w:w w:val="87"/>
                </w:rPr>
                <w:t>Consolidated Statements of Assets and Liabilities at September 30, 2007</w:t>
              </w:r>
            </w:hyperlink>
          </w:p>
        </w:tc>
        <w:tc>
          <w:tcPr>
            <w:tcW w:w="2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140" w:type="dxa"/>
            <w:vAlign w:val="bottom"/>
          </w:tcPr>
          <w:p>
            <w:pPr>
              <w:ind w:left="2900"/>
              <w:spacing w:after="0"/>
              <w:rPr>
                <w:sz w:val="20"/>
                <w:szCs w:val="20"/>
                <w:color w:val="auto"/>
              </w:rPr>
            </w:pPr>
            <w:r>
              <w:rPr>
                <w:rFonts w:ascii="Arial" w:cs="Arial" w:eastAsia="Arial" w:hAnsi="Arial"/>
                <w:sz w:val="18"/>
                <w:szCs w:val="18"/>
                <w:color w:val="auto"/>
                <w:w w:val="81"/>
              </w:rPr>
              <w:t>F-3</w:t>
            </w:r>
          </w:p>
        </w:tc>
      </w:tr>
      <w:tr>
        <w:trPr>
          <w:trHeight w:val="304"/>
        </w:trPr>
        <w:tc>
          <w:tcPr>
            <w:tcW w:w="7620" w:type="dxa"/>
            <w:vAlign w:val="bottom"/>
            <w:gridSpan w:val="3"/>
          </w:tcPr>
          <w:p>
            <w:pPr>
              <w:spacing w:after="0"/>
              <w:rPr>
                <w:rFonts w:ascii="Arial" w:cs="Arial" w:eastAsia="Arial" w:hAnsi="Arial"/>
                <w:sz w:val="18"/>
                <w:szCs w:val="18"/>
                <w:color w:val="0000EE"/>
                <w:w w:val="88"/>
              </w:rPr>
            </w:pPr>
            <w:hyperlink w:anchor="page121">
              <w:r>
                <w:rPr>
                  <w:rFonts w:ascii="Arial" w:cs="Arial" w:eastAsia="Arial" w:hAnsi="Arial"/>
                  <w:sz w:val="18"/>
                  <w:szCs w:val="18"/>
                  <w:color w:val="0000EE"/>
                  <w:w w:val="88"/>
                </w:rPr>
                <w:t>Consolidated Statements of Operations for the period from January 11, 2007 (inception) through September</w:t>
              </w:r>
            </w:hyperlink>
          </w:p>
        </w:tc>
        <w:tc>
          <w:tcPr>
            <w:tcW w:w="3800" w:type="dxa"/>
            <w:vAlign w:val="bottom"/>
            <w:gridSpan w:val="2"/>
          </w:tcPr>
          <w:p>
            <w:pPr>
              <w:jc w:val="right"/>
              <w:ind w:right="3052"/>
              <w:spacing w:after="0"/>
              <w:rPr>
                <w:rFonts w:ascii="Arial" w:cs="Arial" w:eastAsia="Arial" w:hAnsi="Arial"/>
                <w:sz w:val="18"/>
                <w:szCs w:val="18"/>
                <w:color w:val="0000EE"/>
                <w:w w:val="91"/>
              </w:rPr>
            </w:pPr>
            <w:hyperlink w:anchor="page121">
              <w:r>
                <w:rPr>
                  <w:rFonts w:ascii="Arial" w:cs="Arial" w:eastAsia="Arial" w:hAnsi="Arial"/>
                  <w:sz w:val="18"/>
                  <w:szCs w:val="18"/>
                  <w:color w:val="0000EE"/>
                  <w:w w:val="91"/>
                </w:rPr>
                <w:t>30, 2007</w:t>
              </w:r>
            </w:hyperlink>
          </w:p>
        </w:tc>
      </w:tr>
      <w:tr>
        <w:trPr>
          <w:trHeight w:val="383"/>
        </w:trPr>
        <w:tc>
          <w:tcPr>
            <w:tcW w:w="412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25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3140" w:type="dxa"/>
            <w:vAlign w:val="bottom"/>
          </w:tcPr>
          <w:p>
            <w:pPr>
              <w:ind w:left="2900"/>
              <w:spacing w:after="0"/>
              <w:rPr>
                <w:sz w:val="20"/>
                <w:szCs w:val="20"/>
                <w:color w:val="auto"/>
              </w:rPr>
            </w:pPr>
            <w:r>
              <w:rPr>
                <w:rFonts w:ascii="Arial" w:cs="Arial" w:eastAsia="Arial" w:hAnsi="Arial"/>
                <w:sz w:val="18"/>
                <w:szCs w:val="18"/>
                <w:color w:val="auto"/>
                <w:w w:val="81"/>
              </w:rPr>
              <w:t>F-4</w:t>
            </w:r>
          </w:p>
        </w:tc>
      </w:tr>
    </w:tbl>
    <w:p>
      <w:pPr>
        <w:spacing w:after="0" w:line="102" w:lineRule="exact"/>
        <w:rPr>
          <w:sz w:val="20"/>
          <w:szCs w:val="20"/>
          <w:color w:val="auto"/>
        </w:rPr>
      </w:pPr>
    </w:p>
    <w:p>
      <w:pPr>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Consolidated Statements of Changes in Net Assets for the period from January 11, 2007 (inception) through September 30, 2007</w:t>
        </w:r>
      </w:hyperlink>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86"/>
        </w:trPr>
        <w:tc>
          <w:tcPr>
            <w:tcW w:w="7680" w:type="dxa"/>
            <w:vAlign w:val="bottom"/>
            <w:gridSpan w:val="11"/>
          </w:tcPr>
          <w:p>
            <w:pPr>
              <w:spacing w:after="0"/>
              <w:rPr>
                <w:rFonts w:ascii="Arial" w:cs="Arial" w:eastAsia="Arial" w:hAnsi="Arial"/>
                <w:sz w:val="18"/>
                <w:szCs w:val="18"/>
                <w:color w:val="0000EE"/>
                <w:w w:val="88"/>
              </w:rPr>
            </w:pPr>
            <w:hyperlink w:anchor="page123">
              <w:r>
                <w:rPr>
                  <w:rFonts w:ascii="Arial" w:cs="Arial" w:eastAsia="Arial" w:hAnsi="Arial"/>
                  <w:sz w:val="18"/>
                  <w:szCs w:val="18"/>
                  <w:color w:val="0000EE"/>
                  <w:w w:val="88"/>
                </w:rPr>
                <w:t>Consolidated Statements of Cash Flows for the period from January 11, 2007 (inception) through September</w:t>
              </w:r>
            </w:hyperlink>
          </w:p>
        </w:tc>
        <w:tc>
          <w:tcPr>
            <w:tcW w:w="2860" w:type="dxa"/>
            <w:vAlign w:val="bottom"/>
            <w:gridSpan w:val="2"/>
          </w:tcPr>
          <w:p>
            <w:pPr>
              <w:jc w:val="right"/>
              <w:ind w:right="2200"/>
              <w:spacing w:after="0"/>
              <w:rPr>
                <w:rFonts w:ascii="Arial" w:cs="Arial" w:eastAsia="Arial" w:hAnsi="Arial"/>
                <w:sz w:val="18"/>
                <w:szCs w:val="18"/>
                <w:color w:val="0000EE"/>
                <w:w w:val="91"/>
              </w:rPr>
            </w:pPr>
            <w:hyperlink w:anchor="page123">
              <w:r>
                <w:rPr>
                  <w:rFonts w:ascii="Arial" w:cs="Arial" w:eastAsia="Arial" w:hAnsi="Arial"/>
                  <w:sz w:val="18"/>
                  <w:szCs w:val="18"/>
                  <w:color w:val="0000EE"/>
                  <w:w w:val="91"/>
                </w:rPr>
                <w:t>30, 2007</w:t>
              </w:r>
            </w:hyperlink>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83"/>
        </w:trPr>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3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86"/>
        </w:trPr>
        <w:tc>
          <w:tcPr>
            <w:tcW w:w="7680" w:type="dxa"/>
            <w:vAlign w:val="bottom"/>
            <w:gridSpan w:val="11"/>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Schedules of Investments at September 30, 2007</w:t>
              </w:r>
            </w:hyperlink>
          </w:p>
        </w:tc>
        <w:tc>
          <w:tcPr>
            <w:tcW w:w="6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304"/>
        </w:trPr>
        <w:tc>
          <w:tcPr>
            <w:tcW w:w="21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128">
              <w:r>
                <w:rPr>
                  <w:rFonts w:ascii="Arial" w:cs="Arial" w:eastAsia="Arial" w:hAnsi="Arial"/>
                  <w:sz w:val="18"/>
                  <w:szCs w:val="18"/>
                  <w:color w:val="0000EE"/>
                  <w:w w:val="87"/>
                </w:rPr>
                <w:t>Notes to Financial Statements</w:t>
              </w:r>
            </w:hyperlink>
          </w:p>
        </w:tc>
        <w:tc>
          <w:tcPr>
            <w:tcW w:w="1300" w:type="dxa"/>
            <w:vAlign w:val="bottom"/>
            <w:tcBorders>
              <w:top w:val="single" w:sz="8" w:color="0000EE"/>
            </w:tcBorders>
          </w:tcPr>
          <w:p>
            <w:pPr>
              <w:spacing w:after="0"/>
              <w:rPr>
                <w:sz w:val="24"/>
                <w:szCs w:val="24"/>
                <w:color w:val="auto"/>
              </w:rPr>
            </w:pPr>
          </w:p>
        </w:tc>
        <w:tc>
          <w:tcPr>
            <w:tcW w:w="4260" w:type="dxa"/>
            <w:vAlign w:val="bottom"/>
            <w:gridSpan w:val="5"/>
          </w:tcPr>
          <w:p>
            <w:pPr>
              <w:spacing w:after="0"/>
              <w:rPr>
                <w:sz w:val="24"/>
                <w:szCs w:val="24"/>
                <w:color w:val="auto"/>
              </w:rPr>
            </w:pPr>
          </w:p>
        </w:tc>
        <w:tc>
          <w:tcPr>
            <w:tcW w:w="6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F-11</w:t>
            </w:r>
          </w:p>
        </w:tc>
      </w:tr>
      <w:tr>
        <w:trPr>
          <w:trHeight w:val="343"/>
        </w:trPr>
        <w:tc>
          <w:tcPr>
            <w:tcW w:w="7680" w:type="dxa"/>
            <w:vAlign w:val="bottom"/>
            <w:gridSpan w:val="11"/>
          </w:tcPr>
          <w:p>
            <w:pPr>
              <w:spacing w:after="0"/>
              <w:rPr>
                <w:sz w:val="20"/>
                <w:szCs w:val="20"/>
                <w:color w:val="auto"/>
              </w:rPr>
            </w:pPr>
            <w:r>
              <w:rPr>
                <w:rFonts w:ascii="Arial" w:cs="Arial" w:eastAsia="Arial" w:hAnsi="Arial"/>
                <w:sz w:val="18"/>
                <w:szCs w:val="18"/>
                <w:b w:val="1"/>
                <w:bCs w:val="1"/>
                <w:color w:val="auto"/>
              </w:rPr>
              <w:t>Interim Financial Statements</w:t>
            </w:r>
          </w:p>
        </w:tc>
        <w:tc>
          <w:tcPr>
            <w:tcW w:w="6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86"/>
        </w:trPr>
        <w:tc>
          <w:tcPr>
            <w:tcW w:w="7680" w:type="dxa"/>
            <w:vAlign w:val="bottom"/>
            <w:gridSpan w:val="11"/>
          </w:tcPr>
          <w:p>
            <w:pPr>
              <w:spacing w:after="0"/>
              <w:rPr>
                <w:sz w:val="20"/>
                <w:szCs w:val="20"/>
                <w:color w:val="auto"/>
              </w:rPr>
            </w:pPr>
            <w:r>
              <w:rPr>
                <w:rFonts w:ascii="Arial" w:cs="Arial" w:eastAsia="Arial" w:hAnsi="Arial"/>
                <w:sz w:val="18"/>
                <w:szCs w:val="18"/>
                <w:color w:val="0000EE"/>
              </w:rPr>
              <w:t>Report of Independent Registered Public Accounting Firm</w:t>
            </w:r>
          </w:p>
        </w:tc>
        <w:tc>
          <w:tcPr>
            <w:tcW w:w="6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F-20</w:t>
            </w:r>
          </w:p>
        </w:tc>
      </w:tr>
      <w:tr>
        <w:trPr>
          <w:trHeight w:val="20"/>
        </w:trPr>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04"/>
        </w:trPr>
        <w:tc>
          <w:tcPr>
            <w:tcW w:w="7680" w:type="dxa"/>
            <w:vAlign w:val="bottom"/>
            <w:gridSpan w:val="11"/>
          </w:tcPr>
          <w:p>
            <w:pPr>
              <w:spacing w:after="0"/>
              <w:rPr>
                <w:sz w:val="20"/>
                <w:szCs w:val="20"/>
                <w:color w:val="auto"/>
              </w:rPr>
            </w:pPr>
            <w:r>
              <w:rPr>
                <w:rFonts w:ascii="Arial" w:cs="Arial" w:eastAsia="Arial" w:hAnsi="Arial"/>
                <w:sz w:val="18"/>
                <w:szCs w:val="18"/>
                <w:color w:val="0000EE"/>
              </w:rPr>
              <w:t>Statements of Assets and Liabilities at June 30, 2008 (unaudited) and September 30, 2007</w:t>
            </w:r>
          </w:p>
        </w:tc>
        <w:tc>
          <w:tcPr>
            <w:tcW w:w="6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F-21</w:t>
            </w:r>
          </w:p>
        </w:tc>
      </w:tr>
      <w:tr>
        <w:trPr>
          <w:trHeight w:val="20"/>
        </w:trPr>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14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04"/>
        </w:trPr>
        <w:tc>
          <w:tcPr>
            <w:tcW w:w="11420" w:type="dxa"/>
            <w:vAlign w:val="bottom"/>
            <w:gridSpan w:val="16"/>
          </w:tcPr>
          <w:p>
            <w:pPr>
              <w:spacing w:after="0"/>
              <w:rPr>
                <w:sz w:val="20"/>
                <w:szCs w:val="20"/>
                <w:color w:val="auto"/>
              </w:rPr>
            </w:pPr>
            <w:r>
              <w:rPr>
                <w:rFonts w:ascii="Arial" w:cs="Arial" w:eastAsia="Arial" w:hAnsi="Arial"/>
                <w:sz w:val="18"/>
                <w:szCs w:val="18"/>
                <w:color w:val="0000EE"/>
                <w:w w:val="93"/>
              </w:rPr>
              <w:t>Statements of Operations for the three and nine months ended June 30, 2008 (unaudited) and for the three months ended June 30, 2007 (unaudited) and</w:t>
            </w:r>
          </w:p>
        </w:tc>
      </w:tr>
      <w:tr>
        <w:trPr>
          <w:trHeight w:val="196"/>
        </w:trPr>
        <w:tc>
          <w:tcPr>
            <w:tcW w:w="220" w:type="dxa"/>
            <w:vAlign w:val="bottom"/>
            <w:tcBorders>
              <w:top w:val="single" w:sz="8" w:color="0000EE"/>
            </w:tcBorders>
          </w:tcPr>
          <w:p>
            <w:pPr>
              <w:spacing w:after="0"/>
              <w:rPr>
                <w:sz w:val="17"/>
                <w:szCs w:val="17"/>
                <w:color w:val="auto"/>
              </w:rPr>
            </w:pPr>
          </w:p>
        </w:tc>
        <w:tc>
          <w:tcPr>
            <w:tcW w:w="746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EE"/>
              </w:rPr>
              <w:t xml:space="preserve">for the period from January 11, 2007 (inception) through June 30, 2007 </w:t>
            </w:r>
            <w:r>
              <w:rPr>
                <w:rFonts w:ascii="Arial" w:cs="Arial" w:eastAsia="Arial" w:hAnsi="Arial"/>
                <w:sz w:val="18"/>
                <w:szCs w:val="18"/>
                <w:color w:val="000000"/>
              </w:rPr>
              <w:t>(unaudited)</w:t>
            </w:r>
          </w:p>
        </w:tc>
        <w:tc>
          <w:tcPr>
            <w:tcW w:w="660" w:type="dxa"/>
            <w:vAlign w:val="bottom"/>
            <w:tcBorders>
              <w:top w:val="single" w:sz="8" w:color="0000EE"/>
            </w:tcBorders>
          </w:tcPr>
          <w:p>
            <w:pPr>
              <w:spacing w:after="0"/>
              <w:rPr>
                <w:sz w:val="17"/>
                <w:szCs w:val="17"/>
                <w:color w:val="auto"/>
              </w:rPr>
            </w:pPr>
          </w:p>
        </w:tc>
        <w:tc>
          <w:tcPr>
            <w:tcW w:w="2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F-22</w:t>
            </w:r>
          </w:p>
        </w:tc>
      </w:tr>
      <w:tr>
        <w:trPr>
          <w:trHeight w:val="20"/>
        </w:trPr>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14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9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04"/>
        </w:trPr>
        <w:tc>
          <w:tcPr>
            <w:tcW w:w="11420" w:type="dxa"/>
            <w:vAlign w:val="bottom"/>
            <w:gridSpan w:val="16"/>
          </w:tcPr>
          <w:p>
            <w:pPr>
              <w:spacing w:after="0"/>
              <w:rPr>
                <w:sz w:val="20"/>
                <w:szCs w:val="20"/>
                <w:color w:val="auto"/>
              </w:rPr>
            </w:pPr>
            <w:r>
              <w:rPr>
                <w:rFonts w:ascii="Arial" w:cs="Arial" w:eastAsia="Arial" w:hAnsi="Arial"/>
                <w:sz w:val="18"/>
                <w:szCs w:val="18"/>
                <w:color w:val="0000EE"/>
                <w:w w:val="93"/>
              </w:rPr>
              <w:t>Statements of Changes in Net Assets for the nine months ended June 30, 2008 (unaudited) and for the period from January 11, 2007 (inception) through</w:t>
            </w:r>
          </w:p>
        </w:tc>
      </w:tr>
      <w:tr>
        <w:trPr>
          <w:trHeight w:val="196"/>
        </w:trPr>
        <w:tc>
          <w:tcPr>
            <w:tcW w:w="220" w:type="dxa"/>
            <w:vAlign w:val="bottom"/>
            <w:tcBorders>
              <w:top w:val="single" w:sz="8" w:color="0000EE"/>
            </w:tcBorders>
          </w:tcPr>
          <w:p>
            <w:pPr>
              <w:spacing w:after="0"/>
              <w:rPr>
                <w:sz w:val="17"/>
                <w:szCs w:val="17"/>
                <w:color w:val="auto"/>
              </w:rPr>
            </w:pPr>
          </w:p>
        </w:tc>
        <w:tc>
          <w:tcPr>
            <w:tcW w:w="142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5"/>
              </w:rPr>
              <w:t>September 30, 2007</w:t>
            </w:r>
          </w:p>
        </w:tc>
        <w:tc>
          <w:tcPr>
            <w:tcW w:w="6040" w:type="dxa"/>
            <w:vAlign w:val="bottom"/>
            <w:tcBorders>
              <w:top w:val="single" w:sz="8" w:color="0000EE"/>
            </w:tcBorders>
            <w:gridSpan w:val="8"/>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F-23</w:t>
            </w:r>
          </w:p>
        </w:tc>
      </w:tr>
      <w:tr>
        <w:trPr>
          <w:trHeight w:val="304"/>
        </w:trPr>
        <w:tc>
          <w:tcPr>
            <w:tcW w:w="11420" w:type="dxa"/>
            <w:vAlign w:val="bottom"/>
            <w:gridSpan w:val="16"/>
          </w:tcPr>
          <w:p>
            <w:pPr>
              <w:spacing w:after="0"/>
              <w:rPr>
                <w:sz w:val="20"/>
                <w:szCs w:val="20"/>
                <w:color w:val="auto"/>
              </w:rPr>
            </w:pPr>
            <w:r>
              <w:rPr>
                <w:rFonts w:ascii="Arial" w:cs="Arial" w:eastAsia="Arial" w:hAnsi="Arial"/>
                <w:sz w:val="18"/>
                <w:szCs w:val="18"/>
                <w:color w:val="0000EE"/>
                <w:w w:val="95"/>
              </w:rPr>
              <w:t>Statements of Cash Flows for the nine months ended June 30, 2008 (unaudited) and for the period from January 11, 2007 (inception) through June 30,</w:t>
            </w:r>
          </w:p>
        </w:tc>
      </w:tr>
      <w:tr>
        <w:trPr>
          <w:trHeight w:val="196"/>
        </w:trPr>
        <w:tc>
          <w:tcPr>
            <w:tcW w:w="220" w:type="dxa"/>
            <w:vAlign w:val="bottom"/>
            <w:tcBorders>
              <w:top w:val="single" w:sz="8" w:color="0000EE"/>
            </w:tcBorders>
          </w:tcPr>
          <w:p>
            <w:pPr>
              <w:spacing w:after="0"/>
              <w:rPr>
                <w:sz w:val="17"/>
                <w:szCs w:val="17"/>
                <w:color w:val="auto"/>
              </w:rPr>
            </w:pPr>
          </w:p>
        </w:tc>
        <w:tc>
          <w:tcPr>
            <w:tcW w:w="746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EE"/>
              </w:rPr>
              <w:t xml:space="preserve">2007 </w:t>
            </w:r>
            <w:r>
              <w:rPr>
                <w:rFonts w:ascii="Arial" w:cs="Arial" w:eastAsia="Arial" w:hAnsi="Arial"/>
                <w:sz w:val="18"/>
                <w:szCs w:val="18"/>
                <w:color w:val="000000"/>
              </w:rPr>
              <w:t>(unaudited)</w:t>
            </w:r>
          </w:p>
        </w:tc>
        <w:tc>
          <w:tcPr>
            <w:tcW w:w="660" w:type="dxa"/>
            <w:vAlign w:val="bottom"/>
            <w:tcBorders>
              <w:top w:val="single" w:sz="8" w:color="0000EE"/>
            </w:tcBorders>
          </w:tcPr>
          <w:p>
            <w:pPr>
              <w:spacing w:after="0"/>
              <w:rPr>
                <w:sz w:val="17"/>
                <w:szCs w:val="17"/>
                <w:color w:val="auto"/>
              </w:rPr>
            </w:pPr>
          </w:p>
        </w:tc>
        <w:tc>
          <w:tcPr>
            <w:tcW w:w="22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F-24</w:t>
            </w:r>
          </w:p>
        </w:tc>
      </w:tr>
      <w:tr>
        <w:trPr>
          <w:trHeight w:val="20"/>
        </w:trPr>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04"/>
        </w:trPr>
        <w:tc>
          <w:tcPr>
            <w:tcW w:w="7680" w:type="dxa"/>
            <w:vAlign w:val="bottom"/>
            <w:gridSpan w:val="11"/>
          </w:tcPr>
          <w:p>
            <w:pPr>
              <w:spacing w:after="0"/>
              <w:rPr>
                <w:sz w:val="20"/>
                <w:szCs w:val="20"/>
                <w:color w:val="auto"/>
              </w:rPr>
            </w:pPr>
            <w:r>
              <w:rPr>
                <w:rFonts w:ascii="Arial" w:cs="Arial" w:eastAsia="Arial" w:hAnsi="Arial"/>
                <w:sz w:val="18"/>
                <w:szCs w:val="18"/>
                <w:color w:val="0000EE"/>
              </w:rPr>
              <w:t>Schedules of Investments at June 30, 2008 (unaudited) and September 30, 2007</w:t>
            </w:r>
          </w:p>
        </w:tc>
        <w:tc>
          <w:tcPr>
            <w:tcW w:w="6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F-25</w:t>
            </w:r>
          </w:p>
        </w:tc>
      </w:tr>
      <w:tr>
        <w:trPr>
          <w:trHeight w:val="304"/>
        </w:trPr>
        <w:tc>
          <w:tcPr>
            <w:tcW w:w="560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0000EE"/>
              </w:rPr>
              <w:t>Notes to Financial Statements</w:t>
            </w:r>
          </w:p>
        </w:tc>
        <w:tc>
          <w:tcPr>
            <w:tcW w:w="208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F-33</w:t>
            </w:r>
          </w:p>
        </w:tc>
      </w:tr>
      <w:tr>
        <w:trPr>
          <w:trHeight w:val="383"/>
        </w:trPr>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40" w:type="dxa"/>
            <w:vAlign w:val="bottom"/>
            <w:gridSpan w:val="3"/>
          </w:tcPr>
          <w:p>
            <w:pPr>
              <w:ind w:left="360"/>
              <w:spacing w:after="0"/>
              <w:rPr>
                <w:sz w:val="20"/>
                <w:szCs w:val="20"/>
                <w:color w:val="auto"/>
              </w:rPr>
            </w:pPr>
            <w:r>
              <w:rPr>
                <w:rFonts w:ascii="Arial" w:cs="Arial" w:eastAsia="Arial" w:hAnsi="Arial"/>
                <w:sz w:val="18"/>
                <w:szCs w:val="18"/>
                <w:color w:val="auto"/>
              </w:rPr>
              <w:t>F-1</w:t>
            </w:r>
          </w:p>
        </w:tc>
        <w:tc>
          <w:tcPr>
            <w:tcW w:w="6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audited the accompanying consolidated statement of assets and liabilities of PennantPark Investment Corporation (the “Company”), including the schedule of investments, as of September 30, 2007 and the related consolidated statements of operations, changes in net assets, and cash flows for the period from January 11, 2007 (inception) through September 30, 2007. These consolidated financial statements are the responsibility of the Company’s management. Our responsibility is to express an opinion on these consolidated financial statements based on our audit.</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conducted our audit in accordance with the auditing standards of the Public Company Accounting Oversight Board (United States). These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18"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PennantPark Investment Corporation as of September 30, 2007, and the results of its operations, changes in its net assets and its cash flows for the period from January 11, 2007 (inception) through September 30, 2007 in conformity with U.S.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603375" cy="3600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6033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12, 2007</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September 30,</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40" w:type="dxa"/>
            <w:vAlign w:val="bottom"/>
            <w:gridSpan w:val="2"/>
          </w:tcPr>
          <w:p>
            <w:pPr>
              <w:spacing w:after="0" w:line="217" w:lineRule="exact"/>
              <w:rPr>
                <w:sz w:val="20"/>
                <w:szCs w:val="20"/>
                <w:color w:val="auto"/>
              </w:rPr>
            </w:pPr>
            <w:r>
              <w:rPr>
                <w:rFonts w:ascii="Arial" w:cs="Arial" w:eastAsia="Arial" w:hAnsi="Arial"/>
                <w:sz w:val="18"/>
                <w:szCs w:val="18"/>
                <w:color w:val="auto"/>
              </w:rPr>
              <w:t>Investments, at fair value (cost—$314,881,870)</w:t>
            </w:r>
            <w:r>
              <w:rPr>
                <w:rFonts w:ascii="Arial" w:cs="Arial" w:eastAsia="Arial" w:hAnsi="Arial"/>
                <w:sz w:val="22"/>
                <w:szCs w:val="22"/>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291,016,608</w:t>
            </w: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 (cost—$258,016,351)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257,959,635</w:t>
            </w:r>
          </w:p>
        </w:tc>
      </w:tr>
      <w:tr>
        <w:trPr>
          <w:trHeight w:val="216"/>
        </w:trPr>
        <w:tc>
          <w:tcPr>
            <w:tcW w:w="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4,517,850</w:t>
            </w: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1,513,583</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24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555,007,676</w:t>
            </w: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Payable for cash equivalents purchased</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252,759,931</w:t>
            </w: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16,583,921</w:t>
            </w:r>
          </w:p>
        </w:tc>
      </w:tr>
      <w:tr>
        <w:trPr>
          <w:trHeight w:val="216"/>
        </w:trPr>
        <w:tc>
          <w:tcPr>
            <w:tcW w:w="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Unfunded investments</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3,989,948</w:t>
            </w: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facility payable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10,000,000</w:t>
            </w:r>
          </w:p>
        </w:tc>
      </w:tr>
      <w:tr>
        <w:trPr>
          <w:trHeight w:val="216"/>
        </w:trPr>
        <w:tc>
          <w:tcPr>
            <w:tcW w:w="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170,989</w:t>
            </w: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1,109,793</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24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284,614,582</w:t>
            </w: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Common stock, par value $.001 per share, 100,000,000 shares authorized and 21,068,772 shares issued and outstanding</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21,069</w:t>
            </w: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294,586,604</w:t>
            </w:r>
          </w:p>
        </w:tc>
      </w:tr>
      <w:tr>
        <w:trPr>
          <w:trHeight w:val="216"/>
        </w:trPr>
        <w:tc>
          <w:tcPr>
            <w:tcW w:w="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Distributions in excess of net investment income</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(196,769)</w:t>
            </w: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net realized loss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(95,832)</w:t>
            </w:r>
          </w:p>
        </w:tc>
      </w:tr>
      <w:tr>
        <w:trPr>
          <w:trHeight w:val="223"/>
        </w:trPr>
        <w:tc>
          <w:tcPr>
            <w:tcW w:w="2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Net unrealized depreciation on investments and cash equivalents</w:t>
            </w: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(23,921,978)</w:t>
            </w: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270,393,094</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24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555,007,676</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12.83</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19" w:lineRule="exact"/>
        <w:rPr>
          <w:sz w:val="20"/>
          <w:szCs w:val="20"/>
          <w:color w:val="auto"/>
        </w:rPr>
      </w:pPr>
    </w:p>
    <w:p>
      <w:pPr>
        <w:ind w:left="460" w:right="300" w:hanging="452"/>
        <w:spacing w:after="0" w:line="268"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None of our portfolio companies is controlled by, or affiliated with, PennantPark Investment Corporation as defined by the Investment Company Act of 1940,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PENNANTPARK INVESTMENT CORPORATION</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STATEMENT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3"/>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Interest</w:t>
            </w: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13,107,341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 income</w:t>
            </w:r>
          </w:p>
        </w:tc>
        <w:tc>
          <w:tcPr>
            <w:tcW w:w="20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13,107,341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Management fees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2,565,085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Interest and other credit facility expenses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1,835,816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services expenses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778,587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Professional fees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420,186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Directors’ fees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Organizational expenses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207,126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Insurance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162,387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2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Expenses before management fee waiver and income tax</w:t>
            </w:r>
          </w:p>
        </w:tc>
        <w:tc>
          <w:tcPr>
            <w:tcW w:w="2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6,338,238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Management fee waiver</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(641,273)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w:t>
            </w:r>
          </w:p>
        </w:tc>
        <w:tc>
          <w:tcPr>
            <w:tcW w:w="2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0" w:type="dxa"/>
            <w:vAlign w:val="bottom"/>
          </w:tcPr>
          <w:p>
            <w:pPr>
              <w:ind w:left="860"/>
              <w:spacing w:after="0"/>
              <w:rPr>
                <w:sz w:val="20"/>
                <w:szCs w:val="20"/>
                <w:color w:val="auto"/>
              </w:rPr>
            </w:pPr>
            <w:r>
              <w:rPr>
                <w:rFonts w:ascii="Arial" w:cs="Arial" w:eastAsia="Arial" w:hAnsi="Arial"/>
                <w:sz w:val="18"/>
                <w:szCs w:val="18"/>
                <w:b w:val="1"/>
                <w:bCs w:val="1"/>
                <w:color w:val="auto"/>
              </w:rPr>
              <w:t>Net expenses</w:t>
            </w:r>
          </w:p>
        </w:tc>
        <w:tc>
          <w:tcPr>
            <w:tcW w:w="2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5,802,845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investment income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7,304,496</w:t>
            </w:r>
          </w:p>
        </w:tc>
        <w:tc>
          <w:tcPr>
            <w:tcW w:w="0" w:type="dxa"/>
            <w:vAlign w:val="bottom"/>
          </w:tcPr>
          <w:p>
            <w:pPr>
              <w:spacing w:after="0"/>
              <w:rPr>
                <w:sz w:val="1"/>
                <w:szCs w:val="1"/>
                <w:color w:val="auto"/>
              </w:rPr>
            </w:pPr>
          </w:p>
        </w:tc>
      </w:tr>
      <w:tr>
        <w:trPr>
          <w:trHeight w:val="222"/>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loss on investments and cash equivalents:</w:t>
            </w:r>
          </w:p>
        </w:tc>
        <w:tc>
          <w:tcPr>
            <w:tcW w:w="2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loss on investments and cash equivalents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Change in net unrealized depreciation on investments and cash equivalents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(23,921,978)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realized and unrealized loss from investments and cash equivalents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(24,003,747)</w:t>
            </w: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net assets resulting from operations</w:t>
            </w:r>
          </w:p>
        </w:tc>
        <w:tc>
          <w:tcPr>
            <w:tcW w:w="2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20" w:type="dxa"/>
            <w:vAlign w:val="bottom"/>
            <w:gridSpan w:val="2"/>
            <w:vMerge w:val="continue"/>
          </w:tcPr>
          <w:p>
            <w:pPr>
              <w:spacing w:after="0"/>
              <w:rPr>
                <w:sz w:val="19"/>
                <w:szCs w:val="19"/>
                <w:color w:val="auto"/>
              </w:rPr>
            </w:pP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(16,699,251)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 (See note 6)</w:t>
            </w: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1901"/>
        <w:spacing w:after="0"/>
        <w:rPr>
          <w:sz w:val="20"/>
          <w:szCs w:val="20"/>
          <w:color w:val="auto"/>
        </w:rPr>
      </w:pPr>
      <w:r>
        <w:rPr>
          <w:rFonts w:ascii="Arial" w:cs="Arial" w:eastAsia="Arial" w:hAnsi="Arial"/>
          <w:sz w:val="18"/>
          <w:szCs w:val="18"/>
          <w:b w:val="1"/>
          <w:bCs w:val="1"/>
          <w:color w:val="auto"/>
        </w:rPr>
        <w:t>PENNANTPARK INVESTMENT CORPORATION</w:t>
      </w:r>
    </w:p>
    <w:p>
      <w:pPr>
        <w:spacing w:after="0" w:line="90" w:lineRule="exact"/>
        <w:rPr>
          <w:sz w:val="20"/>
          <w:szCs w:val="20"/>
          <w:color w:val="auto"/>
        </w:rPr>
      </w:pPr>
    </w:p>
    <w:p>
      <w:pPr>
        <w:jc w:val="center"/>
        <w:ind w:left="1901"/>
        <w:spacing w:after="0"/>
        <w:rPr>
          <w:sz w:val="20"/>
          <w:szCs w:val="20"/>
          <w:color w:val="auto"/>
        </w:rPr>
      </w:pPr>
      <w:r>
        <w:rPr>
          <w:rFonts w:ascii="Arial" w:cs="Arial" w:eastAsia="Arial" w:hAnsi="Arial"/>
          <w:sz w:val="16"/>
          <w:szCs w:val="16"/>
          <w:b w:val="1"/>
          <w:bCs w:val="1"/>
          <w:color w:val="auto"/>
        </w:rPr>
        <w:t>CONSOLIDATED STATEMENT OF CHANGES IN NET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Decrease in net assets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investment income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realized loss on investments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Net change in unrealized depreciation on investments and cash equivalents</w:t>
      </w:r>
    </w:p>
    <w:p>
      <w:pPr>
        <w:spacing w:after="0" w:line="2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Net decrease in net assets resulting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distributions:</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Dividends from 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Return of capital</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dividends and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share transactions:</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Issuance of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Offering costs related to public share offerings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Reinvestment of dividends (43,772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Net increase in net assets resulting from capital share transactions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increase in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Assets: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End of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1901"/>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left="1901"/>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Period from</w:t>
      </w:r>
    </w:p>
    <w:p>
      <w:pPr>
        <w:jc w:val="center"/>
        <w:ind w:right="59"/>
        <w:spacing w:after="0" w:line="223" w:lineRule="auto"/>
        <w:rPr>
          <w:sz w:val="20"/>
          <w:szCs w:val="20"/>
          <w:color w:val="auto"/>
        </w:rPr>
      </w:pPr>
      <w:r>
        <w:rPr>
          <w:rFonts w:ascii="Arial" w:cs="Arial" w:eastAsia="Arial" w:hAnsi="Arial"/>
          <w:sz w:val="14"/>
          <w:szCs w:val="14"/>
          <w:b w:val="1"/>
          <w:bCs w:val="1"/>
          <w:color w:val="auto"/>
        </w:rPr>
        <w:t>January 11,</w:t>
      </w:r>
    </w:p>
    <w:p>
      <w:pPr>
        <w:jc w:val="center"/>
        <w:ind w:right="59"/>
        <w:spacing w:after="0" w:line="222" w:lineRule="auto"/>
        <w:rPr>
          <w:sz w:val="20"/>
          <w:szCs w:val="20"/>
          <w:color w:val="auto"/>
        </w:rPr>
      </w:pPr>
      <w:r>
        <w:rPr>
          <w:rFonts w:ascii="Arial" w:cs="Arial" w:eastAsia="Arial" w:hAnsi="Arial"/>
          <w:sz w:val="14"/>
          <w:szCs w:val="14"/>
          <w:b w:val="1"/>
          <w:bCs w:val="1"/>
          <w:color w:val="auto"/>
        </w:rPr>
        <w:t>2007 (inception)</w:t>
      </w:r>
    </w:p>
    <w:p>
      <w:pPr>
        <w:jc w:val="center"/>
        <w:ind w:right="59"/>
        <w:spacing w:after="0" w:line="221" w:lineRule="auto"/>
        <w:rPr>
          <w:sz w:val="20"/>
          <w:szCs w:val="20"/>
          <w:color w:val="auto"/>
        </w:rPr>
      </w:pPr>
      <w:r>
        <w:rPr>
          <w:rFonts w:ascii="Arial" w:cs="Arial" w:eastAsia="Arial" w:hAnsi="Arial"/>
          <w:sz w:val="14"/>
          <w:szCs w:val="14"/>
          <w:b w:val="1"/>
          <w:bCs w:val="1"/>
          <w:color w:val="auto"/>
        </w:rPr>
        <w:t>through</w:t>
      </w:r>
    </w:p>
    <w:p>
      <w:pPr>
        <w:jc w:val="center"/>
        <w:ind w:right="59"/>
        <w:spacing w:after="0" w:line="222" w:lineRule="auto"/>
        <w:rPr>
          <w:sz w:val="20"/>
          <w:szCs w:val="20"/>
          <w:color w:val="auto"/>
        </w:rPr>
      </w:pPr>
      <w:r>
        <w:rPr>
          <w:rFonts w:ascii="Arial" w:cs="Arial" w:eastAsia="Arial" w:hAnsi="Arial"/>
          <w:sz w:val="14"/>
          <w:szCs w:val="14"/>
          <w:b w:val="1"/>
          <w:bCs w:val="1"/>
          <w:color w:val="auto"/>
        </w:rPr>
        <w:t>September 30,</w:t>
      </w:r>
    </w:p>
    <w:p>
      <w:pPr>
        <w:jc w:val="center"/>
        <w:ind w:right="59"/>
        <w:spacing w:after="0"/>
        <w:rPr>
          <w:sz w:val="20"/>
          <w:szCs w:val="20"/>
          <w:color w:val="auto"/>
        </w:rPr>
      </w:pPr>
      <w:r>
        <w:rPr>
          <w:rFonts w:ascii="Arial" w:cs="Arial" w:eastAsia="Arial" w:hAnsi="Arial"/>
          <w:sz w:val="14"/>
          <w:szCs w:val="14"/>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6858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88" w:lineRule="exact"/>
        <w:rPr>
          <w:sz w:val="20"/>
          <w:szCs w:val="20"/>
          <w:color w:val="auto"/>
        </w:rPr>
      </w:pPr>
    </w:p>
    <w:p>
      <w:pPr>
        <w:ind w:left="381" w:hanging="381"/>
        <w:spacing w:after="0"/>
        <w:tabs>
          <w:tab w:leader="none" w:pos="381" w:val="left"/>
        </w:tabs>
        <w:numPr>
          <w:ilvl w:val="0"/>
          <w:numId w:val="80"/>
        </w:numPr>
        <w:rPr>
          <w:rFonts w:ascii="Arial" w:cs="Arial" w:eastAsia="Arial" w:hAnsi="Arial"/>
          <w:sz w:val="16"/>
          <w:szCs w:val="16"/>
          <w:color w:val="auto"/>
        </w:rPr>
      </w:pPr>
      <w:r>
        <w:rPr>
          <w:rFonts w:ascii="Arial" w:cs="Arial" w:eastAsia="Arial" w:hAnsi="Arial"/>
          <w:sz w:val="16"/>
          <w:szCs w:val="16"/>
          <w:color w:val="auto"/>
        </w:rPr>
        <w:t>7,304,496</w:t>
      </w:r>
    </w:p>
    <w:p>
      <w:pPr>
        <w:spacing w:after="0" w:line="38" w:lineRule="exact"/>
        <w:rPr>
          <w:rFonts w:ascii="Arial" w:cs="Arial" w:eastAsia="Arial" w:hAnsi="Arial"/>
          <w:sz w:val="16"/>
          <w:szCs w:val="16"/>
          <w:color w:val="auto"/>
        </w:rPr>
      </w:pPr>
    </w:p>
    <w:p>
      <w:pPr>
        <w:ind w:left="541"/>
        <w:spacing w:after="0"/>
        <w:rPr>
          <w:rFonts w:ascii="Arial" w:cs="Arial" w:eastAsia="Arial" w:hAnsi="Arial"/>
          <w:sz w:val="16"/>
          <w:szCs w:val="16"/>
          <w:color w:val="auto"/>
        </w:rPr>
      </w:pPr>
      <w:r>
        <w:rPr>
          <w:rFonts w:ascii="Arial" w:cs="Arial" w:eastAsia="Arial" w:hAnsi="Arial"/>
          <w:sz w:val="16"/>
          <w:szCs w:val="16"/>
          <w:color w:val="auto"/>
        </w:rPr>
        <w:t>(81,769)</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(23,921,978)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858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(16,699,251)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858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(7,545,458)</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(28,356)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858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(7,573,814)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858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3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315,375,000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(21,309,375)</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600,534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858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0" w:lineRule="exact"/>
        <w:rPr>
          <w:sz w:val="20"/>
          <w:szCs w:val="20"/>
          <w:color w:val="auto"/>
        </w:rPr>
      </w:pPr>
    </w:p>
    <w:p>
      <w:pPr>
        <w:ind w:left="201"/>
        <w:spacing w:after="0"/>
        <w:rPr>
          <w:sz w:val="20"/>
          <w:szCs w:val="20"/>
          <w:color w:val="auto"/>
        </w:rPr>
      </w:pPr>
      <w:r>
        <w:rPr>
          <w:rFonts w:ascii="Arial" w:cs="Arial" w:eastAsia="Arial" w:hAnsi="Arial"/>
          <w:sz w:val="16"/>
          <w:szCs w:val="16"/>
          <w:color w:val="auto"/>
        </w:rPr>
        <w:t>294,666,159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6858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9" w:lineRule="exact"/>
        <w:rPr>
          <w:sz w:val="20"/>
          <w:szCs w:val="20"/>
          <w:color w:val="auto"/>
        </w:rPr>
      </w:pPr>
    </w:p>
    <w:p>
      <w:pPr>
        <w:ind w:left="201"/>
        <w:spacing w:after="0"/>
        <w:rPr>
          <w:sz w:val="20"/>
          <w:szCs w:val="20"/>
          <w:color w:val="auto"/>
        </w:rPr>
      </w:pPr>
      <w:r>
        <w:rPr>
          <w:rFonts w:ascii="Arial" w:cs="Arial" w:eastAsia="Arial" w:hAnsi="Arial"/>
          <w:sz w:val="16"/>
          <w:szCs w:val="16"/>
          <w:color w:val="auto"/>
        </w:rPr>
        <w:t>270,393,094</w:t>
      </w:r>
    </w:p>
    <w:p>
      <w:pPr>
        <w:spacing w:after="0" w:line="248" w:lineRule="exact"/>
        <w:rPr>
          <w:sz w:val="20"/>
          <w:szCs w:val="20"/>
          <w:color w:val="auto"/>
        </w:rPr>
      </w:pPr>
    </w:p>
    <w:p>
      <w:pPr>
        <w:ind w:left="821"/>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858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6" w:lineRule="exact"/>
        <w:rPr>
          <w:sz w:val="20"/>
          <w:szCs w:val="20"/>
          <w:color w:val="auto"/>
        </w:rPr>
      </w:pPr>
    </w:p>
    <w:p>
      <w:pPr>
        <w:ind w:left="1"/>
        <w:spacing w:after="0"/>
        <w:rPr>
          <w:sz w:val="20"/>
          <w:szCs w:val="20"/>
          <w:color w:val="auto"/>
        </w:rPr>
      </w:pPr>
      <w:r>
        <w:rPr>
          <w:rFonts w:ascii="Arial" w:cs="Arial" w:eastAsia="Arial" w:hAnsi="Arial"/>
          <w:sz w:val="16"/>
          <w:szCs w:val="16"/>
          <w:u w:val="single" w:color="auto"/>
          <w:color w:val="auto"/>
        </w:rPr>
        <w:t>$ 270,393,094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6858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ectPr>
          <w:pgSz w:w="11900" w:h="16838" w:orient="portrait"/>
          <w:cols w:equalWidth="0" w:num="2">
            <w:col w:w="9539" w:space="720"/>
            <w:col w:w="1141"/>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PENNANTPARK INVESTMENT CORPORATION</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r>
      <w:tr>
        <w:trPr>
          <w:trHeight w:val="149"/>
        </w:trPr>
        <w:tc>
          <w:tcPr>
            <w:tcW w:w="10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January 11,</w:t>
            </w:r>
          </w:p>
        </w:tc>
      </w:tr>
      <w:tr>
        <w:trPr>
          <w:trHeight w:val="149"/>
        </w:trPr>
        <w:tc>
          <w:tcPr>
            <w:tcW w:w="10260" w:type="dxa"/>
            <w:vAlign w:val="bottom"/>
          </w:tcPr>
          <w:p>
            <w:pPr>
              <w:spacing w:after="0"/>
              <w:rPr>
                <w:sz w:val="12"/>
                <w:szCs w:val="12"/>
                <w:color w:val="auto"/>
              </w:rPr>
            </w:pPr>
          </w:p>
        </w:tc>
        <w:tc>
          <w:tcPr>
            <w:tcW w:w="11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2007 (inception)</w:t>
            </w:r>
          </w:p>
        </w:tc>
      </w:tr>
      <w:tr>
        <w:trPr>
          <w:trHeight w:val="149"/>
        </w:trPr>
        <w:tc>
          <w:tcPr>
            <w:tcW w:w="10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through</w:t>
            </w:r>
          </w:p>
        </w:tc>
      </w:tr>
      <w:tr>
        <w:trPr>
          <w:trHeight w:val="149"/>
        </w:trPr>
        <w:tc>
          <w:tcPr>
            <w:tcW w:w="10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September 30,</w:t>
            </w:r>
          </w:p>
        </w:tc>
      </w:tr>
      <w:tr>
        <w:trPr>
          <w:trHeight w:val="161"/>
        </w:trPr>
        <w:tc>
          <w:tcPr>
            <w:tcW w:w="10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2007</w:t>
            </w:r>
          </w:p>
        </w:tc>
        <w:tc>
          <w:tcPr>
            <w:tcW w:w="80" w:type="dxa"/>
            <w:vAlign w:val="bottom"/>
          </w:tcPr>
          <w:p>
            <w:pPr>
              <w:spacing w:after="0"/>
              <w:rPr>
                <w:sz w:val="14"/>
                <w:szCs w:val="14"/>
                <w:color w:val="auto"/>
              </w:rPr>
            </w:pPr>
          </w:p>
        </w:tc>
      </w:tr>
      <w:tr>
        <w:trPr>
          <w:trHeight w:val="210"/>
        </w:trPr>
        <w:tc>
          <w:tcPr>
            <w:tcW w:w="10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260" w:type="dxa"/>
            <w:vAlign w:val="bottom"/>
          </w:tcPr>
          <w:p>
            <w:pPr>
              <w:ind w:left="440"/>
              <w:spacing w:after="0"/>
              <w:rPr>
                <w:sz w:val="20"/>
                <w:szCs w:val="20"/>
                <w:color w:val="auto"/>
              </w:rPr>
            </w:pPr>
            <w:r>
              <w:rPr>
                <w:rFonts w:ascii="Arial" w:cs="Arial" w:eastAsia="Arial" w:hAnsi="Arial"/>
                <w:sz w:val="18"/>
                <w:szCs w:val="18"/>
                <w:color w:val="auto"/>
              </w:rPr>
              <w:t>Net 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(16,699,251)</w:t>
            </w:r>
          </w:p>
        </w:tc>
      </w:tr>
      <w:tr>
        <w:trPr>
          <w:trHeight w:val="216"/>
        </w:trPr>
        <w:tc>
          <w:tcPr>
            <w:tcW w:w="10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Adjustments to reconcile net decrease in net assets resulting from operations to net cash used by operating activities: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260" w:type="dxa"/>
            <w:vAlign w:val="bottom"/>
          </w:tcPr>
          <w:p>
            <w:pPr>
              <w:ind w:left="880"/>
              <w:spacing w:after="0"/>
              <w:rPr>
                <w:sz w:val="20"/>
                <w:szCs w:val="20"/>
                <w:color w:val="auto"/>
              </w:rPr>
            </w:pPr>
            <w:r>
              <w:rPr>
                <w:rFonts w:ascii="Arial" w:cs="Arial" w:eastAsia="Arial" w:hAnsi="Arial"/>
                <w:sz w:val="18"/>
                <w:szCs w:val="18"/>
                <w:color w:val="auto"/>
              </w:rPr>
              <w:t>Change in net unrealized depreciation on investments and cash equivalents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23,921,978</w:t>
            </w:r>
          </w:p>
        </w:tc>
        <w:tc>
          <w:tcPr>
            <w:tcW w:w="80" w:type="dxa"/>
            <w:vAlign w:val="bottom"/>
          </w:tcPr>
          <w:p>
            <w:pPr>
              <w:spacing w:after="0"/>
              <w:rPr>
                <w:sz w:val="18"/>
                <w:szCs w:val="18"/>
                <w:color w:val="auto"/>
              </w:rPr>
            </w:pPr>
          </w:p>
        </w:tc>
      </w:tr>
      <w:tr>
        <w:trPr>
          <w:trHeight w:val="216"/>
        </w:trPr>
        <w:tc>
          <w:tcPr>
            <w:tcW w:w="10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realized loss on investments and cash equivalents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81,769</w:t>
            </w:r>
          </w:p>
        </w:tc>
        <w:tc>
          <w:tcPr>
            <w:tcW w:w="80" w:type="dxa"/>
            <w:vAlign w:val="bottom"/>
            <w:shd w:val="clear" w:color="auto" w:fill="CCEEFF"/>
          </w:tcPr>
          <w:p>
            <w:pPr>
              <w:spacing w:after="0"/>
              <w:rPr>
                <w:sz w:val="18"/>
                <w:szCs w:val="18"/>
                <w:color w:val="auto"/>
              </w:rPr>
            </w:pPr>
          </w:p>
        </w:tc>
      </w:tr>
      <w:tr>
        <w:trPr>
          <w:trHeight w:val="216"/>
        </w:trPr>
        <w:tc>
          <w:tcPr>
            <w:tcW w:w="10260" w:type="dxa"/>
            <w:vAlign w:val="bottom"/>
          </w:tcPr>
          <w:p>
            <w:pPr>
              <w:ind w:left="880"/>
              <w:spacing w:after="0"/>
              <w:rPr>
                <w:sz w:val="20"/>
                <w:szCs w:val="20"/>
                <w:color w:val="auto"/>
              </w:rPr>
            </w:pPr>
            <w:r>
              <w:rPr>
                <w:rFonts w:ascii="Arial" w:cs="Arial" w:eastAsia="Arial" w:hAnsi="Arial"/>
                <w:sz w:val="18"/>
                <w:szCs w:val="18"/>
                <w:color w:val="auto"/>
              </w:rPr>
              <w:t>Net accretion of discount and amortization of premium</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(15,875)</w:t>
            </w:r>
          </w:p>
        </w:tc>
      </w:tr>
      <w:tr>
        <w:trPr>
          <w:trHeight w:val="216"/>
        </w:trPr>
        <w:tc>
          <w:tcPr>
            <w:tcW w:w="10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Purchase of investments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(414,640,441)</w:t>
            </w:r>
          </w:p>
        </w:tc>
      </w:tr>
      <w:tr>
        <w:trPr>
          <w:trHeight w:val="216"/>
        </w:trPr>
        <w:tc>
          <w:tcPr>
            <w:tcW w:w="10260" w:type="dxa"/>
            <w:vAlign w:val="bottom"/>
          </w:tcPr>
          <w:p>
            <w:pPr>
              <w:ind w:left="880"/>
              <w:spacing w:after="0"/>
              <w:rPr>
                <w:sz w:val="20"/>
                <w:szCs w:val="20"/>
                <w:color w:val="auto"/>
              </w:rPr>
            </w:pPr>
            <w:r>
              <w:rPr>
                <w:rFonts w:ascii="Arial" w:cs="Arial" w:eastAsia="Arial" w:hAnsi="Arial"/>
                <w:sz w:val="18"/>
                <w:szCs w:val="18"/>
                <w:color w:val="auto"/>
              </w:rPr>
              <w:t>Proceeds from disposition of investments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99,635,961</w:t>
            </w:r>
          </w:p>
        </w:tc>
        <w:tc>
          <w:tcPr>
            <w:tcW w:w="80" w:type="dxa"/>
            <w:vAlign w:val="bottom"/>
          </w:tcPr>
          <w:p>
            <w:pPr>
              <w:spacing w:after="0"/>
              <w:rPr>
                <w:sz w:val="18"/>
                <w:szCs w:val="18"/>
                <w:color w:val="auto"/>
              </w:rPr>
            </w:pPr>
          </w:p>
        </w:tc>
      </w:tr>
      <w:tr>
        <w:trPr>
          <w:trHeight w:val="216"/>
        </w:trPr>
        <w:tc>
          <w:tcPr>
            <w:tcW w:w="10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interest receivable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(4,517,850)</w:t>
            </w:r>
          </w:p>
        </w:tc>
      </w:tr>
      <w:tr>
        <w:trPr>
          <w:trHeight w:val="216"/>
        </w:trPr>
        <w:tc>
          <w:tcPr>
            <w:tcW w:w="10260" w:type="dxa"/>
            <w:vAlign w:val="bottom"/>
          </w:tcPr>
          <w:p>
            <w:pPr>
              <w:ind w:left="880"/>
              <w:spacing w:after="0"/>
              <w:rPr>
                <w:sz w:val="20"/>
                <w:szCs w:val="20"/>
                <w:color w:val="auto"/>
              </w:rPr>
            </w:pPr>
            <w:r>
              <w:rPr>
                <w:rFonts w:ascii="Arial" w:cs="Arial" w:eastAsia="Arial" w:hAnsi="Arial"/>
                <w:sz w:val="18"/>
                <w:szCs w:val="18"/>
                <w:color w:val="auto"/>
              </w:rPr>
              <w:t>Increase in prepaid expenses and other assets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(252,287)</w:t>
            </w:r>
          </w:p>
        </w:tc>
      </w:tr>
      <w:tr>
        <w:trPr>
          <w:trHeight w:val="216"/>
        </w:trPr>
        <w:tc>
          <w:tcPr>
            <w:tcW w:w="10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payables for cash equivalents purchased</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252,759,931</w:t>
            </w:r>
          </w:p>
        </w:tc>
        <w:tc>
          <w:tcPr>
            <w:tcW w:w="80" w:type="dxa"/>
            <w:vAlign w:val="bottom"/>
            <w:shd w:val="clear" w:color="auto" w:fill="CCEEFF"/>
          </w:tcPr>
          <w:p>
            <w:pPr>
              <w:spacing w:after="0"/>
              <w:rPr>
                <w:sz w:val="18"/>
                <w:szCs w:val="18"/>
                <w:color w:val="auto"/>
              </w:rPr>
            </w:pPr>
          </w:p>
        </w:tc>
      </w:tr>
      <w:tr>
        <w:trPr>
          <w:trHeight w:val="216"/>
        </w:trPr>
        <w:tc>
          <w:tcPr>
            <w:tcW w:w="10260" w:type="dxa"/>
            <w:vAlign w:val="bottom"/>
          </w:tcPr>
          <w:p>
            <w:pPr>
              <w:ind w:left="880"/>
              <w:spacing w:after="0"/>
              <w:rPr>
                <w:sz w:val="20"/>
                <w:szCs w:val="20"/>
                <w:color w:val="auto"/>
              </w:rPr>
            </w:pPr>
            <w:r>
              <w:rPr>
                <w:rFonts w:ascii="Arial" w:cs="Arial" w:eastAsia="Arial" w:hAnsi="Arial"/>
                <w:sz w:val="18"/>
                <w:szCs w:val="18"/>
                <w:color w:val="auto"/>
              </w:rPr>
              <w:t>Increase in payables for investments purchased</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16,583,921</w:t>
            </w:r>
          </w:p>
        </w:tc>
        <w:tc>
          <w:tcPr>
            <w:tcW w:w="80" w:type="dxa"/>
            <w:vAlign w:val="bottom"/>
          </w:tcPr>
          <w:p>
            <w:pPr>
              <w:spacing w:after="0"/>
              <w:rPr>
                <w:sz w:val="18"/>
                <w:szCs w:val="18"/>
                <w:color w:val="auto"/>
              </w:rPr>
            </w:pPr>
          </w:p>
        </w:tc>
      </w:tr>
      <w:tr>
        <w:trPr>
          <w:trHeight w:val="216"/>
        </w:trPr>
        <w:tc>
          <w:tcPr>
            <w:tcW w:w="10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unfunded investments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3,989,948</w:t>
            </w:r>
          </w:p>
        </w:tc>
        <w:tc>
          <w:tcPr>
            <w:tcW w:w="80" w:type="dxa"/>
            <w:vAlign w:val="bottom"/>
            <w:shd w:val="clear" w:color="auto" w:fill="CCEEFF"/>
          </w:tcPr>
          <w:p>
            <w:pPr>
              <w:spacing w:after="0"/>
              <w:rPr>
                <w:sz w:val="18"/>
                <w:szCs w:val="18"/>
                <w:color w:val="auto"/>
              </w:rPr>
            </w:pPr>
          </w:p>
        </w:tc>
      </w:tr>
      <w:tr>
        <w:trPr>
          <w:trHeight w:val="223"/>
        </w:trPr>
        <w:tc>
          <w:tcPr>
            <w:tcW w:w="10260" w:type="dxa"/>
            <w:vAlign w:val="bottom"/>
          </w:tcPr>
          <w:p>
            <w:pPr>
              <w:ind w:left="880"/>
              <w:spacing w:after="0"/>
              <w:rPr>
                <w:sz w:val="20"/>
                <w:szCs w:val="20"/>
                <w:color w:val="auto"/>
              </w:rPr>
            </w:pPr>
            <w:r>
              <w:rPr>
                <w:rFonts w:ascii="Arial" w:cs="Arial" w:eastAsia="Arial" w:hAnsi="Arial"/>
                <w:sz w:val="18"/>
                <w:szCs w:val="18"/>
                <w:color w:val="auto"/>
              </w:rPr>
              <w:t>Increase in accrued expenses</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1,280,782</w:t>
            </w:r>
          </w:p>
        </w:tc>
        <w:tc>
          <w:tcPr>
            <w:tcW w:w="80" w:type="dxa"/>
            <w:vAlign w:val="bottom"/>
          </w:tcPr>
          <w:p>
            <w:pPr>
              <w:spacing w:after="0"/>
              <w:rPr>
                <w:sz w:val="19"/>
                <w:szCs w:val="19"/>
                <w:color w:val="auto"/>
              </w:rPr>
            </w:pPr>
          </w:p>
        </w:tc>
      </w:tr>
      <w:tr>
        <w:trPr>
          <w:trHeight w:val="216"/>
        </w:trPr>
        <w:tc>
          <w:tcPr>
            <w:tcW w:w="102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by operating activities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(37,871,414)</w:t>
            </w:r>
          </w:p>
        </w:tc>
      </w:tr>
      <w:tr>
        <w:trPr>
          <w:trHeight w:val="222"/>
        </w:trPr>
        <w:tc>
          <w:tcPr>
            <w:tcW w:w="102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7"/>
        </w:trPr>
        <w:tc>
          <w:tcPr>
            <w:tcW w:w="10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Issuance of shares of common stock</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315,375,000</w:t>
            </w:r>
          </w:p>
        </w:tc>
        <w:tc>
          <w:tcPr>
            <w:tcW w:w="80" w:type="dxa"/>
            <w:vAlign w:val="bottom"/>
            <w:shd w:val="clear" w:color="auto" w:fill="CCEEFF"/>
          </w:tcPr>
          <w:p>
            <w:pPr>
              <w:spacing w:after="0"/>
              <w:rPr>
                <w:sz w:val="18"/>
                <w:szCs w:val="18"/>
                <w:color w:val="auto"/>
              </w:rPr>
            </w:pPr>
          </w:p>
        </w:tc>
      </w:tr>
      <w:tr>
        <w:trPr>
          <w:trHeight w:val="216"/>
        </w:trPr>
        <w:tc>
          <w:tcPr>
            <w:tcW w:w="10260" w:type="dxa"/>
            <w:vAlign w:val="bottom"/>
          </w:tcPr>
          <w:p>
            <w:pPr>
              <w:ind w:left="880"/>
              <w:spacing w:after="0"/>
              <w:rPr>
                <w:sz w:val="20"/>
                <w:szCs w:val="20"/>
                <w:color w:val="auto"/>
              </w:rPr>
            </w:pPr>
            <w:r>
              <w:rPr>
                <w:rFonts w:ascii="Arial" w:cs="Arial" w:eastAsia="Arial" w:hAnsi="Arial"/>
                <w:sz w:val="18"/>
                <w:szCs w:val="18"/>
                <w:color w:val="auto"/>
              </w:rPr>
              <w:t>Offering costs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(21,309,375)</w:t>
            </w:r>
          </w:p>
        </w:tc>
      </w:tr>
      <w:tr>
        <w:trPr>
          <w:trHeight w:val="216"/>
        </w:trPr>
        <w:tc>
          <w:tcPr>
            <w:tcW w:w="10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Capitalized borrowing costs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(1,261,296)</w:t>
            </w:r>
          </w:p>
        </w:tc>
      </w:tr>
      <w:tr>
        <w:trPr>
          <w:trHeight w:val="216"/>
        </w:trPr>
        <w:tc>
          <w:tcPr>
            <w:tcW w:w="10260" w:type="dxa"/>
            <w:vAlign w:val="bottom"/>
          </w:tcPr>
          <w:p>
            <w:pPr>
              <w:ind w:left="880"/>
              <w:spacing w:after="0"/>
              <w:rPr>
                <w:sz w:val="20"/>
                <w:szCs w:val="20"/>
                <w:color w:val="auto"/>
              </w:rPr>
            </w:pPr>
            <w:r>
              <w:rPr>
                <w:rFonts w:ascii="Arial" w:cs="Arial" w:eastAsia="Arial" w:hAnsi="Arial"/>
                <w:sz w:val="18"/>
                <w:szCs w:val="18"/>
                <w:color w:val="auto"/>
              </w:rPr>
              <w:t>Borrowings under credit facility (See note 12)</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271,913,786</w:t>
            </w:r>
          </w:p>
        </w:tc>
        <w:tc>
          <w:tcPr>
            <w:tcW w:w="80" w:type="dxa"/>
            <w:vAlign w:val="bottom"/>
          </w:tcPr>
          <w:p>
            <w:pPr>
              <w:spacing w:after="0"/>
              <w:rPr>
                <w:sz w:val="18"/>
                <w:szCs w:val="18"/>
                <w:color w:val="auto"/>
              </w:rPr>
            </w:pPr>
          </w:p>
        </w:tc>
      </w:tr>
      <w:tr>
        <w:trPr>
          <w:trHeight w:val="216"/>
        </w:trPr>
        <w:tc>
          <w:tcPr>
            <w:tcW w:w="10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Repayments under credit facility (See note 12)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(261,913,786)</w:t>
            </w:r>
          </w:p>
        </w:tc>
      </w:tr>
      <w:tr>
        <w:trPr>
          <w:trHeight w:val="223"/>
        </w:trPr>
        <w:tc>
          <w:tcPr>
            <w:tcW w:w="10260" w:type="dxa"/>
            <w:vAlign w:val="bottom"/>
          </w:tcPr>
          <w:p>
            <w:pPr>
              <w:ind w:left="880"/>
              <w:spacing w:after="0"/>
              <w:rPr>
                <w:sz w:val="20"/>
                <w:szCs w:val="20"/>
                <w:color w:val="auto"/>
              </w:rPr>
            </w:pPr>
            <w:r>
              <w:rPr>
                <w:rFonts w:ascii="Arial" w:cs="Arial" w:eastAsia="Arial" w:hAnsi="Arial"/>
                <w:sz w:val="18"/>
                <w:szCs w:val="18"/>
                <w:color w:val="auto"/>
              </w:rPr>
              <w:t>Dividends and distributions to stockholders (net of dividends reinvested)</w:t>
            </w: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(6,973,280)</w:t>
            </w:r>
          </w:p>
        </w:tc>
      </w:tr>
      <w:tr>
        <w:trPr>
          <w:trHeight w:val="216"/>
        </w:trPr>
        <w:tc>
          <w:tcPr>
            <w:tcW w:w="102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295,831,049</w:t>
            </w:r>
          </w:p>
        </w:tc>
        <w:tc>
          <w:tcPr>
            <w:tcW w:w="80" w:type="dxa"/>
            <w:vAlign w:val="bottom"/>
            <w:shd w:val="clear" w:color="auto" w:fill="CCEEFF"/>
          </w:tcPr>
          <w:p>
            <w:pPr>
              <w:spacing w:after="0"/>
              <w:rPr>
                <w:sz w:val="18"/>
                <w:szCs w:val="18"/>
                <w:color w:val="auto"/>
              </w:rPr>
            </w:pPr>
          </w:p>
        </w:tc>
      </w:tr>
      <w:tr>
        <w:trPr>
          <w:trHeight w:val="222"/>
        </w:trPr>
        <w:tc>
          <w:tcPr>
            <w:tcW w:w="1026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257,959,635</w:t>
            </w:r>
          </w:p>
        </w:tc>
        <w:tc>
          <w:tcPr>
            <w:tcW w:w="80" w:type="dxa"/>
            <w:vAlign w:val="bottom"/>
          </w:tcPr>
          <w:p>
            <w:pPr>
              <w:spacing w:after="0"/>
              <w:rPr>
                <w:sz w:val="19"/>
                <w:szCs w:val="19"/>
                <w:color w:val="auto"/>
              </w:rPr>
            </w:pPr>
          </w:p>
        </w:tc>
      </w:tr>
      <w:tr>
        <w:trPr>
          <w:trHeight w:val="20"/>
        </w:trPr>
        <w:tc>
          <w:tcPr>
            <w:tcW w:w="10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1"/>
        </w:trPr>
        <w:tc>
          <w:tcPr>
            <w:tcW w:w="10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10260" w:type="dxa"/>
            <w:vAlign w:val="bottom"/>
          </w:tcPr>
          <w:p>
            <w:pPr>
              <w:spacing w:after="0"/>
              <w:rPr>
                <w:sz w:val="20"/>
                <w:szCs w:val="20"/>
                <w:color w:val="auto"/>
              </w:rPr>
            </w:pPr>
            <w:r>
              <w:rPr>
                <w:rFonts w:ascii="Arial" w:cs="Arial" w:eastAsia="Arial" w:hAnsi="Arial"/>
                <w:sz w:val="18"/>
                <w:szCs w:val="18"/>
                <w:b w:val="1"/>
                <w:bCs w:val="1"/>
                <w:color w:val="auto"/>
              </w:rPr>
              <w:t>Cash equivalents,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257,959,635</w:t>
            </w:r>
          </w:p>
        </w:tc>
        <w:tc>
          <w:tcPr>
            <w:tcW w:w="80" w:type="dxa"/>
            <w:vAlign w:val="bottom"/>
          </w:tcPr>
          <w:p>
            <w:pPr>
              <w:spacing w:after="0"/>
              <w:rPr>
                <w:sz w:val="18"/>
                <w:szCs w:val="18"/>
                <w:color w:val="auto"/>
              </w:rPr>
            </w:pPr>
          </w:p>
        </w:tc>
      </w:tr>
      <w:tr>
        <w:trPr>
          <w:trHeight w:val="216"/>
        </w:trPr>
        <w:tc>
          <w:tcPr>
            <w:tcW w:w="10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10260" w:type="dxa"/>
            <w:vAlign w:val="bottom"/>
          </w:tcPr>
          <w:p>
            <w:pPr>
              <w:ind w:left="440"/>
              <w:spacing w:after="0"/>
              <w:rPr>
                <w:sz w:val="20"/>
                <w:szCs w:val="20"/>
                <w:color w:val="auto"/>
              </w:rPr>
            </w:pPr>
            <w:r>
              <w:rPr>
                <w:rFonts w:ascii="Arial" w:cs="Arial" w:eastAsia="Arial" w:hAnsi="Arial"/>
                <w:sz w:val="18"/>
                <w:szCs w:val="18"/>
                <w:color w:val="auto"/>
              </w:rPr>
              <w:t>Interest paid during the period January 11, 2007 (inception) through September 30, 2007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1,598,055</w:t>
            </w:r>
          </w:p>
        </w:tc>
        <w:tc>
          <w:tcPr>
            <w:tcW w:w="80" w:type="dxa"/>
            <w:vAlign w:val="bottom"/>
          </w:tcPr>
          <w:p>
            <w:pPr>
              <w:spacing w:after="0"/>
              <w:rPr>
                <w:sz w:val="19"/>
                <w:szCs w:val="19"/>
                <w:color w:val="auto"/>
              </w:rPr>
            </w:pPr>
          </w:p>
        </w:tc>
      </w:tr>
      <w:tr>
        <w:trPr>
          <w:trHeight w:val="216"/>
        </w:trPr>
        <w:tc>
          <w:tcPr>
            <w:tcW w:w="10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Non-cash financing activities consist of the reinvestment of dividends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600,534</w:t>
            </w:r>
          </w:p>
        </w:tc>
        <w:tc>
          <w:tcPr>
            <w:tcW w:w="80" w:type="dxa"/>
            <w:vAlign w:val="bottom"/>
            <w:shd w:val="clear" w:color="auto" w:fill="CCEEFF"/>
          </w:tcPr>
          <w:p>
            <w:pPr>
              <w:spacing w:after="0"/>
              <w:rPr>
                <w:sz w:val="18"/>
                <w:szCs w:val="18"/>
                <w:color w:val="auto"/>
              </w:rPr>
            </w:pPr>
          </w:p>
        </w:tc>
      </w:tr>
      <w:tr>
        <w:trPr>
          <w:trHeight w:val="222"/>
        </w:trPr>
        <w:tc>
          <w:tcPr>
            <w:tcW w:w="10260" w:type="dxa"/>
            <w:vAlign w:val="bottom"/>
          </w:tcPr>
          <w:p>
            <w:pPr>
              <w:ind w:left="440"/>
              <w:spacing w:after="0"/>
              <w:rPr>
                <w:sz w:val="20"/>
                <w:szCs w:val="20"/>
                <w:color w:val="auto"/>
              </w:rPr>
            </w:pPr>
            <w:r>
              <w:rPr>
                <w:rFonts w:ascii="Arial" w:cs="Arial" w:eastAsia="Arial" w:hAnsi="Arial"/>
                <w:sz w:val="18"/>
                <w:szCs w:val="18"/>
                <w:color w:val="auto"/>
              </w:rPr>
              <w:t>Payment-in-kind interest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668,268</w:t>
            </w:r>
          </w:p>
        </w:tc>
        <w:tc>
          <w:tcPr>
            <w:tcW w:w="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PENNANTPARK INVESTMENT CORPORATION</w:t>
      </w:r>
    </w:p>
    <w:p>
      <w:pPr>
        <w:spacing w:after="0" w:line="9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SCHEDULE OF INVESTMENTS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0"/>
              </w:rPr>
              <w:t>Basis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Point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Spread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r>
              <w:rPr>
                <w:rFonts w:ascii="Arial" w:cs="Arial" w:eastAsia="Arial" w:hAnsi="Arial"/>
                <w:sz w:val="22"/>
                <w:szCs w:val="22"/>
                <w:b w:val="1"/>
                <w:bCs w:val="1"/>
                <w:color w:val="auto"/>
                <w:vertAlign w:val="superscript"/>
              </w:rPr>
              <w:t>(1)</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Current</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Above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w w:val="87"/>
              </w:rPr>
              <w:t>Value</w:t>
            </w:r>
            <w:r>
              <w:rPr>
                <w:rFonts w:ascii="Arial" w:cs="Arial" w:eastAsia="Arial" w:hAnsi="Arial"/>
                <w:sz w:val="22"/>
                <w:szCs w:val="22"/>
                <w:b w:val="1"/>
                <w:bCs w:val="1"/>
                <w:color w:val="auto"/>
                <w:w w:val="87"/>
                <w:vertAlign w:val="superscript"/>
              </w:rPr>
              <w:t>(\2)</w:t>
            </w:r>
          </w:p>
        </w:tc>
        <w:tc>
          <w:tcPr>
            <w:tcW w:w="0" w:type="dxa"/>
            <w:vAlign w:val="bottom"/>
          </w:tcPr>
          <w:p>
            <w:pPr>
              <w:spacing w:after="0"/>
              <w:rPr>
                <w:sz w:val="1"/>
                <w:szCs w:val="1"/>
                <w:color w:val="auto"/>
              </w:rPr>
            </w:pPr>
          </w:p>
        </w:tc>
      </w:tr>
      <w:tr>
        <w:trPr>
          <w:trHeight w:val="176"/>
        </w:trPr>
        <w:tc>
          <w:tcPr>
            <w:tcW w:w="4100" w:type="dxa"/>
            <w:vAlign w:val="bottom"/>
            <w:gridSpan w:val="3"/>
            <w:vMerge w:val="continue"/>
          </w:tcPr>
          <w:p>
            <w:pPr>
              <w:spacing w:after="0"/>
              <w:rPr>
                <w:sz w:val="15"/>
                <w:szCs w:val="15"/>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Maturity</w:t>
            </w:r>
          </w:p>
        </w:tc>
        <w:tc>
          <w:tcPr>
            <w:tcW w:w="640" w:type="dxa"/>
            <w:vAlign w:val="bottom"/>
          </w:tcPr>
          <w:p>
            <w:pPr>
              <w:spacing w:after="0"/>
              <w:rPr>
                <w:sz w:val="15"/>
                <w:szCs w:val="15"/>
                <w:color w:val="auto"/>
              </w:rPr>
            </w:pPr>
          </w:p>
        </w:tc>
        <w:tc>
          <w:tcPr>
            <w:tcW w:w="13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0"/>
              </w:rPr>
              <w:t>Industry</w:t>
            </w: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Coupon</w:t>
            </w:r>
          </w:p>
        </w:tc>
        <w:tc>
          <w:tcPr>
            <w:tcW w:w="700" w:type="dxa"/>
            <w:vAlign w:val="bottom"/>
            <w:gridSpan w:val="2"/>
          </w:tcPr>
          <w:p>
            <w:pPr>
              <w:jc w:val="right"/>
              <w:ind w:right="160"/>
              <w:spacing w:after="0" w:line="176" w:lineRule="exact"/>
              <w:rPr>
                <w:sz w:val="20"/>
                <w:szCs w:val="20"/>
                <w:color w:val="auto"/>
              </w:rPr>
            </w:pPr>
            <w:r>
              <w:rPr>
                <w:rFonts w:ascii="Arial" w:cs="Arial" w:eastAsia="Arial" w:hAnsi="Arial"/>
                <w:sz w:val="13"/>
                <w:szCs w:val="13"/>
                <w:b w:val="1"/>
                <w:bCs w:val="1"/>
                <w:color w:val="auto"/>
              </w:rPr>
              <w:t>Index</w:t>
            </w:r>
            <w:r>
              <w:rPr>
                <w:rFonts w:ascii="Arial" w:cs="Arial" w:eastAsia="Arial" w:hAnsi="Arial"/>
                <w:sz w:val="20"/>
                <w:szCs w:val="20"/>
                <w:b w:val="1"/>
                <w:bCs w:val="1"/>
                <w:color w:val="auto"/>
                <w:vertAlign w:val="superscript"/>
              </w:rPr>
              <w:t>(3)</w:t>
            </w:r>
          </w:p>
        </w:tc>
        <w:tc>
          <w:tcPr>
            <w:tcW w:w="160" w:type="dxa"/>
            <w:vAlign w:val="bottom"/>
          </w:tcPr>
          <w:p>
            <w:pPr>
              <w:spacing w:after="0"/>
              <w:rPr>
                <w:sz w:val="15"/>
                <w:szCs w:val="15"/>
                <w:color w:val="auto"/>
              </w:rPr>
            </w:pPr>
          </w:p>
        </w:tc>
        <w:tc>
          <w:tcPr>
            <w:tcW w:w="7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4"/>
          </w:tcPr>
          <w:p>
            <w:pPr>
              <w:ind w:left="14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5"/>
                <w:szCs w:val="15"/>
                <w:color w:val="auto"/>
              </w:rPr>
            </w:pPr>
          </w:p>
        </w:tc>
        <w:tc>
          <w:tcPr>
            <w:tcW w:w="7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0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Subordinated Debt / Corporate Notes—21.2%</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A</w:t>
            </w:r>
            <w:r>
              <w:rPr>
                <w:rFonts w:ascii="Arial" w:cs="Arial" w:eastAsia="Arial" w:hAnsi="Arial"/>
                <w:sz w:val="11"/>
                <w:szCs w:val="11"/>
                <w:color w:val="auto"/>
              </w:rPr>
              <w:t>DVANSTAR</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11/30/2015</w:t>
            </w:r>
          </w:p>
        </w:tc>
        <w:tc>
          <w:tcPr>
            <w:tcW w:w="198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6"/>
              </w:rPr>
              <w:t>OTHER MEDIA</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12.20%*</w:t>
            </w:r>
          </w:p>
        </w:tc>
        <w:tc>
          <w:tcPr>
            <w:tcW w:w="7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L+700</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6"/>
              </w:rPr>
              <w:t>14,580,690</w:t>
            </w:r>
          </w:p>
        </w:tc>
        <w:tc>
          <w:tcPr>
            <w:tcW w:w="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6"/>
              </w:rPr>
              <w:t>14,580,690</w:t>
            </w:r>
          </w:p>
        </w:tc>
        <w:tc>
          <w:tcPr>
            <w:tcW w:w="10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14,580,690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w:t>
            </w:r>
            <w:r>
              <w:rPr>
                <w:rFonts w:ascii="Arial" w:cs="Arial" w:eastAsia="Arial" w:hAnsi="Arial"/>
                <w:sz w:val="11"/>
                <w:szCs w:val="11"/>
                <w:color w:val="auto"/>
              </w:rPr>
              <w:t>FFINION</w:t>
            </w:r>
            <w:r>
              <w:rPr>
                <w:rFonts w:ascii="Arial" w:cs="Arial" w:eastAsia="Arial" w:hAnsi="Arial"/>
                <w:sz w:val="14"/>
                <w:szCs w:val="14"/>
                <w:color w:val="auto"/>
              </w:rPr>
              <w:t xml:space="preserve"> G</w:t>
            </w:r>
            <w:r>
              <w:rPr>
                <w:rFonts w:ascii="Arial" w:cs="Arial" w:eastAsia="Arial" w:hAnsi="Arial"/>
                <w:sz w:val="11"/>
                <w:szCs w:val="11"/>
                <w:color w:val="auto"/>
              </w:rPr>
              <w:t>ROUP</w:t>
            </w:r>
            <w:r>
              <w:rPr>
                <w:rFonts w:ascii="Arial" w:cs="Arial" w:eastAsia="Arial" w:hAnsi="Arial"/>
                <w:sz w:val="14"/>
                <w:szCs w:val="14"/>
                <w:color w:val="auto"/>
              </w:rPr>
              <w:t xml:space="preserve"> H</w:t>
            </w:r>
            <w:r>
              <w:rPr>
                <w:rFonts w:ascii="Arial" w:cs="Arial" w:eastAsia="Arial" w:hAnsi="Arial"/>
                <w:sz w:val="11"/>
                <w:szCs w:val="11"/>
                <w:color w:val="auto"/>
              </w:rPr>
              <w:t>OLDINGS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03/01/2012</w:t>
            </w:r>
          </w:p>
        </w:tc>
        <w:tc>
          <w:tcPr>
            <w:tcW w:w="198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1"/>
              </w:rPr>
              <w:t>CONSUMER PRODUCTS</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11.68%*</w:t>
            </w:r>
          </w:p>
        </w:tc>
        <w:tc>
          <w:tcPr>
            <w:tcW w:w="7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L+625</w:t>
            </w:r>
          </w:p>
        </w:tc>
        <w:tc>
          <w:tcPr>
            <w:tcW w:w="1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18,500,000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18,106,103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17,760,000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80" w:type="dxa"/>
            <w:vAlign w:val="bottom"/>
            <w:gridSpan w:val="2"/>
          </w:tcPr>
          <w:p>
            <w:pPr>
              <w:spacing w:after="0" w:line="138" w:lineRule="exact"/>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ERFORMANCE</w:t>
            </w:r>
            <w:r>
              <w:rPr>
                <w:rFonts w:ascii="Arial" w:cs="Arial" w:eastAsia="Arial" w:hAnsi="Arial"/>
                <w:sz w:val="14"/>
                <w:szCs w:val="14"/>
                <w:color w:val="auto"/>
              </w:rPr>
              <w:t xml:space="preserve"> H</w:t>
            </w:r>
            <w:r>
              <w:rPr>
                <w:rFonts w:ascii="Arial" w:cs="Arial" w:eastAsia="Arial" w:hAnsi="Arial"/>
                <w:sz w:val="11"/>
                <w:szCs w:val="11"/>
                <w:color w:val="auto"/>
              </w:rPr>
              <w:t>OLDINGS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80" w:type="dxa"/>
            <w:vAlign w:val="bottom"/>
            <w:gridSpan w:val="3"/>
          </w:tcPr>
          <w:p>
            <w:pPr>
              <w:jc w:val="center"/>
              <w:ind w:right="160"/>
              <w:spacing w:after="0" w:line="138" w:lineRule="exact"/>
              <w:rPr>
                <w:sz w:val="20"/>
                <w:szCs w:val="20"/>
                <w:color w:val="auto"/>
              </w:rPr>
            </w:pPr>
            <w:r>
              <w:rPr>
                <w:rFonts w:ascii="Arial" w:cs="Arial" w:eastAsia="Arial" w:hAnsi="Arial"/>
                <w:sz w:val="14"/>
                <w:szCs w:val="14"/>
                <w:color w:val="auto"/>
                <w:w w:val="93"/>
              </w:rPr>
              <w:t>LEISURE, AMUSEMENT,</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07/02/2014</w:t>
            </w:r>
          </w:p>
        </w:tc>
        <w:tc>
          <w:tcPr>
            <w:tcW w:w="198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3"/>
              </w:rPr>
              <w:t>MOTION PICTURES &amp;</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14.25%*</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3,837,578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3,592,573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3,837,578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80" w:type="dxa"/>
            <w:vAlign w:val="bottom"/>
            <w:gridSpan w:val="3"/>
          </w:tcPr>
          <w:p>
            <w:pPr>
              <w:jc w:val="center"/>
              <w:ind w:right="160"/>
              <w:spacing w:after="0" w:line="159" w:lineRule="exact"/>
              <w:rPr>
                <w:sz w:val="20"/>
                <w:szCs w:val="20"/>
                <w:color w:val="auto"/>
              </w:rPr>
            </w:pPr>
            <w:r>
              <w:rPr>
                <w:rFonts w:ascii="Arial" w:cs="Arial" w:eastAsia="Arial" w:hAnsi="Arial"/>
                <w:sz w:val="14"/>
                <w:szCs w:val="14"/>
                <w:color w:val="auto"/>
                <w:w w:val="95"/>
              </w:rPr>
              <w:t>ENTERTAINMENT</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R</w:t>
            </w:r>
            <w:r>
              <w:rPr>
                <w:rFonts w:ascii="Arial" w:cs="Arial" w:eastAsia="Arial" w:hAnsi="Arial"/>
                <w:sz w:val="9"/>
                <w:szCs w:val="9"/>
                <w:color w:val="auto"/>
              </w:rPr>
              <w:t>EALOGY</w:t>
            </w:r>
            <w:r>
              <w:rPr>
                <w:rFonts w:ascii="Arial" w:cs="Arial" w:eastAsia="Arial" w:hAnsi="Arial"/>
                <w:sz w:val="11"/>
                <w:szCs w:val="11"/>
                <w:color w:val="auto"/>
              </w:rPr>
              <w:t xml:space="preserve"> C</w:t>
            </w:r>
            <w:r>
              <w:rPr>
                <w:rFonts w:ascii="Arial" w:cs="Arial" w:eastAsia="Arial" w:hAnsi="Arial"/>
                <w:sz w:val="9"/>
                <w:szCs w:val="9"/>
                <w:color w:val="auto"/>
              </w:rPr>
              <w:t>ORP</w:t>
            </w:r>
            <w:r>
              <w:rPr>
                <w:rFonts w:ascii="Arial" w:cs="Arial" w:eastAsia="Arial" w:hAnsi="Arial"/>
                <w:sz w:val="11"/>
                <w:szCs w:val="11"/>
                <w:color w:val="auto"/>
              </w:rPr>
              <w:t>.</w:t>
            </w:r>
            <w:r>
              <w:rPr>
                <w:rFonts w:ascii="Arial" w:cs="Arial" w:eastAsia="Arial" w:hAnsi="Arial"/>
                <w:sz w:val="17"/>
                <w:szCs w:val="17"/>
                <w:color w:val="auto"/>
                <w:vertAlign w:val="superscript"/>
              </w:rPr>
              <w:t>(5)</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04/15/2015</w:t>
            </w:r>
          </w:p>
        </w:tc>
        <w:tc>
          <w:tcPr>
            <w:tcW w:w="198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7"/>
              </w:rPr>
              <w:t>BUILDINGS &amp; REAL</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12.38%</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28,000,000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26,117,780</w:t>
            </w:r>
          </w:p>
        </w:tc>
        <w:tc>
          <w:tcPr>
            <w:tcW w:w="1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21,140,000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center"/>
              <w:ind w:right="800"/>
              <w:spacing w:after="0" w:line="149" w:lineRule="exact"/>
              <w:rPr>
                <w:sz w:val="20"/>
                <w:szCs w:val="20"/>
                <w:color w:val="auto"/>
              </w:rPr>
            </w:pPr>
            <w:r>
              <w:rPr>
                <w:rFonts w:ascii="Arial" w:cs="Arial" w:eastAsia="Arial" w:hAnsi="Arial"/>
                <w:sz w:val="14"/>
                <w:szCs w:val="14"/>
                <w:color w:val="auto"/>
                <w:w w:val="84"/>
              </w:rPr>
              <w:t>ESTATE</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 / Corporate Notes</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96"/>
              </w:rPr>
              <w:t>64,918,268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96"/>
              </w:rPr>
              <w:t>62,397,146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4"/>
          </w:tcPr>
          <w:p>
            <w:pPr>
              <w:jc w:val="right"/>
              <w:ind w:right="20"/>
              <w:spacing w:after="0" w:line="155" w:lineRule="exact"/>
              <w:rPr>
                <w:sz w:val="20"/>
                <w:szCs w:val="20"/>
                <w:color w:val="auto"/>
              </w:rPr>
            </w:pPr>
            <w:r>
              <w:rPr>
                <w:rFonts w:ascii="Arial" w:cs="Arial" w:eastAsia="Arial" w:hAnsi="Arial"/>
                <w:sz w:val="14"/>
                <w:szCs w:val="14"/>
                <w:color w:val="auto"/>
              </w:rPr>
              <w:t>57,318,268</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Shares</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common equity**—2.6%</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VSS-AHC H</w:t>
            </w:r>
            <w:r>
              <w:rPr>
                <w:rFonts w:ascii="Arial" w:cs="Arial" w:eastAsia="Arial" w:hAnsi="Arial"/>
                <w:sz w:val="11"/>
                <w:szCs w:val="11"/>
                <w:color w:val="auto"/>
              </w:rPr>
              <w:t>OLDINGS</w:t>
            </w:r>
            <w:r>
              <w:rPr>
                <w:rFonts w:ascii="Arial" w:cs="Arial" w:eastAsia="Arial" w:hAnsi="Arial"/>
                <w:sz w:val="14"/>
                <w:szCs w:val="14"/>
                <w:color w:val="auto"/>
              </w:rPr>
              <w:t>, L.L.C.</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98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6"/>
              </w:rPr>
              <w:t>OTHER MEDIA</w:t>
            </w: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3,269,685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80" w:type="dxa"/>
            <w:vAlign w:val="bottom"/>
            <w:gridSpan w:val="2"/>
          </w:tcPr>
          <w:p>
            <w:pPr>
              <w:spacing w:after="0" w:line="138" w:lineRule="exact"/>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ERFORMANCE</w:t>
            </w:r>
            <w:r>
              <w:rPr>
                <w:rFonts w:ascii="Arial" w:cs="Arial" w:eastAsia="Arial" w:hAnsi="Arial"/>
                <w:sz w:val="14"/>
                <w:szCs w:val="14"/>
                <w:color w:val="auto"/>
              </w:rPr>
              <w:t xml:space="preserve"> H</w:t>
            </w:r>
            <w:r>
              <w:rPr>
                <w:rFonts w:ascii="Arial" w:cs="Arial" w:eastAsia="Arial" w:hAnsi="Arial"/>
                <w:sz w:val="11"/>
                <w:szCs w:val="11"/>
                <w:color w:val="auto"/>
              </w:rPr>
              <w:t>OLDINGS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2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1980" w:type="dxa"/>
            <w:vAlign w:val="bottom"/>
            <w:gridSpan w:val="3"/>
          </w:tcPr>
          <w:p>
            <w:pPr>
              <w:jc w:val="center"/>
              <w:ind w:right="160"/>
              <w:spacing w:after="0" w:line="138" w:lineRule="exact"/>
              <w:rPr>
                <w:sz w:val="20"/>
                <w:szCs w:val="20"/>
                <w:color w:val="auto"/>
              </w:rPr>
            </w:pPr>
            <w:r>
              <w:rPr>
                <w:rFonts w:ascii="Arial" w:cs="Arial" w:eastAsia="Arial" w:hAnsi="Arial"/>
                <w:sz w:val="14"/>
                <w:szCs w:val="14"/>
                <w:color w:val="auto"/>
                <w:w w:val="93"/>
              </w:rPr>
              <w:t>LEISURE, AMUSEMENT,</w:t>
            </w:r>
          </w:p>
        </w:tc>
        <w:tc>
          <w:tcPr>
            <w:tcW w:w="92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0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37,500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3,750,000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3,750,000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3"/>
              </w:rPr>
              <w:t>MOTION PICTURES &amp;</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3"/>
          </w:tcPr>
          <w:p>
            <w:pPr>
              <w:jc w:val="center"/>
              <w:ind w:right="160"/>
              <w:spacing w:after="0" w:line="159" w:lineRule="exact"/>
              <w:rPr>
                <w:sz w:val="20"/>
                <w:szCs w:val="20"/>
                <w:color w:val="auto"/>
              </w:rPr>
            </w:pPr>
            <w:r>
              <w:rPr>
                <w:rFonts w:ascii="Arial" w:cs="Arial" w:eastAsia="Arial" w:hAnsi="Arial"/>
                <w:sz w:val="14"/>
                <w:szCs w:val="14"/>
                <w:color w:val="auto"/>
                <w:w w:val="95"/>
              </w:rPr>
              <w:t>ENTERTAINMENT</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40,500</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6,750,000</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7,019,685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Debt—25.0%</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80" w:type="dxa"/>
            <w:vAlign w:val="bottom"/>
            <w:gridSpan w:val="2"/>
          </w:tcPr>
          <w:p>
            <w:pPr>
              <w:spacing w:after="0" w:line="138" w:lineRule="exact"/>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ERFORMANCE</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07/02/2014</w:t>
            </w:r>
          </w:p>
        </w:tc>
        <w:tc>
          <w:tcPr>
            <w:tcW w:w="1980" w:type="dxa"/>
            <w:vAlign w:val="bottom"/>
            <w:gridSpan w:val="3"/>
          </w:tcPr>
          <w:p>
            <w:pPr>
              <w:jc w:val="center"/>
              <w:ind w:right="160"/>
              <w:spacing w:after="0" w:line="138" w:lineRule="exact"/>
              <w:rPr>
                <w:sz w:val="20"/>
                <w:szCs w:val="20"/>
                <w:color w:val="auto"/>
              </w:rPr>
            </w:pPr>
            <w:r>
              <w:rPr>
                <w:rFonts w:ascii="Arial" w:cs="Arial" w:eastAsia="Arial" w:hAnsi="Arial"/>
                <w:sz w:val="14"/>
                <w:szCs w:val="14"/>
                <w:color w:val="auto"/>
                <w:w w:val="93"/>
              </w:rPr>
              <w:t>LEISURE, AMUSEMENT,</w:t>
            </w:r>
          </w:p>
        </w:tc>
        <w:tc>
          <w:tcPr>
            <w:tcW w:w="92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11.11%</w:t>
            </w:r>
          </w:p>
        </w:tc>
        <w:tc>
          <w:tcPr>
            <w:tcW w:w="700" w:type="dxa"/>
            <w:vAlign w:val="bottom"/>
            <w:gridSpan w:val="2"/>
          </w:tcPr>
          <w:p>
            <w:pPr>
              <w:ind w:left="240"/>
              <w:spacing w:after="0" w:line="138" w:lineRule="exact"/>
              <w:rPr>
                <w:sz w:val="20"/>
                <w:szCs w:val="20"/>
                <w:color w:val="auto"/>
              </w:rPr>
            </w:pPr>
            <w:r>
              <w:rPr>
                <w:rFonts w:ascii="Arial" w:cs="Arial" w:eastAsia="Arial" w:hAnsi="Arial"/>
                <w:sz w:val="14"/>
                <w:szCs w:val="14"/>
                <w:color w:val="auto"/>
              </w:rPr>
              <w:t>L+575</w:t>
            </w:r>
          </w:p>
        </w:tc>
        <w:tc>
          <w:tcPr>
            <w:tcW w:w="160" w:type="dxa"/>
            <w:vAlign w:val="bottom"/>
          </w:tcPr>
          <w:p>
            <w:pPr>
              <w:spacing w:after="0"/>
              <w:rPr>
                <w:sz w:val="11"/>
                <w:szCs w:val="11"/>
                <w:color w:val="auto"/>
              </w:rPr>
            </w:pPr>
          </w:p>
        </w:tc>
        <w:tc>
          <w:tcPr>
            <w:tcW w:w="70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8,750,000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8,750,000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8,750,000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3"/>
              </w:rPr>
              <w:t>MOTION PICTURES &amp;</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80" w:type="dxa"/>
            <w:vAlign w:val="bottom"/>
            <w:gridSpan w:val="3"/>
          </w:tcPr>
          <w:p>
            <w:pPr>
              <w:jc w:val="center"/>
              <w:ind w:right="160"/>
              <w:spacing w:after="0" w:line="159" w:lineRule="exact"/>
              <w:rPr>
                <w:sz w:val="20"/>
                <w:szCs w:val="20"/>
                <w:color w:val="auto"/>
              </w:rPr>
            </w:pPr>
            <w:r>
              <w:rPr>
                <w:rFonts w:ascii="Arial" w:cs="Arial" w:eastAsia="Arial" w:hAnsi="Arial"/>
                <w:sz w:val="14"/>
                <w:szCs w:val="14"/>
                <w:color w:val="auto"/>
                <w:w w:val="95"/>
              </w:rPr>
              <w:t>ENTERTAINMENT</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w:t>
            </w:r>
            <w:r>
              <w:rPr>
                <w:rFonts w:ascii="Arial" w:cs="Arial" w:eastAsia="Arial" w:hAnsi="Arial"/>
                <w:sz w:val="11"/>
                <w:szCs w:val="11"/>
                <w:color w:val="auto"/>
              </w:rPr>
              <w:t>UESTEX</w:t>
            </w:r>
            <w:r>
              <w:rPr>
                <w:rFonts w:ascii="Arial" w:cs="Arial" w:eastAsia="Arial" w:hAnsi="Arial"/>
                <w:sz w:val="14"/>
                <w:szCs w:val="14"/>
                <w:color w:val="auto"/>
              </w:rPr>
              <w:t xml:space="preserve"> M</w:t>
            </w:r>
            <w:r>
              <w:rPr>
                <w:rFonts w:ascii="Arial" w:cs="Arial" w:eastAsia="Arial" w:hAnsi="Arial"/>
                <w:sz w:val="11"/>
                <w:szCs w:val="11"/>
                <w:color w:val="auto"/>
              </w:rPr>
              <w:t>EDIA</w:t>
            </w:r>
            <w:r>
              <w:rPr>
                <w:rFonts w:ascii="Arial" w:cs="Arial" w:eastAsia="Arial" w:hAnsi="Arial"/>
                <w:sz w:val="14"/>
                <w:szCs w:val="14"/>
                <w:color w:val="auto"/>
              </w:rPr>
              <w:t xml:space="preserve"> G</w:t>
            </w:r>
            <w:r>
              <w:rPr>
                <w:rFonts w:ascii="Arial" w:cs="Arial" w:eastAsia="Arial" w:hAnsi="Arial"/>
                <w:sz w:val="11"/>
                <w:szCs w:val="11"/>
                <w:color w:val="auto"/>
              </w:rPr>
              <w:t>ROUP</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11/04/2014</w:t>
            </w:r>
          </w:p>
        </w:tc>
        <w:tc>
          <w:tcPr>
            <w:tcW w:w="198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6"/>
              </w:rPr>
              <w:t>OTHER MEDIA</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12.08%</w:t>
            </w:r>
          </w:p>
        </w:tc>
        <w:tc>
          <w:tcPr>
            <w:tcW w:w="7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L+650</w:t>
            </w:r>
          </w:p>
        </w:tc>
        <w:tc>
          <w:tcPr>
            <w:tcW w:w="1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10,000,000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10,000,000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9,800,000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gridSpan w:val="2"/>
          </w:tcPr>
          <w:p>
            <w:pPr>
              <w:spacing w:after="0" w:line="176" w:lineRule="exact"/>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AINT</w:t>
            </w:r>
            <w:r>
              <w:rPr>
                <w:rFonts w:ascii="Arial" w:cs="Arial" w:eastAsia="Arial" w:hAnsi="Arial"/>
                <w:sz w:val="13"/>
                <w:szCs w:val="13"/>
                <w:color w:val="auto"/>
              </w:rPr>
              <w:t xml:space="preserve"> A</w:t>
            </w:r>
            <w:r>
              <w:rPr>
                <w:rFonts w:ascii="Arial" w:cs="Arial" w:eastAsia="Arial" w:hAnsi="Arial"/>
                <w:sz w:val="10"/>
                <w:szCs w:val="10"/>
                <w:color w:val="auto"/>
              </w:rPr>
              <w:t>CQUISITION</w:t>
            </w:r>
            <w:r>
              <w:rPr>
                <w:rFonts w:ascii="Arial" w:cs="Arial" w:eastAsia="Arial" w:hAnsi="Arial"/>
                <w:sz w:val="13"/>
                <w:szCs w:val="13"/>
                <w:color w:val="auto"/>
              </w:rPr>
              <w:t xml:space="preserve"> C</w:t>
            </w:r>
            <w:r>
              <w:rPr>
                <w:rFonts w:ascii="Arial" w:cs="Arial" w:eastAsia="Arial" w:hAnsi="Arial"/>
                <w:sz w:val="10"/>
                <w:szCs w:val="10"/>
                <w:color w:val="auto"/>
              </w:rPr>
              <w:t>ORP</w:t>
            </w:r>
            <w:r>
              <w:rPr>
                <w:rFonts w:ascii="Arial" w:cs="Arial" w:eastAsia="Arial" w:hAnsi="Arial"/>
                <w:sz w:val="13"/>
                <w:szCs w:val="13"/>
                <w:color w:val="auto"/>
              </w:rPr>
              <w:t>.</w:t>
            </w:r>
            <w:r>
              <w:rPr>
                <w:rFonts w:ascii="Arial" w:cs="Arial" w:eastAsia="Arial" w:hAnsi="Arial"/>
                <w:sz w:val="20"/>
                <w:szCs w:val="20"/>
                <w:color w:val="auto"/>
                <w:vertAlign w:val="superscript"/>
              </w:rPr>
              <w:t>(5)</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05/15/2015</w:t>
            </w:r>
          </w:p>
        </w:tc>
        <w:tc>
          <w:tcPr>
            <w:tcW w:w="1980" w:type="dxa"/>
            <w:vAlign w:val="bottom"/>
            <w:gridSpan w:val="3"/>
          </w:tcPr>
          <w:p>
            <w:pPr>
              <w:jc w:val="center"/>
              <w:ind w:right="160"/>
              <w:spacing w:after="0"/>
              <w:rPr>
                <w:sz w:val="20"/>
                <w:szCs w:val="20"/>
                <w:color w:val="auto"/>
              </w:rPr>
            </w:pPr>
            <w:r>
              <w:rPr>
                <w:rFonts w:ascii="Arial" w:cs="Arial" w:eastAsia="Arial" w:hAnsi="Arial"/>
                <w:sz w:val="14"/>
                <w:szCs w:val="14"/>
                <w:color w:val="auto"/>
                <w:w w:val="91"/>
              </w:rPr>
              <w:t>TRANSPORTATION</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13.31%</w:t>
            </w:r>
          </w:p>
        </w:tc>
        <w:tc>
          <w:tcPr>
            <w:tcW w:w="700" w:type="dxa"/>
            <w:vAlign w:val="bottom"/>
            <w:gridSpan w:val="2"/>
          </w:tcPr>
          <w:p>
            <w:pPr>
              <w:ind w:left="240"/>
              <w:spacing w:after="0"/>
              <w:rPr>
                <w:sz w:val="20"/>
                <w:szCs w:val="20"/>
                <w:color w:val="auto"/>
              </w:rPr>
            </w:pPr>
            <w:r>
              <w:rPr>
                <w:rFonts w:ascii="Arial" w:cs="Arial" w:eastAsia="Arial" w:hAnsi="Arial"/>
                <w:sz w:val="14"/>
                <w:szCs w:val="14"/>
                <w:color w:val="auto"/>
              </w:rPr>
              <w:t>L+775</w:t>
            </w:r>
          </w:p>
        </w:tc>
        <w:tc>
          <w:tcPr>
            <w:tcW w:w="160" w:type="dxa"/>
            <w:vAlign w:val="bottom"/>
          </w:tcPr>
          <w:p>
            <w:pPr>
              <w:spacing w:after="0"/>
              <w:rPr>
                <w:sz w:val="15"/>
                <w:szCs w:val="15"/>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color w:val="auto"/>
                <w:w w:val="96"/>
              </w:rPr>
              <w:t>10,000,000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9,932,321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4"/>
                <w:szCs w:val="14"/>
                <w:color w:val="auto"/>
              </w:rPr>
              <w:t>6,800,000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AINT</w:t>
            </w:r>
            <w:r>
              <w:rPr>
                <w:rFonts w:ascii="Arial" w:cs="Arial" w:eastAsia="Arial" w:hAnsi="Arial"/>
                <w:sz w:val="13"/>
                <w:szCs w:val="13"/>
                <w:color w:val="auto"/>
              </w:rPr>
              <w:t xml:space="preserve"> A</w:t>
            </w:r>
            <w:r>
              <w:rPr>
                <w:rFonts w:ascii="Arial" w:cs="Arial" w:eastAsia="Arial" w:hAnsi="Arial"/>
                <w:sz w:val="10"/>
                <w:szCs w:val="10"/>
                <w:color w:val="auto"/>
              </w:rPr>
              <w:t>CQUISITION</w:t>
            </w:r>
            <w:r>
              <w:rPr>
                <w:rFonts w:ascii="Arial" w:cs="Arial" w:eastAsia="Arial" w:hAnsi="Arial"/>
                <w:sz w:val="13"/>
                <w:szCs w:val="13"/>
                <w:color w:val="auto"/>
              </w:rPr>
              <w:t xml:space="preserve"> C</w:t>
            </w:r>
            <w:r>
              <w:rPr>
                <w:rFonts w:ascii="Arial" w:cs="Arial" w:eastAsia="Arial" w:hAnsi="Arial"/>
                <w:sz w:val="10"/>
                <w:szCs w:val="10"/>
                <w:color w:val="auto"/>
              </w:rPr>
              <w:t>ORP</w:t>
            </w:r>
            <w:r>
              <w:rPr>
                <w:rFonts w:ascii="Arial" w:cs="Arial" w:eastAsia="Arial" w:hAnsi="Arial"/>
                <w:sz w:val="13"/>
                <w:szCs w:val="13"/>
                <w:color w:val="auto"/>
              </w:rPr>
              <w:t>.</w:t>
            </w:r>
            <w:r>
              <w:rPr>
                <w:rFonts w:ascii="Arial" w:cs="Arial" w:eastAsia="Arial" w:hAnsi="Arial"/>
                <w:sz w:val="20"/>
                <w:szCs w:val="20"/>
                <w:color w:val="auto"/>
                <w:vertAlign w:val="superscript"/>
              </w:rPr>
              <w:t>(5)</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05/15/2017</w:t>
            </w:r>
          </w:p>
        </w:tc>
        <w:tc>
          <w:tcPr>
            <w:tcW w:w="1980" w:type="dxa"/>
            <w:vAlign w:val="bottom"/>
            <w:gridSpan w:val="3"/>
            <w:shd w:val="clear" w:color="auto" w:fill="CCEEFF"/>
          </w:tcPr>
          <w:p>
            <w:pPr>
              <w:jc w:val="center"/>
              <w:ind w:right="160"/>
              <w:spacing w:after="0"/>
              <w:rPr>
                <w:sz w:val="20"/>
                <w:szCs w:val="20"/>
                <w:color w:val="auto"/>
              </w:rPr>
            </w:pPr>
            <w:r>
              <w:rPr>
                <w:rFonts w:ascii="Arial" w:cs="Arial" w:eastAsia="Arial" w:hAnsi="Arial"/>
                <w:sz w:val="14"/>
                <w:szCs w:val="14"/>
                <w:color w:val="auto"/>
                <w:w w:val="91"/>
              </w:rPr>
              <w:t>TRANSPORTATION</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12.50%</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6"/>
              </w:rPr>
              <w:t>19,000,000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6"/>
              </w:rPr>
              <w:t>16,198,167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12,730,000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80" w:type="dxa"/>
            <w:vAlign w:val="bottom"/>
            <w:gridSpan w:val="2"/>
          </w:tcPr>
          <w:p>
            <w:pPr>
              <w:spacing w:after="0" w:line="138" w:lineRule="exact"/>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PECIALIZED</w:t>
            </w:r>
            <w:r>
              <w:rPr>
                <w:rFonts w:ascii="Arial" w:cs="Arial" w:eastAsia="Arial" w:hAnsi="Arial"/>
                <w:sz w:val="14"/>
                <w:szCs w:val="14"/>
                <w:color w:val="auto"/>
              </w:rPr>
              <w:t xml:space="preserve"> T</w:t>
            </w:r>
            <w:r>
              <w:rPr>
                <w:rFonts w:ascii="Arial" w:cs="Arial" w:eastAsia="Arial" w:hAnsi="Arial"/>
                <w:sz w:val="11"/>
                <w:szCs w:val="11"/>
                <w:color w:val="auto"/>
              </w:rPr>
              <w:t>ECHNOLOGY</w:t>
            </w:r>
            <w:r>
              <w:rPr>
                <w:rFonts w:ascii="Arial" w:cs="Arial" w:eastAsia="Arial" w:hAnsi="Arial"/>
                <w:sz w:val="14"/>
                <w:szCs w:val="14"/>
                <w:color w:val="auto"/>
              </w:rPr>
              <w:t xml:space="preserve"> R</w:t>
            </w:r>
            <w:r>
              <w:rPr>
                <w:rFonts w:ascii="Arial" w:cs="Arial" w:eastAsia="Arial" w:hAnsi="Arial"/>
                <w:sz w:val="11"/>
                <w:szCs w:val="11"/>
                <w:color w:val="auto"/>
              </w:rPr>
              <w:t>ESOURCES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12/15//</w:t>
            </w:r>
          </w:p>
        </w:tc>
        <w:tc>
          <w:tcPr>
            <w:tcW w:w="1980" w:type="dxa"/>
            <w:vAlign w:val="bottom"/>
            <w:gridSpan w:val="3"/>
          </w:tcPr>
          <w:p>
            <w:pPr>
              <w:jc w:val="center"/>
              <w:ind w:right="160"/>
              <w:spacing w:after="0" w:line="138" w:lineRule="exact"/>
              <w:rPr>
                <w:sz w:val="20"/>
                <w:szCs w:val="20"/>
                <w:color w:val="auto"/>
              </w:rPr>
            </w:pPr>
            <w:r>
              <w:rPr>
                <w:rFonts w:ascii="Arial" w:cs="Arial" w:eastAsia="Arial" w:hAnsi="Arial"/>
                <w:sz w:val="14"/>
                <w:szCs w:val="14"/>
                <w:color w:val="auto"/>
                <w:w w:val="93"/>
              </w:rPr>
              <w:t>CHEMICAL, PLASTICS</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2014</w:t>
            </w:r>
          </w:p>
        </w:tc>
        <w:tc>
          <w:tcPr>
            <w:tcW w:w="1980" w:type="dxa"/>
            <w:vAlign w:val="bottom"/>
            <w:gridSpan w:val="3"/>
          </w:tcPr>
          <w:p>
            <w:pPr>
              <w:jc w:val="center"/>
              <w:ind w:right="160"/>
              <w:spacing w:after="0" w:line="159" w:lineRule="exact"/>
              <w:rPr>
                <w:sz w:val="20"/>
                <w:szCs w:val="20"/>
                <w:color w:val="auto"/>
              </w:rPr>
            </w:pPr>
            <w:r>
              <w:rPr>
                <w:rFonts w:ascii="Arial" w:cs="Arial" w:eastAsia="Arial" w:hAnsi="Arial"/>
                <w:sz w:val="14"/>
                <w:szCs w:val="14"/>
                <w:color w:val="auto"/>
                <w:w w:val="92"/>
              </w:rPr>
              <w:t>&amp; RUBBER</w:t>
            </w:r>
          </w:p>
        </w:tc>
        <w:tc>
          <w:tcPr>
            <w:tcW w:w="9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12.13%</w:t>
            </w:r>
          </w:p>
        </w:tc>
        <w:tc>
          <w:tcPr>
            <w:tcW w:w="70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L+700</w:t>
            </w:r>
          </w:p>
        </w:tc>
        <w:tc>
          <w:tcPr>
            <w:tcW w:w="160" w:type="dxa"/>
            <w:vAlign w:val="bottom"/>
          </w:tcPr>
          <w:p>
            <w:pPr>
              <w:spacing w:after="0"/>
              <w:rPr>
                <w:sz w:val="13"/>
                <w:szCs w:val="13"/>
                <w:color w:val="auto"/>
              </w:rPr>
            </w:pPr>
          </w:p>
        </w:tc>
        <w:tc>
          <w:tcPr>
            <w:tcW w:w="700" w:type="dxa"/>
            <w:vAlign w:val="bottom"/>
            <w:gridSpan w:val="3"/>
          </w:tcPr>
          <w:p>
            <w:pPr>
              <w:jc w:val="right"/>
              <w:spacing w:after="0" w:line="159" w:lineRule="exact"/>
              <w:rPr>
                <w:sz w:val="20"/>
                <w:szCs w:val="20"/>
                <w:color w:val="auto"/>
              </w:rPr>
            </w:pPr>
            <w:r>
              <w:rPr>
                <w:rFonts w:ascii="Arial" w:cs="Arial" w:eastAsia="Arial" w:hAnsi="Arial"/>
                <w:sz w:val="14"/>
                <w:szCs w:val="14"/>
                <w:color w:val="auto"/>
                <w:w w:val="96"/>
              </w:rPr>
              <w:t>17,500,000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3"/>
          </w:tcPr>
          <w:p>
            <w:pPr>
              <w:jc w:val="right"/>
              <w:spacing w:after="0" w:line="159" w:lineRule="exact"/>
              <w:rPr>
                <w:sz w:val="20"/>
                <w:szCs w:val="20"/>
                <w:color w:val="auto"/>
              </w:rPr>
            </w:pPr>
            <w:r>
              <w:rPr>
                <w:rFonts w:ascii="Arial" w:cs="Arial" w:eastAsia="Arial" w:hAnsi="Arial"/>
                <w:sz w:val="14"/>
                <w:szCs w:val="14"/>
                <w:color w:val="auto"/>
                <w:w w:val="96"/>
              </w:rPr>
              <w:t>17,493,750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4"/>
          </w:tcPr>
          <w:p>
            <w:pPr>
              <w:jc w:val="right"/>
              <w:ind w:right="20"/>
              <w:spacing w:after="0" w:line="159" w:lineRule="exact"/>
              <w:rPr>
                <w:sz w:val="20"/>
                <w:szCs w:val="20"/>
                <w:color w:val="auto"/>
              </w:rPr>
            </w:pPr>
            <w:r>
              <w:rPr>
                <w:rFonts w:ascii="Arial" w:cs="Arial" w:eastAsia="Arial" w:hAnsi="Arial"/>
                <w:sz w:val="14"/>
                <w:szCs w:val="14"/>
                <w:color w:val="auto"/>
              </w:rPr>
              <w:t>17,237,500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w:t>
            </w:r>
            <w:r>
              <w:rPr>
                <w:rFonts w:ascii="Arial" w:cs="Arial" w:eastAsia="Arial" w:hAnsi="Arial"/>
                <w:sz w:val="11"/>
                <w:szCs w:val="11"/>
                <w:color w:val="auto"/>
              </w:rPr>
              <w:t>RANS</w:t>
            </w:r>
            <w:r>
              <w:rPr>
                <w:rFonts w:ascii="Arial" w:cs="Arial" w:eastAsia="Arial" w:hAnsi="Arial"/>
                <w:sz w:val="14"/>
                <w:szCs w:val="14"/>
                <w:color w:val="auto"/>
              </w:rPr>
              <w:t>F</w:t>
            </w:r>
            <w:r>
              <w:rPr>
                <w:rFonts w:ascii="Arial" w:cs="Arial" w:eastAsia="Arial" w:hAnsi="Arial"/>
                <w:sz w:val="11"/>
                <w:szCs w:val="11"/>
                <w:color w:val="auto"/>
              </w:rPr>
              <w:t>IRST</w:t>
            </w:r>
            <w:r>
              <w:rPr>
                <w:rFonts w:ascii="Arial" w:cs="Arial" w:eastAsia="Arial" w:hAnsi="Arial"/>
                <w:sz w:val="14"/>
                <w:szCs w:val="14"/>
                <w:color w:val="auto"/>
              </w:rPr>
              <w:t xml:space="preserve"> H</w:t>
            </w:r>
            <w:r>
              <w:rPr>
                <w:rFonts w:ascii="Arial" w:cs="Arial" w:eastAsia="Arial" w:hAnsi="Arial"/>
                <w:sz w:val="11"/>
                <w:szCs w:val="11"/>
                <w:color w:val="auto"/>
              </w:rPr>
              <w:t>OLDINGS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06/15/2015</w:t>
            </w:r>
          </w:p>
        </w:tc>
        <w:tc>
          <w:tcPr>
            <w:tcW w:w="198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9"/>
              </w:rPr>
              <w:t>BUSINESS SERVICES</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11.30%*</w:t>
            </w:r>
          </w:p>
        </w:tc>
        <w:tc>
          <w:tcPr>
            <w:tcW w:w="7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L+600</w:t>
            </w: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13,000,000</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12,886,250</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12,431,250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6"/>
              </w:rPr>
              <w:t>78,250,000</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6"/>
              </w:rPr>
              <w:t>75,260,488</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67,748,750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PENNANTPARK INVESTMENT CORPORATION</w:t>
      </w:r>
    </w:p>
    <w:p>
      <w:pPr>
        <w:spacing w:after="0" w:line="9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SCHEDULE OF INVESTMENTS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Basis Point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Spread</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r>
              <w:rPr>
                <w:rFonts w:ascii="Arial" w:cs="Arial" w:eastAsia="Arial" w:hAnsi="Arial"/>
                <w:sz w:val="22"/>
                <w:szCs w:val="22"/>
                <w:b w:val="1"/>
                <w:bCs w:val="1"/>
                <w:color w:val="auto"/>
                <w:vertAlign w:val="superscript"/>
              </w:rPr>
              <w:t>(1)</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8"/>
              </w:rPr>
              <w:t>Current</w:t>
            </w:r>
          </w:p>
        </w:tc>
        <w:tc>
          <w:tcPr>
            <w:tcW w:w="34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Above</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75"/>
              </w:rPr>
              <w:t>Value</w:t>
            </w:r>
            <w:r>
              <w:rPr>
                <w:rFonts w:ascii="Arial" w:cs="Arial" w:eastAsia="Arial" w:hAnsi="Arial"/>
                <w:sz w:val="22"/>
                <w:szCs w:val="22"/>
                <w:b w:val="1"/>
                <w:bCs w:val="1"/>
                <w:color w:val="auto"/>
                <w:w w:val="75"/>
                <w:vertAlign w:val="superscript"/>
              </w:rPr>
              <w:t>(2)</w:t>
            </w:r>
          </w:p>
        </w:tc>
        <w:tc>
          <w:tcPr>
            <w:tcW w:w="0" w:type="dxa"/>
            <w:vAlign w:val="bottom"/>
          </w:tcPr>
          <w:p>
            <w:pPr>
              <w:spacing w:after="0"/>
              <w:rPr>
                <w:sz w:val="1"/>
                <w:szCs w:val="1"/>
                <w:color w:val="auto"/>
              </w:rPr>
            </w:pPr>
          </w:p>
        </w:tc>
      </w:tr>
      <w:tr>
        <w:trPr>
          <w:trHeight w:val="176"/>
        </w:trPr>
        <w:tc>
          <w:tcPr>
            <w:tcW w:w="3500" w:type="dxa"/>
            <w:vAlign w:val="bottom"/>
            <w:gridSpan w:val="3"/>
            <w:vMerge w:val="continue"/>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Maturity</w:t>
            </w:r>
          </w:p>
        </w:tc>
        <w:tc>
          <w:tcPr>
            <w:tcW w:w="780" w:type="dxa"/>
            <w:vAlign w:val="bottom"/>
          </w:tcPr>
          <w:p>
            <w:pPr>
              <w:spacing w:after="0"/>
              <w:rPr>
                <w:sz w:val="15"/>
                <w:szCs w:val="15"/>
                <w:color w:val="auto"/>
              </w:rPr>
            </w:pPr>
          </w:p>
        </w:tc>
        <w:tc>
          <w:tcPr>
            <w:tcW w:w="152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0"/>
              </w:rPr>
              <w:t>Industry</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0"/>
              </w:rPr>
              <w:t>Coupon</w:t>
            </w:r>
          </w:p>
        </w:tc>
        <w:tc>
          <w:tcPr>
            <w:tcW w:w="340" w:type="dxa"/>
            <w:vAlign w:val="bottom"/>
          </w:tcPr>
          <w:p>
            <w:pPr>
              <w:spacing w:after="0"/>
              <w:rPr>
                <w:sz w:val="15"/>
                <w:szCs w:val="15"/>
                <w:color w:val="auto"/>
              </w:rPr>
            </w:pPr>
          </w:p>
        </w:tc>
        <w:tc>
          <w:tcPr>
            <w:tcW w:w="88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(3)</w:t>
            </w:r>
          </w:p>
        </w:tc>
        <w:tc>
          <w:tcPr>
            <w:tcW w:w="400" w:type="dxa"/>
            <w:vAlign w:val="bottom"/>
          </w:tcPr>
          <w:p>
            <w:pPr>
              <w:spacing w:after="0"/>
              <w:rPr>
                <w:sz w:val="15"/>
                <w:szCs w:val="15"/>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Par</w:t>
            </w:r>
          </w:p>
        </w:tc>
        <w:tc>
          <w:tcPr>
            <w:tcW w:w="380" w:type="dxa"/>
            <w:vAlign w:val="bottom"/>
          </w:tcPr>
          <w:p>
            <w:pPr>
              <w:spacing w:after="0"/>
              <w:rPr>
                <w:sz w:val="15"/>
                <w:szCs w:val="15"/>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3"/>
              </w:rPr>
              <w:t>Cost</w:t>
            </w:r>
          </w:p>
        </w:tc>
        <w:tc>
          <w:tcPr>
            <w:tcW w:w="3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4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First Lien secured Debt—58.8%</w:t>
            </w: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80" w:type="dxa"/>
            <w:vAlign w:val="bottom"/>
            <w:gridSpan w:val="2"/>
          </w:tcPr>
          <w:p>
            <w:pPr>
              <w:spacing w:after="0"/>
              <w:rPr>
                <w:sz w:val="20"/>
                <w:szCs w:val="20"/>
                <w:color w:val="auto"/>
              </w:rPr>
            </w:pPr>
            <w:r>
              <w:rPr>
                <w:rFonts w:ascii="Arial" w:cs="Arial" w:eastAsia="Arial" w:hAnsi="Arial"/>
                <w:sz w:val="14"/>
                <w:szCs w:val="14"/>
                <w:color w:val="auto"/>
              </w:rPr>
              <w:t>B</w:t>
            </w:r>
            <w:r>
              <w:rPr>
                <w:rFonts w:ascii="Arial" w:cs="Arial" w:eastAsia="Arial" w:hAnsi="Arial"/>
                <w:sz w:val="11"/>
                <w:szCs w:val="11"/>
                <w:color w:val="auto"/>
              </w:rPr>
              <w:t>ERRY</w:t>
            </w:r>
            <w:r>
              <w:rPr>
                <w:rFonts w:ascii="Arial" w:cs="Arial" w:eastAsia="Arial" w:hAnsi="Arial"/>
                <w:sz w:val="14"/>
                <w:szCs w:val="14"/>
                <w:color w:val="auto"/>
              </w:rPr>
              <w:t xml:space="preserve"> P</w:t>
            </w:r>
            <w:r>
              <w:rPr>
                <w:rFonts w:ascii="Arial" w:cs="Arial" w:eastAsia="Arial" w:hAnsi="Arial"/>
                <w:sz w:val="11"/>
                <w:szCs w:val="11"/>
                <w:color w:val="auto"/>
              </w:rPr>
              <w:t>LASTICS</w:t>
            </w:r>
            <w:r>
              <w:rPr>
                <w:rFonts w:ascii="Arial" w:cs="Arial" w:eastAsia="Arial" w:hAnsi="Arial"/>
                <w:sz w:val="14"/>
                <w:szCs w:val="14"/>
                <w:color w:val="auto"/>
              </w:rPr>
              <w:t xml:space="preserve"> G</w:t>
            </w:r>
            <w:r>
              <w:rPr>
                <w:rFonts w:ascii="Arial" w:cs="Arial" w:eastAsia="Arial" w:hAnsi="Arial"/>
                <w:sz w:val="11"/>
                <w:szCs w:val="11"/>
                <w:color w:val="auto"/>
              </w:rPr>
              <w:t>ROUP</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color w:val="auto"/>
              </w:rPr>
              <w:t>04/03/2015</w:t>
            </w:r>
          </w:p>
        </w:tc>
        <w:tc>
          <w:tcPr>
            <w:tcW w:w="2300" w:type="dxa"/>
            <w:vAlign w:val="bottom"/>
            <w:gridSpan w:val="3"/>
            <w:vMerge w:val="restart"/>
          </w:tcPr>
          <w:p>
            <w:pPr>
              <w:jc w:val="center"/>
              <w:ind w:right="200"/>
              <w:spacing w:after="0"/>
              <w:rPr>
                <w:sz w:val="20"/>
                <w:szCs w:val="20"/>
                <w:color w:val="auto"/>
              </w:rPr>
            </w:pPr>
            <w:r>
              <w:rPr>
                <w:rFonts w:ascii="Arial" w:cs="Arial" w:eastAsia="Arial" w:hAnsi="Arial"/>
                <w:sz w:val="14"/>
                <w:szCs w:val="14"/>
                <w:color w:val="auto"/>
                <w:w w:val="92"/>
              </w:rPr>
              <w:t>CONTAINERS, PACKAGING</w:t>
            </w:r>
          </w:p>
        </w:tc>
        <w:tc>
          <w:tcPr>
            <w:tcW w:w="560" w:type="dxa"/>
            <w:vAlign w:val="bottom"/>
          </w:tcPr>
          <w:p>
            <w:pPr>
              <w:spacing w:after="0"/>
              <w:rPr>
                <w:sz w:val="19"/>
                <w:szCs w:val="19"/>
                <w:color w:val="auto"/>
              </w:rPr>
            </w:pPr>
          </w:p>
        </w:tc>
        <w:tc>
          <w:tcPr>
            <w:tcW w:w="340" w:type="dxa"/>
            <w:vAlign w:val="bottom"/>
          </w:tcPr>
          <w:p>
            <w:pPr>
              <w:jc w:val="right"/>
              <w:ind w:right="178"/>
              <w:spacing w:after="0"/>
              <w:rPr>
                <w:sz w:val="20"/>
                <w:szCs w:val="20"/>
                <w:color w:val="auto"/>
              </w:rPr>
            </w:pPr>
            <w:r>
              <w:rPr>
                <w:rFonts w:ascii="Arial" w:cs="Arial" w:eastAsia="Arial" w:hAnsi="Arial"/>
                <w:sz w:val="12"/>
                <w:szCs w:val="12"/>
                <w:color w:val="auto"/>
                <w:w w:val="74"/>
              </w:rPr>
              <w:t>%</w:t>
            </w:r>
          </w:p>
        </w:tc>
        <w:tc>
          <w:tcPr>
            <w:tcW w:w="880" w:type="dxa"/>
            <w:vAlign w:val="bottom"/>
            <w:gridSpan w:val="2"/>
          </w:tcPr>
          <w:p>
            <w:pPr>
              <w:ind w:left="420"/>
              <w:spacing w:after="0"/>
              <w:rPr>
                <w:sz w:val="20"/>
                <w:szCs w:val="20"/>
                <w:color w:val="auto"/>
              </w:rPr>
            </w:pPr>
            <w:r>
              <w:rPr>
                <w:rFonts w:ascii="Arial" w:cs="Arial" w:eastAsia="Arial" w:hAnsi="Arial"/>
                <w:sz w:val="14"/>
                <w:szCs w:val="14"/>
                <w:color w:val="auto"/>
              </w:rPr>
              <w:t>L+200</w:t>
            </w:r>
          </w:p>
        </w:tc>
        <w:tc>
          <w:tcPr>
            <w:tcW w:w="1020" w:type="dxa"/>
            <w:vAlign w:val="bottom"/>
            <w:gridSpan w:val="3"/>
          </w:tcPr>
          <w:p>
            <w:pPr>
              <w:jc w:val="right"/>
              <w:ind w:right="100"/>
              <w:spacing w:after="0"/>
              <w:rPr>
                <w:sz w:val="20"/>
                <w:szCs w:val="20"/>
                <w:color w:val="auto"/>
              </w:rPr>
            </w:pPr>
            <w:r>
              <w:rPr>
                <w:rFonts w:ascii="Arial" w:cs="Arial" w:eastAsia="Arial" w:hAnsi="Arial"/>
                <w:sz w:val="14"/>
                <w:szCs w:val="14"/>
                <w:color w:val="auto"/>
              </w:rPr>
              <w:t>7,462,500</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7,462,500</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7,274,602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gridSpan w:val="3"/>
            <w:vMerge w:val="continue"/>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3"/>
          </w:tcPr>
          <w:p>
            <w:pPr>
              <w:jc w:val="center"/>
              <w:ind w:right="200"/>
              <w:spacing w:after="0"/>
              <w:rPr>
                <w:sz w:val="20"/>
                <w:szCs w:val="20"/>
                <w:color w:val="auto"/>
              </w:rPr>
            </w:pPr>
            <w:r>
              <w:rPr>
                <w:rFonts w:ascii="Arial" w:cs="Arial" w:eastAsia="Arial" w:hAnsi="Arial"/>
                <w:sz w:val="14"/>
                <w:szCs w:val="14"/>
                <w:color w:val="auto"/>
                <w:w w:val="96"/>
              </w:rPr>
              <w:t>&amp; GLASS</w:t>
            </w:r>
          </w:p>
        </w:tc>
        <w:tc>
          <w:tcPr>
            <w:tcW w:w="560" w:type="dxa"/>
            <w:vAlign w:val="bottom"/>
          </w:tcPr>
          <w:p>
            <w:pPr>
              <w:jc w:val="right"/>
              <w:spacing w:after="0"/>
              <w:rPr>
                <w:sz w:val="20"/>
                <w:szCs w:val="20"/>
                <w:color w:val="auto"/>
              </w:rPr>
            </w:pPr>
            <w:r>
              <w:rPr>
                <w:rFonts w:ascii="Arial" w:cs="Arial" w:eastAsia="Arial" w:hAnsi="Arial"/>
                <w:sz w:val="14"/>
                <w:szCs w:val="14"/>
                <w:color w:val="auto"/>
              </w:rPr>
              <w:t>7.34</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w:t>
            </w:r>
            <w:r>
              <w:rPr>
                <w:rFonts w:ascii="Arial" w:cs="Arial" w:eastAsia="Arial" w:hAnsi="Arial"/>
                <w:sz w:val="11"/>
                <w:szCs w:val="11"/>
                <w:color w:val="auto"/>
              </w:rPr>
              <w:t>URLINGTON</w:t>
            </w:r>
            <w:r>
              <w:rPr>
                <w:rFonts w:ascii="Arial" w:cs="Arial" w:eastAsia="Arial" w:hAnsi="Arial"/>
                <w:sz w:val="14"/>
                <w:szCs w:val="14"/>
                <w:color w:val="auto"/>
              </w:rPr>
              <w:t xml:space="preserve"> C</w:t>
            </w:r>
            <w:r>
              <w:rPr>
                <w:rFonts w:ascii="Arial" w:cs="Arial" w:eastAsia="Arial" w:hAnsi="Arial"/>
                <w:sz w:val="11"/>
                <w:szCs w:val="11"/>
                <w:color w:val="auto"/>
              </w:rPr>
              <w:t>OAT</w:t>
            </w:r>
            <w:r>
              <w:rPr>
                <w:rFonts w:ascii="Arial" w:cs="Arial" w:eastAsia="Arial" w:hAnsi="Arial"/>
                <w:sz w:val="14"/>
                <w:szCs w:val="14"/>
                <w:color w:val="auto"/>
              </w:rPr>
              <w:t xml:space="preserve"> F</w:t>
            </w:r>
            <w:r>
              <w:rPr>
                <w:rFonts w:ascii="Arial" w:cs="Arial" w:eastAsia="Arial" w:hAnsi="Arial"/>
                <w:sz w:val="11"/>
                <w:szCs w:val="11"/>
                <w:color w:val="auto"/>
              </w:rPr>
              <w:t>ACTORY</w:t>
            </w:r>
            <w:r>
              <w:rPr>
                <w:rFonts w:ascii="Arial" w:cs="Arial" w:eastAsia="Arial" w:hAnsi="Arial"/>
                <w:sz w:val="14"/>
                <w:szCs w:val="14"/>
                <w:color w:val="auto"/>
              </w:rPr>
              <w:t xml:space="preserve"> W</w:t>
            </w:r>
            <w:r>
              <w:rPr>
                <w:rFonts w:ascii="Arial" w:cs="Arial" w:eastAsia="Arial" w:hAnsi="Arial"/>
                <w:sz w:val="11"/>
                <w:szCs w:val="11"/>
                <w:color w:val="auto"/>
              </w:rPr>
              <w:t>AREHOUSE</w:t>
            </w:r>
            <w:r>
              <w:rPr>
                <w:rFonts w:ascii="Arial" w:cs="Arial" w:eastAsia="Arial" w:hAnsi="Arial"/>
                <w:sz w:val="14"/>
                <w:szCs w:val="14"/>
                <w:color w:val="auto"/>
              </w:rPr>
              <w:t xml:space="preserve"> C</w:t>
            </w:r>
            <w:r>
              <w:rPr>
                <w:rFonts w:ascii="Arial" w:cs="Arial" w:eastAsia="Arial" w:hAnsi="Arial"/>
                <w:sz w:val="11"/>
                <w:szCs w:val="11"/>
                <w:color w:val="auto"/>
              </w:rPr>
              <w:t>ORP</w:t>
            </w:r>
            <w:r>
              <w:rPr>
                <w:rFonts w:ascii="Arial" w:cs="Arial" w:eastAsia="Arial" w:hAnsi="Arial"/>
                <w:sz w:val="14"/>
                <w:szCs w:val="14"/>
                <w:color w:val="auto"/>
              </w:rPr>
              <w:t>.</w:t>
            </w:r>
          </w:p>
        </w:tc>
        <w:tc>
          <w:tcPr>
            <w:tcW w:w="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05/28/2013</w:t>
            </w:r>
          </w:p>
        </w:tc>
        <w:tc>
          <w:tcPr>
            <w:tcW w:w="23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RETAIL STORE</w:t>
            </w:r>
          </w:p>
        </w:tc>
        <w:tc>
          <w:tcPr>
            <w:tcW w:w="9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7.76%</w:t>
            </w: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L+225</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7,896,473</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7,887,537</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7,571,975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tcPr>
          <w:p>
            <w:pPr>
              <w:spacing w:after="0" w:line="149" w:lineRule="exact"/>
              <w:rPr>
                <w:sz w:val="20"/>
                <w:szCs w:val="20"/>
                <w:color w:val="auto"/>
              </w:rPr>
            </w:pPr>
            <w:r>
              <w:rPr>
                <w:rFonts w:ascii="Arial" w:cs="Arial" w:eastAsia="Arial" w:hAnsi="Arial"/>
                <w:sz w:val="14"/>
                <w:szCs w:val="14"/>
                <w:color w:val="auto"/>
              </w:rPr>
              <w:t>C</w:t>
            </w:r>
            <w:r>
              <w:rPr>
                <w:rFonts w:ascii="Arial" w:cs="Arial" w:eastAsia="Arial" w:hAnsi="Arial"/>
                <w:sz w:val="11"/>
                <w:szCs w:val="11"/>
                <w:color w:val="auto"/>
              </w:rPr>
              <w:t>HARTER</w:t>
            </w:r>
            <w:r>
              <w:rPr>
                <w:rFonts w:ascii="Arial" w:cs="Arial" w:eastAsia="Arial" w:hAnsi="Arial"/>
                <w:sz w:val="14"/>
                <w:szCs w:val="14"/>
                <w:color w:val="auto"/>
              </w:rPr>
              <w:t xml:space="preserve"> C</w:t>
            </w:r>
            <w:r>
              <w:rPr>
                <w:rFonts w:ascii="Arial" w:cs="Arial" w:eastAsia="Arial" w:hAnsi="Arial"/>
                <w:sz w:val="11"/>
                <w:szCs w:val="11"/>
                <w:color w:val="auto"/>
              </w:rPr>
              <w:t>OMMUNICATIONS</w:t>
            </w:r>
            <w:r>
              <w:rPr>
                <w:rFonts w:ascii="Arial" w:cs="Arial" w:eastAsia="Arial" w:hAnsi="Arial"/>
                <w:sz w:val="14"/>
                <w:szCs w:val="14"/>
                <w:color w:val="auto"/>
              </w:rPr>
              <w:t xml:space="preserve"> O</w:t>
            </w:r>
            <w:r>
              <w:rPr>
                <w:rFonts w:ascii="Arial" w:cs="Arial" w:eastAsia="Arial" w:hAnsi="Arial"/>
                <w:sz w:val="11"/>
                <w:szCs w:val="11"/>
                <w:color w:val="auto"/>
              </w:rPr>
              <w:t>PERATING</w:t>
            </w:r>
            <w:r>
              <w:rPr>
                <w:rFonts w:ascii="Arial" w:cs="Arial" w:eastAsia="Arial" w:hAnsi="Arial"/>
                <w:sz w:val="14"/>
                <w:szCs w:val="14"/>
                <w:color w:val="auto"/>
              </w:rPr>
              <w:t>, L.L.C.</w:t>
            </w: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03/06/2014</w:t>
            </w:r>
          </w:p>
        </w:tc>
        <w:tc>
          <w:tcPr>
            <w:tcW w:w="23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5"/>
              </w:rPr>
              <w:t>CABLE TELEVISION</w:t>
            </w:r>
          </w:p>
        </w:tc>
        <w:tc>
          <w:tcPr>
            <w:tcW w:w="900" w:type="dxa"/>
            <w:vAlign w:val="bottom"/>
            <w:gridSpan w:val="2"/>
          </w:tcPr>
          <w:p>
            <w:pPr>
              <w:jc w:val="right"/>
              <w:ind w:right="178"/>
              <w:spacing w:after="0" w:line="149" w:lineRule="exact"/>
              <w:rPr>
                <w:sz w:val="20"/>
                <w:szCs w:val="20"/>
                <w:color w:val="auto"/>
              </w:rPr>
            </w:pPr>
            <w:r>
              <w:rPr>
                <w:rFonts w:ascii="Arial" w:cs="Arial" w:eastAsia="Arial" w:hAnsi="Arial"/>
                <w:sz w:val="14"/>
                <w:szCs w:val="14"/>
                <w:color w:val="auto"/>
              </w:rPr>
              <w:t>7.13%</w:t>
            </w:r>
          </w:p>
        </w:tc>
        <w:tc>
          <w:tcPr>
            <w:tcW w:w="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L+200</w:t>
            </w:r>
          </w:p>
        </w:tc>
        <w:tc>
          <w:tcPr>
            <w:tcW w:w="10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15,000,000</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14,992,740</w:t>
            </w: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14,468,310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w:t>
            </w:r>
            <w:r>
              <w:rPr>
                <w:rFonts w:ascii="Arial" w:cs="Arial" w:eastAsia="Arial" w:hAnsi="Arial"/>
                <w:sz w:val="11"/>
                <w:szCs w:val="11"/>
                <w:color w:val="auto"/>
              </w:rPr>
              <w:t>OHR</w:t>
            </w:r>
            <w:r>
              <w:rPr>
                <w:rFonts w:ascii="Arial" w:cs="Arial" w:eastAsia="Arial" w:hAnsi="Arial"/>
                <w:sz w:val="14"/>
                <w:szCs w:val="14"/>
                <w:color w:val="auto"/>
              </w:rPr>
              <w:t xml:space="preserve"> H</w:t>
            </w:r>
            <w:r>
              <w:rPr>
                <w:rFonts w:ascii="Arial" w:cs="Arial" w:eastAsia="Arial" w:hAnsi="Arial"/>
                <w:sz w:val="11"/>
                <w:szCs w:val="11"/>
                <w:color w:val="auto"/>
              </w:rPr>
              <w:t>OLDINGS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8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01/31/2013</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78"/>
              <w:spacing w:after="0"/>
              <w:rPr>
                <w:sz w:val="20"/>
                <w:szCs w:val="20"/>
                <w:color w:val="auto"/>
              </w:rPr>
            </w:pPr>
            <w:r>
              <w:rPr>
                <w:rFonts w:ascii="Arial" w:cs="Arial" w:eastAsia="Arial" w:hAnsi="Arial"/>
                <w:sz w:val="12"/>
                <w:szCs w:val="12"/>
                <w:color w:val="auto"/>
                <w:w w:val="74"/>
              </w:rPr>
              <w:t>%</w:t>
            </w:r>
          </w:p>
        </w:tc>
        <w:tc>
          <w:tcPr>
            <w:tcW w:w="88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L+250</w:t>
            </w:r>
          </w:p>
        </w:tc>
        <w:tc>
          <w:tcPr>
            <w:tcW w:w="10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2,985,000</w:t>
            </w:r>
          </w:p>
        </w:tc>
        <w:tc>
          <w:tcPr>
            <w:tcW w:w="10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2,985,000</w:t>
            </w:r>
          </w:p>
        </w:tc>
        <w:tc>
          <w:tcPr>
            <w:tcW w:w="9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2,388,000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40" w:type="dxa"/>
            <w:vAlign w:val="bottom"/>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2300" w:type="dxa"/>
            <w:vAlign w:val="bottom"/>
            <w:gridSpan w:val="3"/>
            <w:vMerge w:val="restart"/>
            <w:shd w:val="clear" w:color="auto" w:fill="CCEEFF"/>
          </w:tcPr>
          <w:p>
            <w:pPr>
              <w:jc w:val="center"/>
              <w:ind w:right="200"/>
              <w:spacing w:after="0"/>
              <w:rPr>
                <w:sz w:val="20"/>
                <w:szCs w:val="20"/>
                <w:color w:val="auto"/>
              </w:rPr>
            </w:pPr>
            <w:r>
              <w:rPr>
                <w:rFonts w:ascii="Arial" w:cs="Arial" w:eastAsia="Arial" w:hAnsi="Arial"/>
                <w:sz w:val="14"/>
                <w:szCs w:val="14"/>
                <w:color w:val="auto"/>
                <w:w w:val="92"/>
              </w:rPr>
              <w:t>HEALTH CARE,</w:t>
            </w:r>
          </w:p>
        </w:tc>
        <w:tc>
          <w:tcPr>
            <w:tcW w:w="560" w:type="dxa"/>
            <w:vAlign w:val="bottom"/>
            <w:shd w:val="clear" w:color="auto" w:fill="CCEEFF"/>
          </w:tcPr>
          <w:p>
            <w:pPr>
              <w:spacing w:after="0"/>
              <w:rPr>
                <w:sz w:val="11"/>
                <w:szCs w:val="11"/>
                <w:color w:val="auto"/>
              </w:rPr>
            </w:pPr>
          </w:p>
        </w:tc>
        <w:tc>
          <w:tcPr>
            <w:tcW w:w="340" w:type="dxa"/>
            <w:vAlign w:val="bottom"/>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1020" w:type="dxa"/>
            <w:vAlign w:val="bottom"/>
            <w:gridSpan w:val="3"/>
            <w:vMerge w:val="continue"/>
            <w:shd w:val="clear" w:color="auto" w:fill="CCEEFF"/>
          </w:tcPr>
          <w:p>
            <w:pPr>
              <w:spacing w:after="0"/>
              <w:rPr>
                <w:sz w:val="11"/>
                <w:szCs w:val="11"/>
                <w:color w:val="auto"/>
              </w:rPr>
            </w:pPr>
          </w:p>
        </w:tc>
        <w:tc>
          <w:tcPr>
            <w:tcW w:w="1040" w:type="dxa"/>
            <w:vAlign w:val="bottom"/>
            <w:gridSpan w:val="3"/>
            <w:vMerge w:val="continue"/>
            <w:shd w:val="clear" w:color="auto" w:fill="CCEEFF"/>
          </w:tcPr>
          <w:p>
            <w:pPr>
              <w:spacing w:after="0"/>
              <w:rPr>
                <w:sz w:val="11"/>
                <w:szCs w:val="11"/>
                <w:color w:val="auto"/>
              </w:rPr>
            </w:pPr>
          </w:p>
        </w:tc>
        <w:tc>
          <w:tcPr>
            <w:tcW w:w="940" w:type="dxa"/>
            <w:vAlign w:val="bottom"/>
            <w:gridSpan w:val="3"/>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300" w:type="dxa"/>
            <w:vAlign w:val="bottom"/>
            <w:gridSpan w:val="3"/>
            <w:vMerge w:val="continue"/>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94"/>
              </w:rPr>
              <w:t>EDUCATION &amp; CHILDCARE</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w:t>
            </w: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tcPr>
          <w:p>
            <w:pPr>
              <w:spacing w:after="0" w:line="149" w:lineRule="exact"/>
              <w:rPr>
                <w:sz w:val="20"/>
                <w:szCs w:val="20"/>
                <w:color w:val="auto"/>
              </w:rPr>
            </w:pPr>
            <w:r>
              <w:rPr>
                <w:rFonts w:ascii="Arial" w:cs="Arial" w:eastAsia="Arial" w:hAnsi="Arial"/>
                <w:sz w:val="14"/>
                <w:szCs w:val="14"/>
                <w:color w:val="auto"/>
              </w:rPr>
              <w:t>FR B</w:t>
            </w:r>
            <w:r>
              <w:rPr>
                <w:rFonts w:ascii="Arial" w:cs="Arial" w:eastAsia="Arial" w:hAnsi="Arial"/>
                <w:sz w:val="11"/>
                <w:szCs w:val="11"/>
                <w:color w:val="auto"/>
              </w:rPr>
              <w:t>RAND</w:t>
            </w:r>
            <w:r>
              <w:rPr>
                <w:rFonts w:ascii="Arial" w:cs="Arial" w:eastAsia="Arial" w:hAnsi="Arial"/>
                <w:sz w:val="14"/>
                <w:szCs w:val="14"/>
                <w:color w:val="auto"/>
              </w:rPr>
              <w:t xml:space="preserve"> A</w:t>
            </w:r>
            <w:r>
              <w:rPr>
                <w:rFonts w:ascii="Arial" w:cs="Arial" w:eastAsia="Arial" w:hAnsi="Arial"/>
                <w:sz w:val="11"/>
                <w:szCs w:val="11"/>
                <w:color w:val="auto"/>
              </w:rPr>
              <w:t>CQUISITION</w:t>
            </w:r>
            <w:r>
              <w:rPr>
                <w:rFonts w:ascii="Arial" w:cs="Arial" w:eastAsia="Arial" w:hAnsi="Arial"/>
                <w:sz w:val="14"/>
                <w:szCs w:val="14"/>
                <w:color w:val="auto"/>
              </w:rPr>
              <w:t xml:space="preserve"> C</w:t>
            </w:r>
            <w:r>
              <w:rPr>
                <w:rFonts w:ascii="Arial" w:cs="Arial" w:eastAsia="Arial" w:hAnsi="Arial"/>
                <w:sz w:val="11"/>
                <w:szCs w:val="11"/>
                <w:color w:val="auto"/>
              </w:rPr>
              <w:t>ORP</w:t>
            </w:r>
            <w:r>
              <w:rPr>
                <w:rFonts w:ascii="Arial" w:cs="Arial" w:eastAsia="Arial" w:hAnsi="Arial"/>
                <w:sz w:val="14"/>
                <w:szCs w:val="14"/>
                <w:color w:val="auto"/>
              </w:rPr>
              <w:t>.</w:t>
            </w: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02/07/2014</w:t>
            </w:r>
          </w:p>
        </w:tc>
        <w:tc>
          <w:tcPr>
            <w:tcW w:w="23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5"/>
              </w:rPr>
              <w:t>ENERGY / UTILITIES</w:t>
            </w:r>
          </w:p>
        </w:tc>
        <w:tc>
          <w:tcPr>
            <w:tcW w:w="900" w:type="dxa"/>
            <w:vAlign w:val="bottom"/>
            <w:gridSpan w:val="2"/>
          </w:tcPr>
          <w:p>
            <w:pPr>
              <w:jc w:val="right"/>
              <w:ind w:right="178"/>
              <w:spacing w:after="0" w:line="149" w:lineRule="exact"/>
              <w:rPr>
                <w:sz w:val="20"/>
                <w:szCs w:val="20"/>
                <w:color w:val="auto"/>
              </w:rPr>
            </w:pPr>
            <w:r>
              <w:rPr>
                <w:rFonts w:ascii="Arial" w:cs="Arial" w:eastAsia="Arial" w:hAnsi="Arial"/>
                <w:sz w:val="14"/>
                <w:szCs w:val="14"/>
                <w:color w:val="auto"/>
              </w:rPr>
              <w:t>7.53%</w:t>
            </w:r>
          </w:p>
        </w:tc>
        <w:tc>
          <w:tcPr>
            <w:tcW w:w="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L+225</w:t>
            </w:r>
          </w:p>
        </w:tc>
        <w:tc>
          <w:tcPr>
            <w:tcW w:w="10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1,990,000</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1,990,000</w:t>
            </w: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1,887,183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w:t>
            </w:r>
            <w:r>
              <w:rPr>
                <w:rFonts w:ascii="Arial" w:cs="Arial" w:eastAsia="Arial" w:hAnsi="Arial"/>
                <w:sz w:val="11"/>
                <w:szCs w:val="11"/>
                <w:color w:val="auto"/>
              </w:rPr>
              <w:t>ATEHOUSE</w:t>
            </w:r>
            <w:r>
              <w:rPr>
                <w:rFonts w:ascii="Arial" w:cs="Arial" w:eastAsia="Arial" w:hAnsi="Arial"/>
                <w:sz w:val="14"/>
                <w:szCs w:val="14"/>
                <w:color w:val="auto"/>
              </w:rPr>
              <w:t xml:space="preserve"> M</w:t>
            </w:r>
            <w:r>
              <w:rPr>
                <w:rFonts w:ascii="Arial" w:cs="Arial" w:eastAsia="Arial" w:hAnsi="Arial"/>
                <w:sz w:val="11"/>
                <w:szCs w:val="11"/>
                <w:color w:val="auto"/>
              </w:rPr>
              <w:t>EDIA</w:t>
            </w:r>
            <w:r>
              <w:rPr>
                <w:rFonts w:ascii="Arial" w:cs="Arial" w:eastAsia="Arial" w:hAnsi="Arial"/>
                <w:sz w:val="14"/>
                <w:szCs w:val="14"/>
                <w:color w:val="auto"/>
              </w:rPr>
              <w:t xml:space="preserve"> O</w:t>
            </w:r>
            <w:r>
              <w:rPr>
                <w:rFonts w:ascii="Arial" w:cs="Arial" w:eastAsia="Arial" w:hAnsi="Arial"/>
                <w:sz w:val="11"/>
                <w:szCs w:val="11"/>
                <w:color w:val="auto"/>
              </w:rPr>
              <w:t>PERATING</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08/28/2014</w:t>
            </w:r>
          </w:p>
        </w:tc>
        <w:tc>
          <w:tcPr>
            <w:tcW w:w="7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center"/>
              <w:ind w:right="980"/>
              <w:spacing w:after="0" w:line="149" w:lineRule="exact"/>
              <w:rPr>
                <w:sz w:val="20"/>
                <w:szCs w:val="20"/>
                <w:color w:val="auto"/>
              </w:rPr>
            </w:pPr>
            <w:r>
              <w:rPr>
                <w:rFonts w:ascii="Arial" w:cs="Arial" w:eastAsia="Arial" w:hAnsi="Arial"/>
                <w:sz w:val="14"/>
                <w:szCs w:val="14"/>
                <w:color w:val="auto"/>
              </w:rPr>
              <w:t>MEDIA</w:t>
            </w:r>
          </w:p>
        </w:tc>
        <w:tc>
          <w:tcPr>
            <w:tcW w:w="9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7.47%</w:t>
            </w: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L+200</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7,000,000</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7,000,000</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6,405,000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tcPr>
          <w:p>
            <w:pPr>
              <w:spacing w:after="0" w:line="149" w:lineRule="exact"/>
              <w:rPr>
                <w:sz w:val="20"/>
                <w:szCs w:val="20"/>
                <w:color w:val="auto"/>
              </w:rPr>
            </w:pPr>
            <w:r>
              <w:rPr>
                <w:rFonts w:ascii="Arial" w:cs="Arial" w:eastAsia="Arial" w:hAnsi="Arial"/>
                <w:sz w:val="14"/>
                <w:szCs w:val="14"/>
                <w:color w:val="auto"/>
              </w:rPr>
              <w:t>G</w:t>
            </w:r>
            <w:r>
              <w:rPr>
                <w:rFonts w:ascii="Arial" w:cs="Arial" w:eastAsia="Arial" w:hAnsi="Arial"/>
                <w:sz w:val="11"/>
                <w:szCs w:val="11"/>
                <w:color w:val="auto"/>
              </w:rPr>
              <w:t>ENERAL</w:t>
            </w:r>
            <w:r>
              <w:rPr>
                <w:rFonts w:ascii="Arial" w:cs="Arial" w:eastAsia="Arial" w:hAnsi="Arial"/>
                <w:sz w:val="14"/>
                <w:szCs w:val="14"/>
                <w:color w:val="auto"/>
              </w:rPr>
              <w:t xml:space="preserve"> N</w:t>
            </w:r>
            <w:r>
              <w:rPr>
                <w:rFonts w:ascii="Arial" w:cs="Arial" w:eastAsia="Arial" w:hAnsi="Arial"/>
                <w:sz w:val="11"/>
                <w:szCs w:val="11"/>
                <w:color w:val="auto"/>
              </w:rPr>
              <w:t>UTRITION</w:t>
            </w:r>
            <w:r>
              <w:rPr>
                <w:rFonts w:ascii="Arial" w:cs="Arial" w:eastAsia="Arial" w:hAnsi="Arial"/>
                <w:sz w:val="14"/>
                <w:szCs w:val="14"/>
                <w:color w:val="auto"/>
              </w:rPr>
              <w:t xml:space="preserve"> C</w:t>
            </w:r>
            <w:r>
              <w:rPr>
                <w:rFonts w:ascii="Arial" w:cs="Arial" w:eastAsia="Arial" w:hAnsi="Arial"/>
                <w:sz w:val="11"/>
                <w:szCs w:val="11"/>
                <w:color w:val="auto"/>
              </w:rPr>
              <w:t>ENTERS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09/16/2013</w:t>
            </w:r>
          </w:p>
        </w:tc>
        <w:tc>
          <w:tcPr>
            <w:tcW w:w="23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2"/>
              </w:rPr>
              <w:t>RETAIL STORE</w:t>
            </w:r>
          </w:p>
        </w:tc>
        <w:tc>
          <w:tcPr>
            <w:tcW w:w="900" w:type="dxa"/>
            <w:vAlign w:val="bottom"/>
            <w:gridSpan w:val="2"/>
          </w:tcPr>
          <w:p>
            <w:pPr>
              <w:jc w:val="right"/>
              <w:ind w:right="178"/>
              <w:spacing w:after="0" w:line="149" w:lineRule="exact"/>
              <w:rPr>
                <w:sz w:val="20"/>
                <w:szCs w:val="20"/>
                <w:color w:val="auto"/>
              </w:rPr>
            </w:pPr>
            <w:r>
              <w:rPr>
                <w:rFonts w:ascii="Arial" w:cs="Arial" w:eastAsia="Arial" w:hAnsi="Arial"/>
                <w:sz w:val="14"/>
                <w:szCs w:val="14"/>
                <w:color w:val="auto"/>
              </w:rPr>
              <w:t>7.61%</w:t>
            </w:r>
          </w:p>
        </w:tc>
        <w:tc>
          <w:tcPr>
            <w:tcW w:w="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L+225</w:t>
            </w:r>
          </w:p>
        </w:tc>
        <w:tc>
          <w:tcPr>
            <w:tcW w:w="10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6,483,750</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6,487,788</w:t>
            </w: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6,147,405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w:t>
            </w:r>
            <w:r>
              <w:rPr>
                <w:rFonts w:ascii="Arial" w:cs="Arial" w:eastAsia="Arial" w:hAnsi="Arial"/>
                <w:sz w:val="11"/>
                <w:szCs w:val="11"/>
                <w:color w:val="auto"/>
              </w:rPr>
              <w:t>REATWIDE</w:t>
            </w:r>
            <w:r>
              <w:rPr>
                <w:rFonts w:ascii="Arial" w:cs="Arial" w:eastAsia="Arial" w:hAnsi="Arial"/>
                <w:sz w:val="14"/>
                <w:szCs w:val="14"/>
                <w:color w:val="auto"/>
              </w:rPr>
              <w:t xml:space="preserve"> L</w:t>
            </w:r>
            <w:r>
              <w:rPr>
                <w:rFonts w:ascii="Arial" w:cs="Arial" w:eastAsia="Arial" w:hAnsi="Arial"/>
                <w:sz w:val="11"/>
                <w:szCs w:val="11"/>
                <w:color w:val="auto"/>
              </w:rPr>
              <w:t>OGISTICS</w:t>
            </w:r>
            <w:r>
              <w:rPr>
                <w:rFonts w:ascii="Arial" w:cs="Arial" w:eastAsia="Arial" w:hAnsi="Arial"/>
                <w:sz w:val="14"/>
                <w:szCs w:val="14"/>
                <w:color w:val="auto"/>
              </w:rPr>
              <w:t xml:space="preserve"> S</w:t>
            </w:r>
            <w:r>
              <w:rPr>
                <w:rFonts w:ascii="Arial" w:cs="Arial" w:eastAsia="Arial" w:hAnsi="Arial"/>
                <w:sz w:val="11"/>
                <w:szCs w:val="11"/>
                <w:color w:val="auto"/>
              </w:rPr>
              <w:t>ERVICES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12/19/2013</w:t>
            </w:r>
          </w:p>
        </w:tc>
        <w:tc>
          <w:tcPr>
            <w:tcW w:w="23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1"/>
              </w:rPr>
              <w:t>CARGO TRANSPORT</w:t>
            </w:r>
          </w:p>
        </w:tc>
        <w:tc>
          <w:tcPr>
            <w:tcW w:w="9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8.70%</w:t>
            </w: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L+350</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6,947,500</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6,947,500</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6,079,062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tcPr>
          <w:p>
            <w:pPr>
              <w:spacing w:after="0" w:line="149" w:lineRule="exact"/>
              <w:rPr>
                <w:sz w:val="20"/>
                <w:szCs w:val="20"/>
                <w:color w:val="auto"/>
              </w:rPr>
            </w:pPr>
            <w:r>
              <w:rPr>
                <w:rFonts w:ascii="Arial" w:cs="Arial" w:eastAsia="Arial" w:hAnsi="Arial"/>
                <w:sz w:val="14"/>
                <w:szCs w:val="14"/>
                <w:color w:val="auto"/>
              </w:rPr>
              <w:t>H</w:t>
            </w:r>
            <w:r>
              <w:rPr>
                <w:rFonts w:ascii="Arial" w:cs="Arial" w:eastAsia="Arial" w:hAnsi="Arial"/>
                <w:sz w:val="11"/>
                <w:szCs w:val="11"/>
                <w:color w:val="auto"/>
              </w:rPr>
              <w:t>ANLEY</w:t>
            </w:r>
            <w:r>
              <w:rPr>
                <w:rFonts w:ascii="Arial" w:cs="Arial" w:eastAsia="Arial" w:hAnsi="Arial"/>
                <w:sz w:val="14"/>
                <w:szCs w:val="14"/>
                <w:color w:val="auto"/>
              </w:rPr>
              <w:t>-W</w:t>
            </w:r>
            <w:r>
              <w:rPr>
                <w:rFonts w:ascii="Arial" w:cs="Arial" w:eastAsia="Arial" w:hAnsi="Arial"/>
                <w:sz w:val="11"/>
                <w:szCs w:val="11"/>
                <w:color w:val="auto"/>
              </w:rPr>
              <w:t>OOD</w:t>
            </w:r>
            <w:r>
              <w:rPr>
                <w:rFonts w:ascii="Arial" w:cs="Arial" w:eastAsia="Arial" w:hAnsi="Arial"/>
                <w:sz w:val="14"/>
                <w:szCs w:val="14"/>
                <w:color w:val="auto"/>
              </w:rPr>
              <w:t>, L.L.C.</w:t>
            </w: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03/08/2014</w:t>
            </w:r>
          </w:p>
        </w:tc>
        <w:tc>
          <w:tcPr>
            <w:tcW w:w="23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6"/>
              </w:rPr>
              <w:t>OTHER MEDIA</w:t>
            </w:r>
          </w:p>
        </w:tc>
        <w:tc>
          <w:tcPr>
            <w:tcW w:w="900" w:type="dxa"/>
            <w:vAlign w:val="bottom"/>
            <w:gridSpan w:val="2"/>
          </w:tcPr>
          <w:p>
            <w:pPr>
              <w:jc w:val="right"/>
              <w:ind w:right="178"/>
              <w:spacing w:after="0" w:line="149" w:lineRule="exact"/>
              <w:rPr>
                <w:sz w:val="20"/>
                <w:szCs w:val="20"/>
                <w:color w:val="auto"/>
              </w:rPr>
            </w:pPr>
            <w:r>
              <w:rPr>
                <w:rFonts w:ascii="Arial" w:cs="Arial" w:eastAsia="Arial" w:hAnsi="Arial"/>
                <w:sz w:val="14"/>
                <w:szCs w:val="14"/>
                <w:color w:val="auto"/>
              </w:rPr>
              <w:t>7.60%</w:t>
            </w:r>
          </w:p>
        </w:tc>
        <w:tc>
          <w:tcPr>
            <w:tcW w:w="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L+225</w:t>
            </w:r>
          </w:p>
        </w:tc>
        <w:tc>
          <w:tcPr>
            <w:tcW w:w="10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9,000,000</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9,000,000</w:t>
            </w: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7,845,003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w:t>
            </w:r>
            <w:r>
              <w:rPr>
                <w:rFonts w:ascii="Arial" w:cs="Arial" w:eastAsia="Arial" w:hAnsi="Arial"/>
                <w:sz w:val="11"/>
                <w:szCs w:val="11"/>
                <w:color w:val="auto"/>
              </w:rPr>
              <w:t>AWKER</w:t>
            </w:r>
            <w:r>
              <w:rPr>
                <w:rFonts w:ascii="Arial" w:cs="Arial" w:eastAsia="Arial" w:hAnsi="Arial"/>
                <w:sz w:val="14"/>
                <w:szCs w:val="14"/>
                <w:color w:val="auto"/>
              </w:rPr>
              <w:t xml:space="preserve"> B</w:t>
            </w:r>
            <w:r>
              <w:rPr>
                <w:rFonts w:ascii="Arial" w:cs="Arial" w:eastAsia="Arial" w:hAnsi="Arial"/>
                <w:sz w:val="11"/>
                <w:szCs w:val="11"/>
                <w:color w:val="auto"/>
              </w:rPr>
              <w:t>EECHCRAFT</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03/28/2014</w:t>
            </w:r>
          </w:p>
        </w:tc>
        <w:tc>
          <w:tcPr>
            <w:tcW w:w="23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AEROSPACE/DEFENSE</w:t>
            </w:r>
          </w:p>
        </w:tc>
        <w:tc>
          <w:tcPr>
            <w:tcW w:w="9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7.21%</w:t>
            </w: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L+200</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1,990,780</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1,990,780</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1,930,226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80" w:type="dxa"/>
            <w:vAlign w:val="bottom"/>
            <w:gridSpan w:val="2"/>
          </w:tcPr>
          <w:p>
            <w:pPr>
              <w:spacing w:after="0"/>
              <w:rPr>
                <w:sz w:val="20"/>
                <w:szCs w:val="20"/>
                <w:color w:val="auto"/>
              </w:rPr>
            </w:pPr>
            <w:r>
              <w:rPr>
                <w:rFonts w:ascii="Arial" w:cs="Arial" w:eastAsia="Arial" w:hAnsi="Arial"/>
                <w:sz w:val="14"/>
                <w:szCs w:val="14"/>
                <w:color w:val="auto"/>
              </w:rPr>
              <w:t>H</w:t>
            </w:r>
            <w:r>
              <w:rPr>
                <w:rFonts w:ascii="Arial" w:cs="Arial" w:eastAsia="Arial" w:hAnsi="Arial"/>
                <w:sz w:val="11"/>
                <w:szCs w:val="11"/>
                <w:color w:val="auto"/>
              </w:rPr>
              <w:t>EALTH</w:t>
            </w:r>
            <w:r>
              <w:rPr>
                <w:rFonts w:ascii="Arial" w:cs="Arial" w:eastAsia="Arial" w:hAnsi="Arial"/>
                <w:sz w:val="14"/>
                <w:szCs w:val="14"/>
                <w:color w:val="auto"/>
              </w:rPr>
              <w:t xml:space="preserve"> M</w:t>
            </w:r>
            <w:r>
              <w:rPr>
                <w:rFonts w:ascii="Arial" w:cs="Arial" w:eastAsia="Arial" w:hAnsi="Arial"/>
                <w:sz w:val="11"/>
                <w:szCs w:val="11"/>
                <w:color w:val="auto"/>
              </w:rPr>
              <w:t>ANAGEMENT</w:t>
            </w:r>
            <w:r>
              <w:rPr>
                <w:rFonts w:ascii="Arial" w:cs="Arial" w:eastAsia="Arial" w:hAnsi="Arial"/>
                <w:sz w:val="14"/>
                <w:szCs w:val="14"/>
                <w:color w:val="auto"/>
              </w:rPr>
              <w:t xml:space="preserve"> A</w:t>
            </w:r>
            <w:r>
              <w:rPr>
                <w:rFonts w:ascii="Arial" w:cs="Arial" w:eastAsia="Arial" w:hAnsi="Arial"/>
                <w:sz w:val="11"/>
                <w:szCs w:val="11"/>
                <w:color w:val="auto"/>
              </w:rPr>
              <w:t>SSOCIATES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840" w:type="dxa"/>
            <w:vAlign w:val="bottom"/>
            <w:gridSpan w:val="2"/>
          </w:tcPr>
          <w:p>
            <w:pPr>
              <w:ind w:left="20"/>
              <w:spacing w:after="0"/>
              <w:rPr>
                <w:sz w:val="20"/>
                <w:szCs w:val="20"/>
                <w:color w:val="auto"/>
              </w:rPr>
            </w:pPr>
            <w:r>
              <w:rPr>
                <w:rFonts w:ascii="Arial" w:cs="Arial" w:eastAsia="Arial" w:hAnsi="Arial"/>
                <w:sz w:val="14"/>
                <w:szCs w:val="14"/>
                <w:color w:val="auto"/>
              </w:rPr>
              <w:t>02/28/2014</w:t>
            </w:r>
          </w:p>
        </w:tc>
        <w:tc>
          <w:tcPr>
            <w:tcW w:w="2300" w:type="dxa"/>
            <w:vAlign w:val="bottom"/>
            <w:gridSpan w:val="3"/>
            <w:vMerge w:val="restart"/>
          </w:tcPr>
          <w:p>
            <w:pPr>
              <w:jc w:val="center"/>
              <w:ind w:right="200"/>
              <w:spacing w:after="0"/>
              <w:rPr>
                <w:sz w:val="20"/>
                <w:szCs w:val="20"/>
                <w:color w:val="auto"/>
              </w:rPr>
            </w:pPr>
            <w:r>
              <w:rPr>
                <w:rFonts w:ascii="Arial" w:cs="Arial" w:eastAsia="Arial" w:hAnsi="Arial"/>
                <w:sz w:val="14"/>
                <w:szCs w:val="14"/>
                <w:color w:val="auto"/>
                <w:w w:val="92"/>
              </w:rPr>
              <w:t>HEALTH CARE,</w:t>
            </w:r>
          </w:p>
        </w:tc>
        <w:tc>
          <w:tcPr>
            <w:tcW w:w="560" w:type="dxa"/>
            <w:vAlign w:val="bottom"/>
          </w:tcPr>
          <w:p>
            <w:pPr>
              <w:spacing w:after="0"/>
              <w:rPr>
                <w:sz w:val="14"/>
                <w:szCs w:val="14"/>
                <w:color w:val="auto"/>
              </w:rPr>
            </w:pPr>
          </w:p>
        </w:tc>
        <w:tc>
          <w:tcPr>
            <w:tcW w:w="340" w:type="dxa"/>
            <w:vAlign w:val="bottom"/>
          </w:tcPr>
          <w:p>
            <w:pPr>
              <w:jc w:val="right"/>
              <w:ind w:right="178"/>
              <w:spacing w:after="0"/>
              <w:rPr>
                <w:sz w:val="20"/>
                <w:szCs w:val="20"/>
                <w:color w:val="auto"/>
              </w:rPr>
            </w:pPr>
            <w:r>
              <w:rPr>
                <w:rFonts w:ascii="Arial" w:cs="Arial" w:eastAsia="Arial" w:hAnsi="Arial"/>
                <w:sz w:val="12"/>
                <w:szCs w:val="12"/>
                <w:color w:val="auto"/>
                <w:w w:val="74"/>
              </w:rPr>
              <w:t>%</w:t>
            </w:r>
          </w:p>
        </w:tc>
        <w:tc>
          <w:tcPr>
            <w:tcW w:w="880" w:type="dxa"/>
            <w:vAlign w:val="bottom"/>
            <w:gridSpan w:val="2"/>
          </w:tcPr>
          <w:p>
            <w:pPr>
              <w:ind w:left="420"/>
              <w:spacing w:after="0"/>
              <w:rPr>
                <w:sz w:val="20"/>
                <w:szCs w:val="20"/>
                <w:color w:val="auto"/>
              </w:rPr>
            </w:pPr>
            <w:r>
              <w:rPr>
                <w:rFonts w:ascii="Arial" w:cs="Arial" w:eastAsia="Arial" w:hAnsi="Arial"/>
                <w:sz w:val="14"/>
                <w:szCs w:val="14"/>
                <w:color w:val="auto"/>
              </w:rPr>
              <w:t>L+175</w:t>
            </w:r>
          </w:p>
        </w:tc>
        <w:tc>
          <w:tcPr>
            <w:tcW w:w="1020" w:type="dxa"/>
            <w:vAlign w:val="bottom"/>
            <w:gridSpan w:val="3"/>
          </w:tcPr>
          <w:p>
            <w:pPr>
              <w:jc w:val="right"/>
              <w:ind w:right="100"/>
              <w:spacing w:after="0"/>
              <w:rPr>
                <w:sz w:val="20"/>
                <w:szCs w:val="20"/>
                <w:color w:val="auto"/>
              </w:rPr>
            </w:pPr>
            <w:r>
              <w:rPr>
                <w:rFonts w:ascii="Arial" w:cs="Arial" w:eastAsia="Arial" w:hAnsi="Arial"/>
                <w:sz w:val="14"/>
                <w:szCs w:val="14"/>
                <w:color w:val="auto"/>
              </w:rPr>
              <w:t>9,950,000</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9,950,000</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9,441,615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gridSpan w:val="3"/>
            <w:vMerge w:val="continue"/>
          </w:tcPr>
          <w:p>
            <w:pPr>
              <w:spacing w:after="0"/>
              <w:rPr>
                <w:sz w:val="2"/>
                <w:szCs w:val="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6.95</w:t>
            </w: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00" w:type="dxa"/>
            <w:vAlign w:val="bottom"/>
            <w:gridSpan w:val="3"/>
          </w:tcPr>
          <w:p>
            <w:pPr>
              <w:jc w:val="center"/>
              <w:ind w:right="200"/>
              <w:spacing w:after="0" w:line="159" w:lineRule="exact"/>
              <w:rPr>
                <w:sz w:val="20"/>
                <w:szCs w:val="20"/>
                <w:color w:val="auto"/>
              </w:rPr>
            </w:pPr>
            <w:r>
              <w:rPr>
                <w:rFonts w:ascii="Arial" w:cs="Arial" w:eastAsia="Arial" w:hAnsi="Arial"/>
                <w:sz w:val="14"/>
                <w:szCs w:val="14"/>
                <w:color w:val="auto"/>
                <w:w w:val="94"/>
              </w:rPr>
              <w:t>EDUCATION &amp; CHILDCARE</w:t>
            </w:r>
          </w:p>
        </w:tc>
        <w:tc>
          <w:tcPr>
            <w:tcW w:w="5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w:t>
            </w:r>
            <w:r>
              <w:rPr>
                <w:rFonts w:ascii="Arial" w:cs="Arial" w:eastAsia="Arial" w:hAnsi="Arial"/>
                <w:sz w:val="11"/>
                <w:szCs w:val="11"/>
                <w:color w:val="auto"/>
              </w:rPr>
              <w:t>UGHES</w:t>
            </w:r>
            <w:r>
              <w:rPr>
                <w:rFonts w:ascii="Arial" w:cs="Arial" w:eastAsia="Arial" w:hAnsi="Arial"/>
                <w:sz w:val="14"/>
                <w:szCs w:val="14"/>
                <w:color w:val="auto"/>
              </w:rPr>
              <w:t xml:space="preserve"> N</w:t>
            </w:r>
            <w:r>
              <w:rPr>
                <w:rFonts w:ascii="Arial" w:cs="Arial" w:eastAsia="Arial" w:hAnsi="Arial"/>
                <w:sz w:val="11"/>
                <w:szCs w:val="11"/>
                <w:color w:val="auto"/>
              </w:rPr>
              <w:t>ETWORK</w:t>
            </w:r>
            <w:r>
              <w:rPr>
                <w:rFonts w:ascii="Arial" w:cs="Arial" w:eastAsia="Arial" w:hAnsi="Arial"/>
                <w:sz w:val="14"/>
                <w:szCs w:val="14"/>
                <w:color w:val="auto"/>
              </w:rPr>
              <w:t xml:space="preserve"> S</w:t>
            </w:r>
            <w:r>
              <w:rPr>
                <w:rFonts w:ascii="Arial" w:cs="Arial" w:eastAsia="Arial" w:hAnsi="Arial"/>
                <w:sz w:val="11"/>
                <w:szCs w:val="11"/>
                <w:color w:val="auto"/>
              </w:rPr>
              <w:t>YSTEMS</w:t>
            </w:r>
            <w:r>
              <w:rPr>
                <w:rFonts w:ascii="Arial" w:cs="Arial" w:eastAsia="Arial" w:hAnsi="Arial"/>
                <w:sz w:val="14"/>
                <w:szCs w:val="14"/>
                <w:color w:val="auto"/>
              </w:rPr>
              <w:t>, L.L.C.</w:t>
            </w:r>
          </w:p>
        </w:tc>
        <w:tc>
          <w:tcPr>
            <w:tcW w:w="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04/15/2014</w:t>
            </w:r>
          </w:p>
        </w:tc>
        <w:tc>
          <w:tcPr>
            <w:tcW w:w="23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TELECOMMUNICATIONS</w:t>
            </w:r>
          </w:p>
        </w:tc>
        <w:tc>
          <w:tcPr>
            <w:tcW w:w="9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8.06%</w:t>
            </w: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L+250</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5,000,000</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5,000,000</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4,625,000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480" w:type="dxa"/>
            <w:vAlign w:val="bottom"/>
            <w:gridSpan w:val="2"/>
          </w:tcPr>
          <w:p>
            <w:pPr>
              <w:spacing w:after="0"/>
              <w:rPr>
                <w:sz w:val="20"/>
                <w:szCs w:val="20"/>
                <w:color w:val="auto"/>
              </w:rPr>
            </w:pPr>
            <w:r>
              <w:rPr>
                <w:rFonts w:ascii="Arial" w:cs="Arial" w:eastAsia="Arial" w:hAnsi="Arial"/>
                <w:sz w:val="14"/>
                <w:szCs w:val="14"/>
                <w:color w:val="auto"/>
              </w:rPr>
              <w:t>J</w:t>
            </w:r>
            <w:r>
              <w:rPr>
                <w:rFonts w:ascii="Arial" w:cs="Arial" w:eastAsia="Arial" w:hAnsi="Arial"/>
                <w:sz w:val="11"/>
                <w:szCs w:val="11"/>
                <w:color w:val="auto"/>
              </w:rPr>
              <w:t>ACUZZI</w:t>
            </w:r>
            <w:r>
              <w:rPr>
                <w:rFonts w:ascii="Arial" w:cs="Arial" w:eastAsia="Arial" w:hAnsi="Arial"/>
                <w:sz w:val="14"/>
                <w:szCs w:val="14"/>
                <w:color w:val="auto"/>
              </w:rPr>
              <w:t xml:space="preserve"> B</w:t>
            </w:r>
            <w:r>
              <w:rPr>
                <w:rFonts w:ascii="Arial" w:cs="Arial" w:eastAsia="Arial" w:hAnsi="Arial"/>
                <w:sz w:val="11"/>
                <w:szCs w:val="11"/>
                <w:color w:val="auto"/>
              </w:rPr>
              <w:t>RANDS</w:t>
            </w:r>
            <w:r>
              <w:rPr>
                <w:rFonts w:ascii="Arial" w:cs="Arial" w:eastAsia="Arial" w:hAnsi="Arial"/>
                <w:sz w:val="14"/>
                <w:szCs w:val="14"/>
                <w:color w:val="auto"/>
              </w:rPr>
              <w:t xml:space="preserve"> C</w:t>
            </w:r>
            <w:r>
              <w:rPr>
                <w:rFonts w:ascii="Arial" w:cs="Arial" w:eastAsia="Arial" w:hAnsi="Arial"/>
                <w:sz w:val="11"/>
                <w:szCs w:val="11"/>
                <w:color w:val="auto"/>
              </w:rPr>
              <w:t>ORP</w:t>
            </w: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color w:val="auto"/>
              </w:rPr>
              <w:t>02/07/2014</w:t>
            </w:r>
          </w:p>
        </w:tc>
        <w:tc>
          <w:tcPr>
            <w:tcW w:w="2300" w:type="dxa"/>
            <w:vAlign w:val="bottom"/>
            <w:gridSpan w:val="3"/>
            <w:vMerge w:val="restart"/>
          </w:tcPr>
          <w:p>
            <w:pPr>
              <w:jc w:val="center"/>
              <w:ind w:right="200"/>
              <w:spacing w:after="0"/>
              <w:rPr>
                <w:sz w:val="20"/>
                <w:szCs w:val="20"/>
                <w:color w:val="auto"/>
              </w:rPr>
            </w:pPr>
            <w:r>
              <w:rPr>
                <w:rFonts w:ascii="Arial" w:cs="Arial" w:eastAsia="Arial" w:hAnsi="Arial"/>
                <w:sz w:val="14"/>
                <w:szCs w:val="14"/>
                <w:color w:val="auto"/>
                <w:w w:val="92"/>
              </w:rPr>
              <w:t>HOME &amp; OFFICE</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7.44</w:t>
            </w:r>
          </w:p>
        </w:tc>
        <w:tc>
          <w:tcPr>
            <w:tcW w:w="340" w:type="dxa"/>
            <w:vAlign w:val="bottom"/>
          </w:tcPr>
          <w:p>
            <w:pPr>
              <w:jc w:val="right"/>
              <w:ind w:right="178"/>
              <w:spacing w:after="0"/>
              <w:rPr>
                <w:sz w:val="20"/>
                <w:szCs w:val="20"/>
                <w:color w:val="auto"/>
              </w:rPr>
            </w:pPr>
            <w:r>
              <w:rPr>
                <w:rFonts w:ascii="Arial" w:cs="Arial" w:eastAsia="Arial" w:hAnsi="Arial"/>
                <w:sz w:val="12"/>
                <w:szCs w:val="12"/>
                <w:color w:val="auto"/>
                <w:w w:val="74"/>
              </w:rPr>
              <w:t>%</w:t>
            </w:r>
          </w:p>
        </w:tc>
        <w:tc>
          <w:tcPr>
            <w:tcW w:w="880" w:type="dxa"/>
            <w:vAlign w:val="bottom"/>
            <w:gridSpan w:val="2"/>
          </w:tcPr>
          <w:p>
            <w:pPr>
              <w:ind w:left="420"/>
              <w:spacing w:after="0"/>
              <w:rPr>
                <w:sz w:val="20"/>
                <w:szCs w:val="20"/>
                <w:color w:val="auto"/>
              </w:rPr>
            </w:pPr>
            <w:r>
              <w:rPr>
                <w:rFonts w:ascii="Arial" w:cs="Arial" w:eastAsia="Arial" w:hAnsi="Arial"/>
                <w:sz w:val="14"/>
                <w:szCs w:val="14"/>
                <w:color w:val="auto"/>
              </w:rPr>
              <w:t>L+225</w:t>
            </w:r>
          </w:p>
        </w:tc>
        <w:tc>
          <w:tcPr>
            <w:tcW w:w="1020" w:type="dxa"/>
            <w:vAlign w:val="bottom"/>
            <w:gridSpan w:val="3"/>
          </w:tcPr>
          <w:p>
            <w:pPr>
              <w:jc w:val="right"/>
              <w:ind w:right="100"/>
              <w:spacing w:after="0"/>
              <w:rPr>
                <w:sz w:val="20"/>
                <w:szCs w:val="20"/>
                <w:color w:val="auto"/>
              </w:rPr>
            </w:pPr>
            <w:r>
              <w:rPr>
                <w:rFonts w:ascii="Arial" w:cs="Arial" w:eastAsia="Arial" w:hAnsi="Arial"/>
                <w:sz w:val="14"/>
                <w:szCs w:val="14"/>
                <w:color w:val="auto"/>
              </w:rPr>
              <w:t>9,963,514</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9,963,514</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8,947,235</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gridSpan w:val="3"/>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3"/>
              </w:rPr>
              <w:t>FURNISHINGS,</w:t>
            </w:r>
          </w:p>
        </w:tc>
        <w:tc>
          <w:tcPr>
            <w:tcW w:w="5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2"/>
              </w:rPr>
              <w:t>HOUSEWARES &amp;</w:t>
            </w: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3"/>
          </w:tcPr>
          <w:p>
            <w:pPr>
              <w:jc w:val="center"/>
              <w:ind w:right="200"/>
              <w:spacing w:after="0"/>
              <w:rPr>
                <w:sz w:val="20"/>
                <w:szCs w:val="20"/>
                <w:color w:val="auto"/>
              </w:rPr>
            </w:pPr>
            <w:r>
              <w:rPr>
                <w:rFonts w:ascii="Arial" w:cs="Arial" w:eastAsia="Arial" w:hAnsi="Arial"/>
                <w:sz w:val="14"/>
                <w:szCs w:val="14"/>
                <w:color w:val="auto"/>
                <w:w w:val="92"/>
              </w:rPr>
              <w:t>DURABLES</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w:t>
            </w:r>
            <w:r>
              <w:rPr>
                <w:rFonts w:ascii="Arial" w:cs="Arial" w:eastAsia="Arial" w:hAnsi="Arial"/>
                <w:sz w:val="11"/>
                <w:szCs w:val="11"/>
                <w:color w:val="auto"/>
              </w:rPr>
              <w:t>EVEL</w:t>
            </w:r>
            <w:r>
              <w:rPr>
                <w:rFonts w:ascii="Arial" w:cs="Arial" w:eastAsia="Arial" w:hAnsi="Arial"/>
                <w:sz w:val="14"/>
                <w:szCs w:val="14"/>
                <w:color w:val="auto"/>
              </w:rPr>
              <w:t xml:space="preserve"> 3 F</w:t>
            </w:r>
            <w:r>
              <w:rPr>
                <w:rFonts w:ascii="Arial" w:cs="Arial" w:eastAsia="Arial" w:hAnsi="Arial"/>
                <w:sz w:val="11"/>
                <w:szCs w:val="11"/>
                <w:color w:val="auto"/>
              </w:rPr>
              <w:t>INANCING</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03/13/2014</w:t>
            </w:r>
          </w:p>
        </w:tc>
        <w:tc>
          <w:tcPr>
            <w:tcW w:w="23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TELECOMMUNICATIONS</w:t>
            </w:r>
          </w:p>
        </w:tc>
        <w:tc>
          <w:tcPr>
            <w:tcW w:w="9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7.61%</w:t>
            </w: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L+225</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2,000,000</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2,000,000</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1,939,642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tcPr>
          <w:p>
            <w:pPr>
              <w:spacing w:after="0" w:line="149" w:lineRule="exact"/>
              <w:rPr>
                <w:sz w:val="20"/>
                <w:szCs w:val="20"/>
                <w:color w:val="auto"/>
              </w:rPr>
            </w:pPr>
            <w:r>
              <w:rPr>
                <w:rFonts w:ascii="Arial" w:cs="Arial" w:eastAsia="Arial" w:hAnsi="Arial"/>
                <w:sz w:val="14"/>
                <w:szCs w:val="14"/>
                <w:color w:val="auto"/>
              </w:rPr>
              <w:t>L</w:t>
            </w:r>
            <w:r>
              <w:rPr>
                <w:rFonts w:ascii="Arial" w:cs="Arial" w:eastAsia="Arial" w:hAnsi="Arial"/>
                <w:sz w:val="11"/>
                <w:szCs w:val="11"/>
                <w:color w:val="auto"/>
              </w:rPr>
              <w:t>EVLAD</w:t>
            </w:r>
            <w:r>
              <w:rPr>
                <w:rFonts w:ascii="Arial" w:cs="Arial" w:eastAsia="Arial" w:hAnsi="Arial"/>
                <w:sz w:val="14"/>
                <w:szCs w:val="14"/>
                <w:color w:val="auto"/>
              </w:rPr>
              <w:t>, L.L.C.</w:t>
            </w: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03/08/2014</w:t>
            </w:r>
          </w:p>
        </w:tc>
        <w:tc>
          <w:tcPr>
            <w:tcW w:w="23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1"/>
              </w:rPr>
              <w:t>CONSUMER PRODUCTS</w:t>
            </w:r>
          </w:p>
        </w:tc>
        <w:tc>
          <w:tcPr>
            <w:tcW w:w="900" w:type="dxa"/>
            <w:vAlign w:val="bottom"/>
            <w:gridSpan w:val="2"/>
          </w:tcPr>
          <w:p>
            <w:pPr>
              <w:jc w:val="right"/>
              <w:ind w:right="178"/>
              <w:spacing w:after="0" w:line="149" w:lineRule="exact"/>
              <w:rPr>
                <w:sz w:val="20"/>
                <w:szCs w:val="20"/>
                <w:color w:val="auto"/>
              </w:rPr>
            </w:pPr>
            <w:r>
              <w:rPr>
                <w:rFonts w:ascii="Arial" w:cs="Arial" w:eastAsia="Arial" w:hAnsi="Arial"/>
                <w:sz w:val="14"/>
                <w:szCs w:val="14"/>
                <w:color w:val="auto"/>
              </w:rPr>
              <w:t>7.58%</w:t>
            </w:r>
          </w:p>
        </w:tc>
        <w:tc>
          <w:tcPr>
            <w:tcW w:w="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L+225</w:t>
            </w:r>
          </w:p>
        </w:tc>
        <w:tc>
          <w:tcPr>
            <w:tcW w:w="10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4,842,920</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4,842,920</w:t>
            </w: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3,357,757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w:t>
            </w:r>
            <w:r>
              <w:rPr>
                <w:rFonts w:ascii="Arial" w:cs="Arial" w:eastAsia="Arial" w:hAnsi="Arial"/>
                <w:sz w:val="11"/>
                <w:szCs w:val="11"/>
                <w:color w:val="auto"/>
              </w:rPr>
              <w:t>ONGVIEW</w:t>
            </w:r>
            <w:r>
              <w:rPr>
                <w:rFonts w:ascii="Arial" w:cs="Arial" w:eastAsia="Arial" w:hAnsi="Arial"/>
                <w:sz w:val="14"/>
                <w:szCs w:val="14"/>
                <w:color w:val="auto"/>
              </w:rPr>
              <w:t xml:space="preserve"> P</w:t>
            </w:r>
            <w:r>
              <w:rPr>
                <w:rFonts w:ascii="Arial" w:cs="Arial" w:eastAsia="Arial" w:hAnsi="Arial"/>
                <w:sz w:val="11"/>
                <w:szCs w:val="11"/>
                <w:color w:val="auto"/>
              </w:rPr>
              <w:t>OWER</w:t>
            </w:r>
            <w:r>
              <w:rPr>
                <w:rFonts w:ascii="Arial" w:cs="Arial" w:eastAsia="Arial" w:hAnsi="Arial"/>
                <w:sz w:val="14"/>
                <w:szCs w:val="14"/>
                <w:color w:val="auto"/>
              </w:rPr>
              <w:t>, L.L.C.</w:t>
            </w:r>
          </w:p>
        </w:tc>
        <w:tc>
          <w:tcPr>
            <w:tcW w:w="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02/28/2014</w:t>
            </w:r>
          </w:p>
        </w:tc>
        <w:tc>
          <w:tcPr>
            <w:tcW w:w="23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UTILITIES</w:t>
            </w:r>
          </w:p>
        </w:tc>
        <w:tc>
          <w:tcPr>
            <w:tcW w:w="9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7.56%</w:t>
            </w: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L+225</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2,020,000</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2,020,000</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1,939,200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80" w:type="dxa"/>
            <w:vAlign w:val="bottom"/>
            <w:gridSpan w:val="2"/>
          </w:tcPr>
          <w:p>
            <w:pPr>
              <w:spacing w:after="0" w:line="176" w:lineRule="exact"/>
              <w:rPr>
                <w:sz w:val="20"/>
                <w:szCs w:val="20"/>
                <w:color w:val="auto"/>
              </w:rPr>
            </w:pPr>
            <w:r>
              <w:rPr>
                <w:rFonts w:ascii="Arial" w:cs="Arial" w:eastAsia="Arial" w:hAnsi="Arial"/>
                <w:sz w:val="13"/>
                <w:szCs w:val="13"/>
                <w:color w:val="auto"/>
              </w:rPr>
              <w:t>L</w:t>
            </w:r>
            <w:r>
              <w:rPr>
                <w:rFonts w:ascii="Arial" w:cs="Arial" w:eastAsia="Arial" w:hAnsi="Arial"/>
                <w:sz w:val="10"/>
                <w:szCs w:val="10"/>
                <w:color w:val="auto"/>
              </w:rPr>
              <w:t>ONGVIEW</w:t>
            </w:r>
            <w:r>
              <w:rPr>
                <w:rFonts w:ascii="Arial" w:cs="Arial" w:eastAsia="Arial" w:hAnsi="Arial"/>
                <w:sz w:val="13"/>
                <w:szCs w:val="13"/>
                <w:color w:val="auto"/>
              </w:rPr>
              <w:t xml:space="preserve"> P</w:t>
            </w:r>
            <w:r>
              <w:rPr>
                <w:rFonts w:ascii="Arial" w:cs="Arial" w:eastAsia="Arial" w:hAnsi="Arial"/>
                <w:sz w:val="10"/>
                <w:szCs w:val="10"/>
                <w:color w:val="auto"/>
              </w:rPr>
              <w:t>OWER</w:t>
            </w:r>
            <w:r>
              <w:rPr>
                <w:rFonts w:ascii="Arial" w:cs="Arial" w:eastAsia="Arial" w:hAnsi="Arial"/>
                <w:sz w:val="13"/>
                <w:szCs w:val="13"/>
                <w:color w:val="auto"/>
              </w:rPr>
              <w:t>, L.L.C.</w:t>
            </w:r>
            <w:r>
              <w:rPr>
                <w:rFonts w:ascii="Arial" w:cs="Arial" w:eastAsia="Arial" w:hAnsi="Arial"/>
                <w:sz w:val="20"/>
                <w:szCs w:val="20"/>
                <w:color w:val="auto"/>
                <w:vertAlign w:val="superscript"/>
              </w:rPr>
              <w:t>(4)</w:t>
            </w:r>
          </w:p>
        </w:tc>
        <w:tc>
          <w:tcPr>
            <w:tcW w:w="840" w:type="dxa"/>
            <w:vAlign w:val="bottom"/>
            <w:gridSpan w:val="2"/>
          </w:tcPr>
          <w:p>
            <w:pPr>
              <w:ind w:left="20"/>
              <w:spacing w:after="0"/>
              <w:rPr>
                <w:sz w:val="20"/>
                <w:szCs w:val="20"/>
                <w:color w:val="auto"/>
              </w:rPr>
            </w:pPr>
            <w:r>
              <w:rPr>
                <w:rFonts w:ascii="Arial" w:cs="Arial" w:eastAsia="Arial" w:hAnsi="Arial"/>
                <w:sz w:val="14"/>
                <w:szCs w:val="14"/>
                <w:color w:val="auto"/>
              </w:rPr>
              <w:t>02/28/2014</w:t>
            </w:r>
          </w:p>
        </w:tc>
        <w:tc>
          <w:tcPr>
            <w:tcW w:w="2300" w:type="dxa"/>
            <w:vAlign w:val="bottom"/>
            <w:gridSpan w:val="3"/>
          </w:tcPr>
          <w:p>
            <w:pPr>
              <w:jc w:val="center"/>
              <w:ind w:right="200"/>
              <w:spacing w:after="0"/>
              <w:rPr>
                <w:sz w:val="20"/>
                <w:szCs w:val="20"/>
                <w:color w:val="auto"/>
              </w:rPr>
            </w:pPr>
            <w:r>
              <w:rPr>
                <w:rFonts w:ascii="Arial" w:cs="Arial" w:eastAsia="Arial" w:hAnsi="Arial"/>
                <w:sz w:val="14"/>
                <w:szCs w:val="14"/>
                <w:color w:val="auto"/>
                <w:w w:val="94"/>
              </w:rPr>
              <w:t>UTILITIES</w:t>
            </w: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4"/>
                <w:szCs w:val="14"/>
                <w:color w:val="auto"/>
              </w:rPr>
              <w:t>980,000</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980,000</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940,800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w:t>
            </w:r>
            <w:r>
              <w:rPr>
                <w:rFonts w:ascii="Arial" w:cs="Arial" w:eastAsia="Arial" w:hAnsi="Arial"/>
                <w:sz w:val="11"/>
                <w:szCs w:val="11"/>
                <w:color w:val="auto"/>
              </w:rPr>
              <w:t>ACH</w:t>
            </w:r>
            <w:r>
              <w:rPr>
                <w:rFonts w:ascii="Arial" w:cs="Arial" w:eastAsia="Arial" w:hAnsi="Arial"/>
                <w:sz w:val="14"/>
                <w:szCs w:val="14"/>
                <w:color w:val="auto"/>
              </w:rPr>
              <w:t xml:space="preserve"> G</w:t>
            </w:r>
            <w:r>
              <w:rPr>
                <w:rFonts w:ascii="Arial" w:cs="Arial" w:eastAsia="Arial" w:hAnsi="Arial"/>
                <w:sz w:val="11"/>
                <w:szCs w:val="11"/>
                <w:color w:val="auto"/>
              </w:rPr>
              <w:t>EN</w:t>
            </w:r>
            <w:r>
              <w:rPr>
                <w:rFonts w:ascii="Arial" w:cs="Arial" w:eastAsia="Arial" w:hAnsi="Arial"/>
                <w:sz w:val="14"/>
                <w:szCs w:val="14"/>
                <w:color w:val="auto"/>
              </w:rPr>
              <w:t>, L.L.C.</w:t>
            </w:r>
          </w:p>
        </w:tc>
        <w:tc>
          <w:tcPr>
            <w:tcW w:w="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02/22/2014</w:t>
            </w:r>
          </w:p>
        </w:tc>
        <w:tc>
          <w:tcPr>
            <w:tcW w:w="23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UTILITIES</w:t>
            </w:r>
          </w:p>
        </w:tc>
        <w:tc>
          <w:tcPr>
            <w:tcW w:w="9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7.34%</w:t>
            </w: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L+200</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3,972,813</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3,971,545</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3,845,683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80" w:type="dxa"/>
            <w:vAlign w:val="bottom"/>
            <w:gridSpan w:val="2"/>
          </w:tcPr>
          <w:p>
            <w:pPr>
              <w:spacing w:after="0"/>
              <w:rPr>
                <w:sz w:val="20"/>
                <w:szCs w:val="20"/>
                <w:color w:val="auto"/>
              </w:rPr>
            </w:pPr>
            <w:r>
              <w:rPr>
                <w:rFonts w:ascii="Arial" w:cs="Arial" w:eastAsia="Arial" w:hAnsi="Arial"/>
                <w:sz w:val="14"/>
                <w:szCs w:val="14"/>
                <w:color w:val="auto"/>
              </w:rPr>
              <w:t>M</w:t>
            </w:r>
            <w:r>
              <w:rPr>
                <w:rFonts w:ascii="Arial" w:cs="Arial" w:eastAsia="Arial" w:hAnsi="Arial"/>
                <w:sz w:val="11"/>
                <w:szCs w:val="11"/>
                <w:color w:val="auto"/>
              </w:rPr>
              <w:t>ATTRESS</w:t>
            </w:r>
            <w:r>
              <w:rPr>
                <w:rFonts w:ascii="Arial" w:cs="Arial" w:eastAsia="Arial" w:hAnsi="Arial"/>
                <w:sz w:val="14"/>
                <w:szCs w:val="14"/>
                <w:color w:val="auto"/>
              </w:rPr>
              <w:t xml:space="preserve"> H</w:t>
            </w:r>
            <w:r>
              <w:rPr>
                <w:rFonts w:ascii="Arial" w:cs="Arial" w:eastAsia="Arial" w:hAnsi="Arial"/>
                <w:sz w:val="11"/>
                <w:szCs w:val="11"/>
                <w:color w:val="auto"/>
              </w:rPr>
              <w:t>OLDING</w:t>
            </w:r>
            <w:r>
              <w:rPr>
                <w:rFonts w:ascii="Arial" w:cs="Arial" w:eastAsia="Arial" w:hAnsi="Arial"/>
                <w:sz w:val="14"/>
                <w:szCs w:val="14"/>
                <w:color w:val="auto"/>
              </w:rPr>
              <w:t xml:space="preserve"> C</w:t>
            </w:r>
            <w:r>
              <w:rPr>
                <w:rFonts w:ascii="Arial" w:cs="Arial" w:eastAsia="Arial" w:hAnsi="Arial"/>
                <w:sz w:val="11"/>
                <w:szCs w:val="11"/>
                <w:color w:val="auto"/>
              </w:rPr>
              <w:t>ORP</w:t>
            </w: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color w:val="auto"/>
              </w:rPr>
              <w:t>01/18/2014</w:t>
            </w:r>
          </w:p>
        </w:tc>
        <w:tc>
          <w:tcPr>
            <w:tcW w:w="2300" w:type="dxa"/>
            <w:vAlign w:val="bottom"/>
            <w:gridSpan w:val="3"/>
          </w:tcPr>
          <w:p>
            <w:pPr>
              <w:jc w:val="center"/>
              <w:ind w:right="200"/>
              <w:spacing w:after="0"/>
              <w:rPr>
                <w:sz w:val="20"/>
                <w:szCs w:val="20"/>
                <w:color w:val="auto"/>
              </w:rPr>
            </w:pPr>
            <w:r>
              <w:rPr>
                <w:rFonts w:ascii="Arial" w:cs="Arial" w:eastAsia="Arial" w:hAnsi="Arial"/>
                <w:sz w:val="14"/>
                <w:szCs w:val="14"/>
                <w:color w:val="auto"/>
                <w:w w:val="92"/>
              </w:rPr>
              <w:t>HOME &amp; OFFICE</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7.61</w:t>
            </w:r>
          </w:p>
        </w:tc>
        <w:tc>
          <w:tcPr>
            <w:tcW w:w="340" w:type="dxa"/>
            <w:vAlign w:val="bottom"/>
          </w:tcPr>
          <w:p>
            <w:pPr>
              <w:jc w:val="right"/>
              <w:ind w:right="178"/>
              <w:spacing w:after="0"/>
              <w:rPr>
                <w:sz w:val="20"/>
                <w:szCs w:val="20"/>
                <w:color w:val="auto"/>
              </w:rPr>
            </w:pPr>
            <w:r>
              <w:rPr>
                <w:rFonts w:ascii="Arial" w:cs="Arial" w:eastAsia="Arial" w:hAnsi="Arial"/>
                <w:sz w:val="12"/>
                <w:szCs w:val="12"/>
                <w:color w:val="auto"/>
                <w:w w:val="74"/>
              </w:rPr>
              <w:t>%</w:t>
            </w:r>
          </w:p>
        </w:tc>
        <w:tc>
          <w:tcPr>
            <w:tcW w:w="880" w:type="dxa"/>
            <w:vAlign w:val="bottom"/>
            <w:gridSpan w:val="2"/>
          </w:tcPr>
          <w:p>
            <w:pPr>
              <w:ind w:left="420"/>
              <w:spacing w:after="0"/>
              <w:rPr>
                <w:sz w:val="20"/>
                <w:szCs w:val="20"/>
                <w:color w:val="auto"/>
              </w:rPr>
            </w:pPr>
            <w:r>
              <w:rPr>
                <w:rFonts w:ascii="Arial" w:cs="Arial" w:eastAsia="Arial" w:hAnsi="Arial"/>
                <w:sz w:val="14"/>
                <w:szCs w:val="14"/>
                <w:color w:val="auto"/>
              </w:rPr>
              <w:t>L+225</w:t>
            </w:r>
          </w:p>
        </w:tc>
        <w:tc>
          <w:tcPr>
            <w:tcW w:w="1020" w:type="dxa"/>
            <w:vAlign w:val="bottom"/>
            <w:gridSpan w:val="3"/>
          </w:tcPr>
          <w:p>
            <w:pPr>
              <w:jc w:val="right"/>
              <w:ind w:right="100"/>
              <w:spacing w:after="0"/>
              <w:rPr>
                <w:sz w:val="20"/>
                <w:szCs w:val="20"/>
                <w:color w:val="auto"/>
              </w:rPr>
            </w:pPr>
            <w:r>
              <w:rPr>
                <w:rFonts w:ascii="Arial" w:cs="Arial" w:eastAsia="Arial" w:hAnsi="Arial"/>
                <w:sz w:val="14"/>
                <w:szCs w:val="14"/>
                <w:color w:val="auto"/>
              </w:rPr>
              <w:t>3,990,000</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3,990,000</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3,740,625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3"/>
              </w:rPr>
              <w:t>FURNISHINGS,</w:t>
            </w:r>
          </w:p>
        </w:tc>
        <w:tc>
          <w:tcPr>
            <w:tcW w:w="5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2"/>
              </w:rPr>
              <w:t>HOUSEWARES &amp;</w:t>
            </w: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3"/>
          </w:tcPr>
          <w:p>
            <w:pPr>
              <w:jc w:val="center"/>
              <w:ind w:right="200"/>
              <w:spacing w:after="0"/>
              <w:rPr>
                <w:sz w:val="20"/>
                <w:szCs w:val="20"/>
                <w:color w:val="auto"/>
              </w:rPr>
            </w:pPr>
            <w:r>
              <w:rPr>
                <w:rFonts w:ascii="Arial" w:cs="Arial" w:eastAsia="Arial" w:hAnsi="Arial"/>
                <w:sz w:val="14"/>
                <w:szCs w:val="14"/>
                <w:color w:val="auto"/>
                <w:w w:val="92"/>
              </w:rPr>
              <w:t>DURABLES</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w:t>
            </w:r>
            <w:r>
              <w:rPr>
                <w:rFonts w:ascii="Arial" w:cs="Arial" w:eastAsia="Arial" w:hAnsi="Arial"/>
                <w:sz w:val="11"/>
                <w:szCs w:val="11"/>
                <w:color w:val="auto"/>
              </w:rPr>
              <w:t>C</w:t>
            </w:r>
            <w:r>
              <w:rPr>
                <w:rFonts w:ascii="Arial" w:cs="Arial" w:eastAsia="Arial" w:hAnsi="Arial"/>
                <w:sz w:val="14"/>
                <w:szCs w:val="14"/>
                <w:color w:val="auto"/>
              </w:rPr>
              <w:t>J</w:t>
            </w:r>
            <w:r>
              <w:rPr>
                <w:rFonts w:ascii="Arial" w:cs="Arial" w:eastAsia="Arial" w:hAnsi="Arial"/>
                <w:sz w:val="11"/>
                <w:szCs w:val="11"/>
                <w:color w:val="auto"/>
              </w:rPr>
              <w:t>UNKIN</w:t>
            </w:r>
            <w:r>
              <w:rPr>
                <w:rFonts w:ascii="Arial" w:cs="Arial" w:eastAsia="Arial" w:hAnsi="Arial"/>
                <w:sz w:val="14"/>
                <w:szCs w:val="14"/>
                <w:color w:val="auto"/>
              </w:rPr>
              <w:t xml:space="preserve"> C</w:t>
            </w:r>
            <w:r>
              <w:rPr>
                <w:rFonts w:ascii="Arial" w:cs="Arial" w:eastAsia="Arial" w:hAnsi="Arial"/>
                <w:sz w:val="11"/>
                <w:szCs w:val="11"/>
                <w:color w:val="auto"/>
              </w:rPr>
              <w:t>ORP</w:t>
            </w:r>
            <w:r>
              <w:rPr>
                <w:rFonts w:ascii="Arial" w:cs="Arial" w:eastAsia="Arial" w:hAnsi="Arial"/>
                <w:sz w:val="14"/>
                <w:szCs w:val="14"/>
                <w:color w:val="auto"/>
              </w:rPr>
              <w:t>.</w:t>
            </w:r>
          </w:p>
        </w:tc>
        <w:tc>
          <w:tcPr>
            <w:tcW w:w="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01/31/2014</w:t>
            </w:r>
          </w:p>
        </w:tc>
        <w:tc>
          <w:tcPr>
            <w:tcW w:w="23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OIL &amp; GAS</w:t>
            </w:r>
          </w:p>
        </w:tc>
        <w:tc>
          <w:tcPr>
            <w:tcW w:w="9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7.45%</w:t>
            </w: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L+225</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982,525</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982,525</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965,331</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PENNANTPARK INVESTMENT CORPORATION</w:t>
      </w:r>
    </w:p>
    <w:p>
      <w:pPr>
        <w:spacing w:after="0" w:line="9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SCHEDULE OF INVESTMENTS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Basis Point</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Spread</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r>
              <w:rPr>
                <w:rFonts w:ascii="Arial" w:cs="Arial" w:eastAsia="Arial" w:hAnsi="Arial"/>
                <w:sz w:val="22"/>
                <w:szCs w:val="22"/>
                <w:b w:val="1"/>
                <w:bCs w:val="1"/>
                <w:color w:val="auto"/>
                <w:vertAlign w:val="superscript"/>
              </w:rPr>
              <w:t>(1)</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Current</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Above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22"/>
                <w:szCs w:val="22"/>
                <w:b w:val="1"/>
                <w:bCs w:val="1"/>
                <w:color w:val="auto"/>
                <w:w w:val="93"/>
                <w:vertAlign w:val="superscript"/>
              </w:rPr>
              <w:t>(2)</w:t>
            </w:r>
          </w:p>
        </w:tc>
        <w:tc>
          <w:tcPr>
            <w:tcW w:w="0" w:type="dxa"/>
            <w:vAlign w:val="bottom"/>
          </w:tcPr>
          <w:p>
            <w:pPr>
              <w:spacing w:after="0"/>
              <w:rPr>
                <w:sz w:val="1"/>
                <w:szCs w:val="1"/>
                <w:color w:val="auto"/>
              </w:rPr>
            </w:pPr>
          </w:p>
        </w:tc>
      </w:tr>
      <w:tr>
        <w:trPr>
          <w:trHeight w:val="176"/>
        </w:trPr>
        <w:tc>
          <w:tcPr>
            <w:tcW w:w="3080" w:type="dxa"/>
            <w:vAlign w:val="bottom"/>
            <w:gridSpan w:val="3"/>
            <w:vMerge w:val="continue"/>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Maturity</w:t>
            </w:r>
          </w:p>
        </w:tc>
        <w:tc>
          <w:tcPr>
            <w:tcW w:w="740" w:type="dxa"/>
            <w:vAlign w:val="bottom"/>
          </w:tcPr>
          <w:p>
            <w:pPr>
              <w:spacing w:after="0"/>
              <w:rPr>
                <w:sz w:val="15"/>
                <w:szCs w:val="15"/>
                <w:color w:val="auto"/>
              </w:rPr>
            </w:pPr>
          </w:p>
        </w:tc>
        <w:tc>
          <w:tcPr>
            <w:tcW w:w="146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4"/>
              </w:rPr>
              <w:t>Industry</w:t>
            </w: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Coupon</w:t>
            </w:r>
          </w:p>
        </w:tc>
        <w:tc>
          <w:tcPr>
            <w:tcW w:w="1000" w:type="dxa"/>
            <w:vAlign w:val="bottom"/>
            <w:gridSpan w:val="2"/>
          </w:tcPr>
          <w:p>
            <w:pPr>
              <w:jc w:val="center"/>
              <w:ind w:right="22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(3)</w:t>
            </w:r>
          </w:p>
        </w:tc>
        <w:tc>
          <w:tcPr>
            <w:tcW w:w="160" w:type="dxa"/>
            <w:vAlign w:val="bottom"/>
          </w:tcPr>
          <w:p>
            <w:pPr>
              <w:spacing w:after="0"/>
              <w:rPr>
                <w:sz w:val="15"/>
                <w:szCs w:val="15"/>
                <w:color w:val="auto"/>
              </w:rPr>
            </w:pPr>
          </w:p>
        </w:tc>
        <w:tc>
          <w:tcPr>
            <w:tcW w:w="760" w:type="dxa"/>
            <w:vAlign w:val="bottom"/>
          </w:tcPr>
          <w:p>
            <w:pPr>
              <w:jc w:val="right"/>
              <w:ind w:right="292"/>
              <w:spacing w:after="0"/>
              <w:rPr>
                <w:sz w:val="20"/>
                <w:szCs w:val="20"/>
                <w:color w:val="auto"/>
              </w:rPr>
            </w:pPr>
            <w:r>
              <w:rPr>
                <w:rFonts w:ascii="Arial" w:cs="Arial" w:eastAsia="Arial" w:hAnsi="Arial"/>
                <w:sz w:val="14"/>
                <w:szCs w:val="14"/>
                <w:b w:val="1"/>
                <w:bCs w:val="1"/>
                <w:color w:val="auto"/>
              </w:rPr>
              <w:t>Par</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0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First Lien secured Debt—(continued)</w:t>
            </w: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M</w:t>
            </w:r>
            <w:r>
              <w:rPr>
                <w:rFonts w:ascii="Arial" w:cs="Arial" w:eastAsia="Arial" w:hAnsi="Arial"/>
                <w:sz w:val="11"/>
                <w:szCs w:val="11"/>
                <w:color w:val="auto"/>
              </w:rPr>
              <w:t>ITCHELL</w:t>
            </w:r>
            <w:r>
              <w:rPr>
                <w:rFonts w:ascii="Arial" w:cs="Arial" w:eastAsia="Arial" w:hAnsi="Arial"/>
                <w:sz w:val="14"/>
                <w:szCs w:val="14"/>
                <w:color w:val="auto"/>
              </w:rPr>
              <w:t xml:space="preserve"> I</w:t>
            </w:r>
            <w:r>
              <w:rPr>
                <w:rFonts w:ascii="Arial" w:cs="Arial" w:eastAsia="Arial" w:hAnsi="Arial"/>
                <w:sz w:val="11"/>
                <w:szCs w:val="11"/>
                <w:color w:val="auto"/>
              </w:rPr>
              <w:t>NTERNATIONAL</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03/28/2014</w:t>
            </w:r>
          </w:p>
        </w:tc>
        <w:tc>
          <w:tcPr>
            <w:tcW w:w="220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89"/>
              </w:rPr>
              <w:t>BUSINESS SERVICES</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7.20%</w:t>
            </w:r>
          </w:p>
        </w:tc>
        <w:tc>
          <w:tcPr>
            <w:tcW w:w="10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L+200</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3,980,000</w:t>
            </w:r>
          </w:p>
        </w:tc>
        <w:tc>
          <w:tcPr>
            <w:tcW w:w="3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3,980,000</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3,835,725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w:t>
            </w:r>
            <w:r>
              <w:rPr>
                <w:rFonts w:ascii="Arial" w:cs="Arial" w:eastAsia="Arial" w:hAnsi="Arial"/>
                <w:sz w:val="11"/>
                <w:szCs w:val="11"/>
                <w:color w:val="auto"/>
              </w:rPr>
              <w:t>ATIONAL</w:t>
            </w:r>
            <w:r>
              <w:rPr>
                <w:rFonts w:ascii="Arial" w:cs="Arial" w:eastAsia="Arial" w:hAnsi="Arial"/>
                <w:sz w:val="14"/>
                <w:szCs w:val="14"/>
                <w:color w:val="auto"/>
              </w:rPr>
              <w:t xml:space="preserve"> B</w:t>
            </w:r>
            <w:r>
              <w:rPr>
                <w:rFonts w:ascii="Arial" w:cs="Arial" w:eastAsia="Arial" w:hAnsi="Arial"/>
                <w:sz w:val="11"/>
                <w:szCs w:val="11"/>
                <w:color w:val="auto"/>
              </w:rPr>
              <w:t>EDDING</w:t>
            </w:r>
            <w:r>
              <w:rPr>
                <w:rFonts w:ascii="Arial" w:cs="Arial" w:eastAsia="Arial" w:hAnsi="Arial"/>
                <w:sz w:val="14"/>
                <w:szCs w:val="14"/>
                <w:color w:val="auto"/>
              </w:rPr>
              <w:t xml:space="preserve"> C</w:t>
            </w:r>
            <w:r>
              <w:rPr>
                <w:rFonts w:ascii="Arial" w:cs="Arial" w:eastAsia="Arial" w:hAnsi="Arial"/>
                <w:sz w:val="11"/>
                <w:szCs w:val="11"/>
                <w:color w:val="auto"/>
              </w:rPr>
              <w:t>O</w:t>
            </w:r>
            <w:r>
              <w:rPr>
                <w:rFonts w:ascii="Arial" w:cs="Arial" w:eastAsia="Arial" w:hAnsi="Arial"/>
                <w:sz w:val="14"/>
                <w:szCs w:val="14"/>
                <w:color w:val="auto"/>
              </w:rPr>
              <w:t>., L.L.C.</w:t>
            </w:r>
          </w:p>
        </w:tc>
        <w:tc>
          <w:tcPr>
            <w:tcW w:w="7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0"/>
              <w:spacing w:after="0" w:line="152" w:lineRule="exact"/>
              <w:rPr>
                <w:sz w:val="20"/>
                <w:szCs w:val="20"/>
                <w:color w:val="auto"/>
              </w:rPr>
            </w:pPr>
            <w:r>
              <w:rPr>
                <w:rFonts w:ascii="Arial" w:cs="Arial" w:eastAsia="Arial" w:hAnsi="Arial"/>
                <w:sz w:val="14"/>
                <w:szCs w:val="14"/>
                <w:color w:val="auto"/>
              </w:rPr>
              <w:t>08/31/2011</w:t>
            </w:r>
          </w:p>
        </w:tc>
        <w:tc>
          <w:tcPr>
            <w:tcW w:w="2200" w:type="dxa"/>
            <w:vAlign w:val="bottom"/>
            <w:gridSpan w:val="3"/>
            <w:shd w:val="clear" w:color="auto" w:fill="CCEEFF"/>
          </w:tcPr>
          <w:p>
            <w:pPr>
              <w:jc w:val="center"/>
              <w:ind w:right="200"/>
              <w:spacing w:after="0" w:line="152" w:lineRule="exact"/>
              <w:rPr>
                <w:sz w:val="20"/>
                <w:szCs w:val="20"/>
                <w:color w:val="auto"/>
              </w:rPr>
            </w:pPr>
            <w:r>
              <w:rPr>
                <w:rFonts w:ascii="Arial" w:cs="Arial" w:eastAsia="Arial" w:hAnsi="Arial"/>
                <w:sz w:val="14"/>
                <w:szCs w:val="14"/>
                <w:color w:val="auto"/>
                <w:w w:val="94"/>
              </w:rPr>
              <w:t>HOME &amp; OFFICE</w:t>
            </w:r>
          </w:p>
        </w:tc>
        <w:tc>
          <w:tcPr>
            <w:tcW w:w="960" w:type="dxa"/>
            <w:vAlign w:val="bottom"/>
            <w:gridSpan w:val="2"/>
            <w:shd w:val="clear" w:color="auto" w:fill="CCEEFF"/>
          </w:tcPr>
          <w:p>
            <w:pPr>
              <w:jc w:val="right"/>
              <w:ind w:right="260"/>
              <w:spacing w:after="0" w:line="152" w:lineRule="exact"/>
              <w:rPr>
                <w:sz w:val="20"/>
                <w:szCs w:val="20"/>
                <w:color w:val="auto"/>
              </w:rPr>
            </w:pPr>
            <w:r>
              <w:rPr>
                <w:rFonts w:ascii="Arial" w:cs="Arial" w:eastAsia="Arial" w:hAnsi="Arial"/>
                <w:sz w:val="14"/>
                <w:szCs w:val="14"/>
                <w:color w:val="auto"/>
              </w:rPr>
              <w:t>7.43%</w:t>
            </w:r>
          </w:p>
        </w:tc>
        <w:tc>
          <w:tcPr>
            <w:tcW w:w="1000" w:type="dxa"/>
            <w:vAlign w:val="bottom"/>
            <w:gridSpan w:val="2"/>
            <w:shd w:val="clear" w:color="auto" w:fill="CCEEFF"/>
          </w:tcPr>
          <w:p>
            <w:pPr>
              <w:ind w:left="420"/>
              <w:spacing w:after="0" w:line="152" w:lineRule="exact"/>
              <w:rPr>
                <w:sz w:val="20"/>
                <w:szCs w:val="20"/>
                <w:color w:val="auto"/>
              </w:rPr>
            </w:pPr>
            <w:r>
              <w:rPr>
                <w:rFonts w:ascii="Arial" w:cs="Arial" w:eastAsia="Arial" w:hAnsi="Arial"/>
                <w:sz w:val="14"/>
                <w:szCs w:val="14"/>
                <w:color w:val="auto"/>
              </w:rPr>
              <w:t>L+200</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6,965,000</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line="152" w:lineRule="exact"/>
              <w:rPr>
                <w:sz w:val="20"/>
                <w:szCs w:val="20"/>
                <w:color w:val="auto"/>
              </w:rPr>
            </w:pPr>
            <w:r>
              <w:rPr>
                <w:rFonts w:ascii="Arial" w:cs="Arial" w:eastAsia="Arial" w:hAnsi="Arial"/>
                <w:sz w:val="14"/>
                <w:szCs w:val="14"/>
                <w:color w:val="auto"/>
              </w:rPr>
              <w:t>6,971,653</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6,668,988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1"/>
              </w:rPr>
              <w:t>FURNISHINGS,</w:t>
            </w: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HOUSEWARES &amp;</w:t>
            </w: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95"/>
              </w:rPr>
              <w:t>DURABLES</w:t>
            </w:r>
          </w:p>
        </w:tc>
        <w:tc>
          <w:tcPr>
            <w:tcW w:w="5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ENTON</w:t>
            </w:r>
            <w:r>
              <w:rPr>
                <w:rFonts w:ascii="Arial" w:cs="Arial" w:eastAsia="Arial" w:hAnsi="Arial"/>
                <w:sz w:val="14"/>
                <w:szCs w:val="14"/>
                <w:color w:val="auto"/>
              </w:rPr>
              <w:t xml:space="preserve"> M</w:t>
            </w:r>
            <w:r>
              <w:rPr>
                <w:rFonts w:ascii="Arial" w:cs="Arial" w:eastAsia="Arial" w:hAnsi="Arial"/>
                <w:sz w:val="11"/>
                <w:szCs w:val="11"/>
                <w:color w:val="auto"/>
              </w:rPr>
              <w:t>EDIA</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02/01/2013</w:t>
            </w:r>
          </w:p>
        </w:tc>
        <w:tc>
          <w:tcPr>
            <w:tcW w:w="22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4"/>
              </w:rPr>
              <w:t>OTHER MEDIA</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7.59%</w:t>
            </w:r>
          </w:p>
        </w:tc>
        <w:tc>
          <w:tcPr>
            <w:tcW w:w="10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L+225</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4,975,000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4,975,000</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4,716,922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HILOSOPHY</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03/16/2014</w:t>
            </w:r>
          </w:p>
        </w:tc>
        <w:tc>
          <w:tcPr>
            <w:tcW w:w="22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CONSUMER PRODUCTS</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7.36%</w:t>
            </w:r>
          </w:p>
        </w:tc>
        <w:tc>
          <w:tcPr>
            <w:tcW w:w="10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L+200</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1,493,333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1,493,333</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1,344,000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ROQUEST</w:t>
            </w:r>
            <w:r>
              <w:rPr>
                <w:rFonts w:ascii="Arial" w:cs="Arial" w:eastAsia="Arial" w:hAnsi="Arial"/>
                <w:sz w:val="14"/>
                <w:szCs w:val="14"/>
                <w:color w:val="auto"/>
              </w:rPr>
              <w:t xml:space="preserve"> CSA, L.L.C.</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02/09/2014</w:t>
            </w:r>
          </w:p>
        </w:tc>
        <w:tc>
          <w:tcPr>
            <w:tcW w:w="22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2"/>
              </w:rPr>
              <w:t>EDUCATION</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8.20%</w:t>
            </w:r>
          </w:p>
        </w:tc>
        <w:tc>
          <w:tcPr>
            <w:tcW w:w="10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L+300</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955,833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955,833</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936,716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w:t>
            </w:r>
            <w:r>
              <w:rPr>
                <w:rFonts w:ascii="Arial" w:cs="Arial" w:eastAsia="Arial" w:hAnsi="Arial"/>
                <w:sz w:val="11"/>
                <w:szCs w:val="11"/>
                <w:color w:val="auto"/>
              </w:rPr>
              <w:t>UESTEX</w:t>
            </w:r>
            <w:r>
              <w:rPr>
                <w:rFonts w:ascii="Arial" w:cs="Arial" w:eastAsia="Arial" w:hAnsi="Arial"/>
                <w:sz w:val="14"/>
                <w:szCs w:val="14"/>
                <w:color w:val="auto"/>
              </w:rPr>
              <w:t xml:space="preserve"> M</w:t>
            </w:r>
            <w:r>
              <w:rPr>
                <w:rFonts w:ascii="Arial" w:cs="Arial" w:eastAsia="Arial" w:hAnsi="Arial"/>
                <w:sz w:val="11"/>
                <w:szCs w:val="11"/>
                <w:color w:val="auto"/>
              </w:rPr>
              <w:t>EDIA</w:t>
            </w:r>
            <w:r>
              <w:rPr>
                <w:rFonts w:ascii="Arial" w:cs="Arial" w:eastAsia="Arial" w:hAnsi="Arial"/>
                <w:sz w:val="14"/>
                <w:szCs w:val="14"/>
                <w:color w:val="auto"/>
              </w:rPr>
              <w:t xml:space="preserve"> G</w:t>
            </w:r>
            <w:r>
              <w:rPr>
                <w:rFonts w:ascii="Arial" w:cs="Arial" w:eastAsia="Arial" w:hAnsi="Arial"/>
                <w:sz w:val="11"/>
                <w:szCs w:val="11"/>
                <w:color w:val="auto"/>
              </w:rPr>
              <w:t>ROUP</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05/04/2014</w:t>
            </w:r>
          </w:p>
        </w:tc>
        <w:tc>
          <w:tcPr>
            <w:tcW w:w="22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OTHER MEDIA</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8.56%</w:t>
            </w:r>
          </w:p>
        </w:tc>
        <w:tc>
          <w:tcPr>
            <w:tcW w:w="10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L+300</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4,974,167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4,974,167</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4,839,742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R</w:t>
            </w:r>
            <w:r>
              <w:rPr>
                <w:rFonts w:ascii="Arial" w:cs="Arial" w:eastAsia="Arial" w:hAnsi="Arial"/>
                <w:sz w:val="11"/>
                <w:szCs w:val="11"/>
                <w:color w:val="auto"/>
              </w:rPr>
              <w:t>EADER</w:t>
            </w:r>
            <w:r>
              <w:rPr>
                <w:rFonts w:ascii="Arial" w:cs="Arial" w:eastAsia="Arial" w:hAnsi="Arial"/>
                <w:sz w:val="14"/>
                <w:szCs w:val="14"/>
                <w:color w:val="auto"/>
              </w:rPr>
              <w:t>’</w:t>
            </w:r>
            <w:r>
              <w:rPr>
                <w:rFonts w:ascii="Arial" w:cs="Arial" w:eastAsia="Arial" w:hAnsi="Arial"/>
                <w:sz w:val="11"/>
                <w:szCs w:val="11"/>
                <w:color w:val="auto"/>
              </w:rPr>
              <w:t>S</w:t>
            </w:r>
            <w:r>
              <w:rPr>
                <w:rFonts w:ascii="Arial" w:cs="Arial" w:eastAsia="Arial" w:hAnsi="Arial"/>
                <w:sz w:val="14"/>
                <w:szCs w:val="14"/>
                <w:color w:val="auto"/>
              </w:rPr>
              <w:t xml:space="preserve"> D</w:t>
            </w:r>
            <w:r>
              <w:rPr>
                <w:rFonts w:ascii="Arial" w:cs="Arial" w:eastAsia="Arial" w:hAnsi="Arial"/>
                <w:sz w:val="11"/>
                <w:szCs w:val="11"/>
                <w:color w:val="auto"/>
              </w:rPr>
              <w:t>IGEST</w:t>
            </w:r>
            <w:r>
              <w:rPr>
                <w:rFonts w:ascii="Arial" w:cs="Arial" w:eastAsia="Arial" w:hAnsi="Arial"/>
                <w:sz w:val="14"/>
                <w:szCs w:val="14"/>
                <w:color w:val="auto"/>
              </w:rPr>
              <w:t xml:space="preserve"> A</w:t>
            </w:r>
            <w:r>
              <w:rPr>
                <w:rFonts w:ascii="Arial" w:cs="Arial" w:eastAsia="Arial" w:hAnsi="Arial"/>
                <w:sz w:val="11"/>
                <w:szCs w:val="11"/>
                <w:color w:val="auto"/>
              </w:rPr>
              <w:t>SSOCIATION</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03/02/2014</w:t>
            </w:r>
          </w:p>
        </w:tc>
        <w:tc>
          <w:tcPr>
            <w:tcW w:w="22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4"/>
              </w:rPr>
              <w:t>PRINTING &amp; PUBLISHING</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7.43%</w:t>
            </w:r>
          </w:p>
        </w:tc>
        <w:tc>
          <w:tcPr>
            <w:tcW w:w="10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L+200</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995,006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995,006</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940,281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R</w:t>
            </w:r>
            <w:r>
              <w:rPr>
                <w:rFonts w:ascii="Arial" w:cs="Arial" w:eastAsia="Arial" w:hAnsi="Arial"/>
                <w:sz w:val="11"/>
                <w:szCs w:val="11"/>
                <w:color w:val="auto"/>
              </w:rPr>
              <w:t>EXNORD</w:t>
            </w:r>
            <w:r>
              <w:rPr>
                <w:rFonts w:ascii="Arial" w:cs="Arial" w:eastAsia="Arial" w:hAnsi="Arial"/>
                <w:sz w:val="14"/>
                <w:szCs w:val="14"/>
                <w:color w:val="auto"/>
              </w:rPr>
              <w:t>, L.L.C.</w:t>
            </w: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0" w:type="dxa"/>
            <w:vAlign w:val="bottom"/>
            <w:gridSpan w:val="3"/>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94"/>
              </w:rPr>
              <w:t>MANUFACTURING/</w:t>
            </w:r>
          </w:p>
        </w:tc>
        <w:tc>
          <w:tcPr>
            <w:tcW w:w="5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07/19/2013</w:t>
            </w:r>
          </w:p>
        </w:tc>
        <w:tc>
          <w:tcPr>
            <w:tcW w:w="2200" w:type="dxa"/>
            <w:vAlign w:val="bottom"/>
            <w:gridSpan w:val="3"/>
            <w:shd w:val="clear" w:color="auto" w:fill="CCEEFF"/>
          </w:tcPr>
          <w:p>
            <w:pPr>
              <w:jc w:val="center"/>
              <w:ind w:right="220"/>
              <w:spacing w:after="0" w:line="159" w:lineRule="exact"/>
              <w:rPr>
                <w:sz w:val="20"/>
                <w:szCs w:val="20"/>
                <w:color w:val="auto"/>
              </w:rPr>
            </w:pPr>
            <w:r>
              <w:rPr>
                <w:rFonts w:ascii="Arial" w:cs="Arial" w:eastAsia="Arial" w:hAnsi="Arial"/>
                <w:sz w:val="14"/>
                <w:szCs w:val="14"/>
                <w:color w:val="auto"/>
                <w:w w:val="93"/>
              </w:rPr>
              <w:t>BASIC INDUSTRIES</w:t>
            </w:r>
          </w:p>
        </w:tc>
        <w:tc>
          <w:tcPr>
            <w:tcW w:w="96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7.64%</w:t>
            </w:r>
          </w:p>
        </w:tc>
        <w:tc>
          <w:tcPr>
            <w:tcW w:w="100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L+225</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4,937,500</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4,937,500</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4,835,664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ITEL</w:t>
            </w:r>
            <w:r>
              <w:rPr>
                <w:rFonts w:ascii="Arial" w:cs="Arial" w:eastAsia="Arial" w:hAnsi="Arial"/>
                <w:sz w:val="14"/>
                <w:szCs w:val="14"/>
                <w:color w:val="auto"/>
              </w:rPr>
              <w:t>, L.L.C.</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01/30/2014</w:t>
            </w:r>
          </w:p>
        </w:tc>
        <w:tc>
          <w:tcPr>
            <w:tcW w:w="220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89"/>
              </w:rPr>
              <w:t>BUSINESS SERVICES</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7.78%</w:t>
            </w:r>
          </w:p>
        </w:tc>
        <w:tc>
          <w:tcPr>
            <w:tcW w:w="10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L+250</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2,867,302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2,867,302</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2,680,927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w:t>
            </w:r>
            <w:r>
              <w:rPr>
                <w:rFonts w:ascii="Arial" w:cs="Arial" w:eastAsia="Arial" w:hAnsi="Arial"/>
                <w:sz w:val="11"/>
                <w:szCs w:val="11"/>
                <w:color w:val="auto"/>
              </w:rPr>
              <w:t>NIVISION</w:t>
            </w:r>
            <w:r>
              <w:rPr>
                <w:rFonts w:ascii="Arial" w:cs="Arial" w:eastAsia="Arial" w:hAnsi="Arial"/>
                <w:sz w:val="14"/>
                <w:szCs w:val="14"/>
                <w:color w:val="auto"/>
              </w:rPr>
              <w:t xml:space="preserve"> C</w:t>
            </w:r>
            <w:r>
              <w:rPr>
                <w:rFonts w:ascii="Arial" w:cs="Arial" w:eastAsia="Arial" w:hAnsi="Arial"/>
                <w:sz w:val="11"/>
                <w:szCs w:val="11"/>
                <w:color w:val="auto"/>
              </w:rPr>
              <w:t>OMMUNICATIONS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0" w:type="dxa"/>
            <w:vAlign w:val="bottom"/>
            <w:gridSpan w:val="3"/>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95"/>
              </w:rPr>
              <w:t>BROADCASTING &amp;</w:t>
            </w:r>
          </w:p>
        </w:tc>
        <w:tc>
          <w:tcPr>
            <w:tcW w:w="5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09/29/2014</w:t>
            </w:r>
          </w:p>
        </w:tc>
        <w:tc>
          <w:tcPr>
            <w:tcW w:w="2200" w:type="dxa"/>
            <w:vAlign w:val="bottom"/>
            <w:gridSpan w:val="3"/>
            <w:shd w:val="clear" w:color="auto" w:fill="CCEEFF"/>
          </w:tcPr>
          <w:p>
            <w:pPr>
              <w:jc w:val="center"/>
              <w:ind w:right="200"/>
              <w:spacing w:after="0" w:line="159" w:lineRule="exact"/>
              <w:rPr>
                <w:sz w:val="20"/>
                <w:szCs w:val="20"/>
                <w:color w:val="auto"/>
              </w:rPr>
            </w:pPr>
            <w:r>
              <w:rPr>
                <w:rFonts w:ascii="Arial" w:cs="Arial" w:eastAsia="Arial" w:hAnsi="Arial"/>
                <w:sz w:val="14"/>
                <w:szCs w:val="14"/>
                <w:color w:val="auto"/>
                <w:w w:val="94"/>
              </w:rPr>
              <w:t>ENTERTAINMENT</w:t>
            </w:r>
          </w:p>
        </w:tc>
        <w:tc>
          <w:tcPr>
            <w:tcW w:w="96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7.57%</w:t>
            </w:r>
          </w:p>
        </w:tc>
        <w:tc>
          <w:tcPr>
            <w:tcW w:w="100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L+225</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14,093,960</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14,093,960</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13,389,262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1"/>
                <w:szCs w:val="11"/>
                <w:color w:val="auto"/>
              </w:rPr>
              <w:t>U</w:t>
            </w:r>
            <w:r>
              <w:rPr>
                <w:rFonts w:ascii="Arial" w:cs="Arial" w:eastAsia="Arial" w:hAnsi="Arial"/>
                <w:sz w:val="9"/>
                <w:szCs w:val="9"/>
                <w:color w:val="auto"/>
              </w:rPr>
              <w:t>NIVISION</w:t>
            </w:r>
            <w:r>
              <w:rPr>
                <w:rFonts w:ascii="Arial" w:cs="Arial" w:eastAsia="Arial" w:hAnsi="Arial"/>
                <w:sz w:val="11"/>
                <w:szCs w:val="11"/>
                <w:color w:val="auto"/>
              </w:rPr>
              <w:t xml:space="preserve"> C</w:t>
            </w:r>
            <w:r>
              <w:rPr>
                <w:rFonts w:ascii="Arial" w:cs="Arial" w:eastAsia="Arial" w:hAnsi="Arial"/>
                <w:sz w:val="9"/>
                <w:szCs w:val="9"/>
                <w:color w:val="auto"/>
              </w:rPr>
              <w:t>OMMUNICATIONS</w:t>
            </w:r>
            <w:r>
              <w:rPr>
                <w:rFonts w:ascii="Arial" w:cs="Arial" w:eastAsia="Arial" w:hAnsi="Arial"/>
                <w:sz w:val="11"/>
                <w:szCs w:val="11"/>
                <w:color w:val="auto"/>
              </w:rPr>
              <w:t>, I</w:t>
            </w:r>
            <w:r>
              <w:rPr>
                <w:rFonts w:ascii="Arial" w:cs="Arial" w:eastAsia="Arial" w:hAnsi="Arial"/>
                <w:sz w:val="9"/>
                <w:szCs w:val="9"/>
                <w:color w:val="auto"/>
              </w:rPr>
              <w:t>NC</w:t>
            </w:r>
            <w:r>
              <w:rPr>
                <w:rFonts w:ascii="Arial" w:cs="Arial" w:eastAsia="Arial" w:hAnsi="Arial"/>
                <w:sz w:val="11"/>
                <w:szCs w:val="11"/>
                <w:color w:val="auto"/>
              </w:rPr>
              <w:t>.</w:t>
            </w:r>
            <w:r>
              <w:rPr>
                <w:rFonts w:ascii="Arial" w:cs="Arial" w:eastAsia="Arial" w:hAnsi="Arial"/>
                <w:sz w:val="17"/>
                <w:szCs w:val="17"/>
                <w:color w:val="auto"/>
                <w:vertAlign w:val="superscript"/>
              </w:rPr>
              <w:t>(4)</w:t>
            </w: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09/29/2014</w:t>
            </w:r>
          </w:p>
        </w:tc>
        <w:tc>
          <w:tcPr>
            <w:tcW w:w="22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5"/>
              </w:rPr>
              <w:t>BROADCASTING &amp;</w:t>
            </w:r>
          </w:p>
        </w:tc>
        <w:tc>
          <w:tcPr>
            <w:tcW w:w="960" w:type="dxa"/>
            <w:vAlign w:val="bottom"/>
            <w:gridSpan w:val="2"/>
            <w:vMerge w:val="restart"/>
          </w:tcPr>
          <w:p>
            <w:pPr>
              <w:jc w:val="right"/>
              <w:ind w:right="44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906,040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906,040</w:t>
            </w:r>
          </w:p>
        </w:tc>
        <w:tc>
          <w:tcPr>
            <w:tcW w:w="160" w:type="dxa"/>
            <w:vAlign w:val="bottom"/>
          </w:tcPr>
          <w:p>
            <w:pPr>
              <w:spacing w:after="0"/>
              <w:rPr>
                <w:sz w:val="12"/>
                <w:szCs w:val="12"/>
                <w:color w:val="auto"/>
              </w:rPr>
            </w:pP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860,738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4"/>
              </w:rPr>
              <w:t>ENTERTAINMENT</w:t>
            </w:r>
          </w:p>
        </w:tc>
        <w:tc>
          <w:tcPr>
            <w:tcW w:w="96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w:t>
            </w:r>
            <w:r>
              <w:rPr>
                <w:rFonts w:ascii="Arial" w:cs="Arial" w:eastAsia="Arial" w:hAnsi="Arial"/>
                <w:sz w:val="11"/>
                <w:szCs w:val="11"/>
                <w:color w:val="auto"/>
              </w:rPr>
              <w:t>ALASSIS</w:t>
            </w:r>
            <w:r>
              <w:rPr>
                <w:rFonts w:ascii="Arial" w:cs="Arial" w:eastAsia="Arial" w:hAnsi="Arial"/>
                <w:sz w:val="14"/>
                <w:szCs w:val="14"/>
                <w:color w:val="auto"/>
              </w:rPr>
              <w:t xml:space="preserve"> C</w:t>
            </w:r>
            <w:r>
              <w:rPr>
                <w:rFonts w:ascii="Arial" w:cs="Arial" w:eastAsia="Arial" w:hAnsi="Arial"/>
                <w:sz w:val="11"/>
                <w:szCs w:val="11"/>
                <w:color w:val="auto"/>
              </w:rPr>
              <w:t>OMMUNICATIONS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03/02/2014</w:t>
            </w:r>
          </w:p>
        </w:tc>
        <w:tc>
          <w:tcPr>
            <w:tcW w:w="22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PRINTING &amp; PUBLISHING</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6.95%</w:t>
            </w:r>
          </w:p>
        </w:tc>
        <w:tc>
          <w:tcPr>
            <w:tcW w:w="10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L+175</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7,061,899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7,061,899</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6,549,911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60" w:type="dxa"/>
            <w:vAlign w:val="bottom"/>
            <w:gridSpan w:val="2"/>
          </w:tcPr>
          <w:p>
            <w:pPr>
              <w:spacing w:after="0" w:line="176" w:lineRule="exact"/>
              <w:rPr>
                <w:sz w:val="20"/>
                <w:szCs w:val="20"/>
                <w:color w:val="auto"/>
              </w:rPr>
            </w:pPr>
            <w:r>
              <w:rPr>
                <w:rFonts w:ascii="Arial" w:cs="Arial" w:eastAsia="Arial" w:hAnsi="Arial"/>
                <w:sz w:val="13"/>
                <w:szCs w:val="13"/>
                <w:color w:val="auto"/>
              </w:rPr>
              <w:t>V</w:t>
            </w:r>
            <w:r>
              <w:rPr>
                <w:rFonts w:ascii="Arial" w:cs="Arial" w:eastAsia="Arial" w:hAnsi="Arial"/>
                <w:sz w:val="10"/>
                <w:szCs w:val="10"/>
                <w:color w:val="auto"/>
              </w:rPr>
              <w:t>ALASSIS</w:t>
            </w:r>
            <w:r>
              <w:rPr>
                <w:rFonts w:ascii="Arial" w:cs="Arial" w:eastAsia="Arial" w:hAnsi="Arial"/>
                <w:sz w:val="13"/>
                <w:szCs w:val="13"/>
                <w:color w:val="auto"/>
              </w:rPr>
              <w:t xml:space="preserve"> C</w:t>
            </w:r>
            <w:r>
              <w:rPr>
                <w:rFonts w:ascii="Arial" w:cs="Arial" w:eastAsia="Arial" w:hAnsi="Arial"/>
                <w:sz w:val="10"/>
                <w:szCs w:val="10"/>
                <w:color w:val="auto"/>
              </w:rPr>
              <w:t>OMMUNICATIONS</w:t>
            </w:r>
            <w:r>
              <w:rPr>
                <w:rFonts w:ascii="Arial" w:cs="Arial" w:eastAsia="Arial" w:hAnsi="Arial"/>
                <w:sz w:val="13"/>
                <w:szCs w:val="13"/>
                <w:color w:val="auto"/>
              </w:rPr>
              <w:t>, I</w:t>
            </w:r>
            <w:r>
              <w:rPr>
                <w:rFonts w:ascii="Arial" w:cs="Arial" w:eastAsia="Arial" w:hAnsi="Arial"/>
                <w:sz w:val="10"/>
                <w:szCs w:val="10"/>
                <w:color w:val="auto"/>
              </w:rPr>
              <w:t>NC</w:t>
            </w:r>
            <w:r>
              <w:rPr>
                <w:rFonts w:ascii="Arial" w:cs="Arial" w:eastAsia="Arial" w:hAnsi="Arial"/>
                <w:sz w:val="13"/>
                <w:szCs w:val="13"/>
                <w:color w:val="auto"/>
              </w:rPr>
              <w:t>.</w:t>
            </w:r>
            <w:r>
              <w:rPr>
                <w:rFonts w:ascii="Arial" w:cs="Arial" w:eastAsia="Arial" w:hAnsi="Arial"/>
                <w:sz w:val="20"/>
                <w:szCs w:val="20"/>
                <w:color w:val="auto"/>
                <w:vertAlign w:val="superscript"/>
              </w:rPr>
              <w:t>(4)</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03/02/2014</w:t>
            </w:r>
          </w:p>
        </w:tc>
        <w:tc>
          <w:tcPr>
            <w:tcW w:w="2200" w:type="dxa"/>
            <w:vAlign w:val="bottom"/>
            <w:gridSpan w:val="3"/>
          </w:tcPr>
          <w:p>
            <w:pPr>
              <w:jc w:val="center"/>
              <w:ind w:right="200"/>
              <w:spacing w:after="0"/>
              <w:rPr>
                <w:sz w:val="20"/>
                <w:szCs w:val="20"/>
                <w:color w:val="auto"/>
              </w:rPr>
            </w:pPr>
            <w:r>
              <w:rPr>
                <w:rFonts w:ascii="Arial" w:cs="Arial" w:eastAsia="Arial" w:hAnsi="Arial"/>
                <w:sz w:val="14"/>
                <w:szCs w:val="14"/>
                <w:color w:val="auto"/>
                <w:w w:val="94"/>
              </w:rPr>
              <w:t>PRINTING &amp; PUBLISHING</w:t>
            </w:r>
          </w:p>
        </w:tc>
        <w:tc>
          <w:tcPr>
            <w:tcW w:w="96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2,103,908</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2,103,908</w:t>
            </w:r>
          </w:p>
        </w:tc>
        <w:tc>
          <w:tcPr>
            <w:tcW w:w="16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1,951,375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w:t>
            </w:r>
            <w:r>
              <w:rPr>
                <w:rFonts w:ascii="Arial" w:cs="Arial" w:eastAsia="Arial" w:hAnsi="Arial"/>
                <w:sz w:val="11"/>
                <w:szCs w:val="11"/>
                <w:color w:val="auto"/>
              </w:rPr>
              <w:t>ESTERN</w:t>
            </w:r>
            <w:r>
              <w:rPr>
                <w:rFonts w:ascii="Arial" w:cs="Arial" w:eastAsia="Arial" w:hAnsi="Arial"/>
                <w:sz w:val="14"/>
                <w:szCs w:val="14"/>
                <w:color w:val="auto"/>
              </w:rPr>
              <w:t xml:space="preserve"> R</w:t>
            </w:r>
            <w:r>
              <w:rPr>
                <w:rFonts w:ascii="Arial" w:cs="Arial" w:eastAsia="Arial" w:hAnsi="Arial"/>
                <w:sz w:val="11"/>
                <w:szCs w:val="11"/>
                <w:color w:val="auto"/>
              </w:rPr>
              <w:t>EFINING</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05/30/2014</w:t>
            </w:r>
          </w:p>
        </w:tc>
        <w:tc>
          <w:tcPr>
            <w:tcW w:w="22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8"/>
              </w:rPr>
              <w:t>OIL &amp; GAS</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6.88%</w:t>
            </w:r>
          </w:p>
        </w:tc>
        <w:tc>
          <w:tcPr>
            <w:tcW w:w="10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L+175</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3,714,286</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3,714,286</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3,640,000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170,481,009</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170,474,236</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158,929,905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 107.6%</w:t>
            </w: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314,881,870</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291,016,608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PENNANTPARK INVESTMENT CORPORATION</w:t>
      </w:r>
    </w:p>
    <w:p>
      <w:pPr>
        <w:spacing w:after="0" w:line="9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SCHEDULE OF INVESTMENTS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3"/>
              </w:rPr>
              <w:t>Basis Point</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5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Issuer name</w:t>
            </w:r>
            <w:r>
              <w:rPr>
                <w:rFonts w:ascii="Arial" w:cs="Arial" w:eastAsia="Arial" w:hAnsi="Arial"/>
                <w:sz w:val="22"/>
                <w:szCs w:val="22"/>
                <w:b w:val="1"/>
                <w:bCs w:val="1"/>
                <w:color w:val="auto"/>
                <w:vertAlign w:val="superscript"/>
              </w:rPr>
              <w:t>(1)</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Current</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Above</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6"/>
        </w:trPr>
        <w:tc>
          <w:tcPr>
            <w:tcW w:w="4540" w:type="dxa"/>
            <w:vAlign w:val="bottom"/>
            <w:gridSpan w:val="4"/>
            <w:vMerge w:val="continue"/>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Maturity</w:t>
            </w:r>
          </w:p>
        </w:tc>
        <w:tc>
          <w:tcPr>
            <w:tcW w:w="15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6"/>
              </w:rPr>
              <w:t>Industry   Coupon</w:t>
            </w:r>
          </w:p>
        </w:tc>
        <w:tc>
          <w:tcPr>
            <w:tcW w:w="6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(3)</w:t>
            </w:r>
          </w:p>
        </w:tc>
        <w:tc>
          <w:tcPr>
            <w:tcW w:w="200" w:type="dxa"/>
            <w:vAlign w:val="bottom"/>
          </w:tcPr>
          <w:p>
            <w:pPr>
              <w:spacing w:after="0"/>
              <w:rPr>
                <w:sz w:val="15"/>
                <w:szCs w:val="15"/>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5"/>
                <w:szCs w:val="15"/>
                <w:color w:val="auto"/>
              </w:rPr>
            </w:pPr>
          </w:p>
        </w:tc>
        <w:tc>
          <w:tcPr>
            <w:tcW w:w="980" w:type="dxa"/>
            <w:vAlign w:val="bottom"/>
          </w:tcPr>
          <w:p>
            <w:pPr>
              <w:jc w:val="right"/>
              <w:ind w:right="282"/>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equivalents—95.4%</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U.S. T</w:t>
            </w:r>
            <w:r>
              <w:rPr>
                <w:rFonts w:ascii="Arial" w:cs="Arial" w:eastAsia="Arial" w:hAnsi="Arial"/>
                <w:sz w:val="14"/>
                <w:szCs w:val="14"/>
                <w:color w:val="auto"/>
              </w:rPr>
              <w:t>REASURY</w:t>
            </w:r>
            <w:r>
              <w:rPr>
                <w:rFonts w:ascii="Arial" w:cs="Arial" w:eastAsia="Arial" w:hAnsi="Arial"/>
                <w:sz w:val="18"/>
                <w:szCs w:val="18"/>
                <w:color w:val="auto"/>
              </w:rPr>
              <w:t xml:space="preserve"> B</w:t>
            </w:r>
            <w:r>
              <w:rPr>
                <w:rFonts w:ascii="Arial" w:cs="Arial" w:eastAsia="Arial" w:hAnsi="Arial"/>
                <w:sz w:val="14"/>
                <w:szCs w:val="14"/>
                <w:color w:val="auto"/>
              </w:rPr>
              <w:t>ILL</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12/27/2007</w:t>
            </w:r>
          </w:p>
        </w:tc>
        <w:tc>
          <w:tcPr>
            <w:tcW w:w="1540" w:type="dxa"/>
            <w:vAlign w:val="bottom"/>
            <w:gridSpan w:val="4"/>
          </w:tcPr>
          <w:p>
            <w:pPr>
              <w:jc w:val="right"/>
              <w:ind w:right="200"/>
              <w:spacing w:after="0"/>
              <w:rPr>
                <w:sz w:val="20"/>
                <w:szCs w:val="20"/>
                <w:color w:val="auto"/>
              </w:rPr>
            </w:pPr>
            <w:r>
              <w:rPr>
                <w:rFonts w:ascii="Arial" w:cs="Arial" w:eastAsia="Arial" w:hAnsi="Arial"/>
                <w:sz w:val="18"/>
                <w:szCs w:val="18"/>
                <w:color w:val="auto"/>
              </w:rPr>
              <w:t>3.64%</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$255,000,000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6"/>
              </w:rPr>
              <w:t>$252,759,931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$ 252,703,215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ONEY MARKET</w:t>
            </w:r>
            <w:r>
              <w:rPr>
                <w:rFonts w:ascii="Arial" w:cs="Arial" w:eastAsia="Arial" w:hAnsi="Arial"/>
                <w:sz w:val="18"/>
                <w:szCs w:val="18"/>
                <w:color w:val="auto"/>
              </w:rPr>
              <w:t>—</w:t>
            </w:r>
            <w:r>
              <w:rPr>
                <w:rFonts w:ascii="Arial" w:cs="Arial" w:eastAsia="Arial" w:hAnsi="Arial"/>
                <w:sz w:val="14"/>
                <w:szCs w:val="14"/>
                <w:color w:val="auto"/>
              </w:rPr>
              <w:t>MUTUAL FUNDS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5,256,420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5,256,420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5,256,420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Total cash equivalents</w:t>
            </w: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40" w:type="dxa"/>
            <w:vAlign w:val="bottom"/>
            <w:gridSpan w:val="4"/>
            <w:vMerge w:val="continue"/>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260,256,420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258,016,351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257,959,635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investments and cash equivalents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572,898,221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$ 548,976,243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Liabilities in excess of other assets—(103.0%)</w:t>
            </w: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40" w:type="dxa"/>
            <w:vAlign w:val="bottom"/>
            <w:gridSpan w:val="4"/>
            <w:vMerge w:val="continue"/>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w w:val="96"/>
              </w:rPr>
              <w:t>(278,583,149)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assets—100.0%</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$ 270,393,094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40" w:right="160" w:hanging="332"/>
        <w:spacing w:after="0" w:line="259"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do not “control” and are not an “affiliate” of any of our portfolio companies, each as defined in the 1940 Act. In general, under the 1940 Act, we would be presumed to “control” a portfolio company if we owned 25% or more of its voting securities and would be deemed to be an “affiliate” of a portfolio company if we owned 5% or more of its voting securities.</w:t>
      </w:r>
    </w:p>
    <w:p>
      <w:pPr>
        <w:spacing w:after="0" w:line="59" w:lineRule="exact"/>
        <w:rPr>
          <w:rFonts w:ascii="Arial" w:cs="Arial" w:eastAsia="Arial" w:hAnsi="Arial"/>
          <w:sz w:val="18"/>
          <w:szCs w:val="18"/>
          <w:color w:val="auto"/>
        </w:rPr>
      </w:pPr>
    </w:p>
    <w:p>
      <w:pPr>
        <w:ind w:left="340" w:hanging="33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Valued based on our accounting policy. (See note 2)</w:t>
      </w:r>
    </w:p>
    <w:p>
      <w:pPr>
        <w:spacing w:after="0" w:line="90" w:lineRule="exact"/>
        <w:rPr>
          <w:rFonts w:ascii="Arial" w:cs="Arial" w:eastAsia="Arial" w:hAnsi="Arial"/>
          <w:sz w:val="18"/>
          <w:szCs w:val="18"/>
          <w:color w:val="auto"/>
        </w:rPr>
      </w:pPr>
    </w:p>
    <w:p>
      <w:pPr>
        <w:ind w:left="340" w:right="100" w:hanging="332"/>
        <w:spacing w:after="0" w:line="268"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Represents floating rate instruments that accrue interest at a predetermined spread relative to an index, typically the applicable London Interbank Offer Rate (LIBOR , or, “L”).</w:t>
      </w:r>
    </w:p>
    <w:p>
      <w:pPr>
        <w:spacing w:after="0" w:line="50" w:lineRule="exact"/>
        <w:rPr>
          <w:rFonts w:ascii="Arial" w:cs="Arial" w:eastAsia="Arial" w:hAnsi="Arial"/>
          <w:sz w:val="18"/>
          <w:szCs w:val="18"/>
          <w:color w:val="auto"/>
        </w:rPr>
      </w:pPr>
    </w:p>
    <w:p>
      <w:pPr>
        <w:ind w:left="340" w:hanging="33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Represents purchases of securities with delayed draws. These securities do not have a basis point spread above index.</w:t>
      </w:r>
    </w:p>
    <w:p>
      <w:pPr>
        <w:spacing w:after="0" w:line="90" w:lineRule="exact"/>
        <w:rPr>
          <w:rFonts w:ascii="Arial" w:cs="Arial" w:eastAsia="Arial" w:hAnsi="Arial"/>
          <w:sz w:val="18"/>
          <w:szCs w:val="18"/>
          <w:color w:val="auto"/>
        </w:rPr>
      </w:pPr>
    </w:p>
    <w:p>
      <w:pPr>
        <w:ind w:left="340" w:right="660" w:hanging="332"/>
        <w:spacing w:after="0" w:line="268"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Security is exempt from registration under Rule 144A of the Securities Act of 1933. The security may be resold in transactions that are exempt from registration, normally to qualified institutional buyers.</w:t>
      </w:r>
    </w:p>
    <w:p>
      <w:pPr>
        <w:spacing w:after="0" w:line="51" w:lineRule="exact"/>
        <w:rPr>
          <w:sz w:val="20"/>
          <w:szCs w:val="20"/>
          <w:color w:val="auto"/>
        </w:rPr>
      </w:pPr>
    </w:p>
    <w:p>
      <w:pPr>
        <w:ind w:right="7980" w:firstLine="52"/>
        <w:spacing w:after="0" w:line="362" w:lineRule="auto"/>
        <w:tabs>
          <w:tab w:leader="none" w:pos="338"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Coupon payable in cash or payment in kind. ** Non-income producing.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PENNANTPARK INVESTMENT CORPORATION</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PennantPark Investment Corporation (“PennantPark” or “Company”) was organized as a Maryland corporation on January 11, 2007. PennantPark Investment’s objective is to generate both current income and capital appreciation through debt and equity investments. PennantPark Investment invests primarily in U.S. middle-market companies in the form of mezzanine debt, first lien secured debt and equity investments. As of September 30, 2007 PennantPark Investment had sold and issued 21,068,772 shares of its common stock, with gross proceeds of $316.0 million. Before the completion of its initial public offering on April 24, 2007, PennantPark Investment had limited operations other than the sale and issuance of 80,000 shares of common stock at an aggregate purchase price of $1.2 million to PennantPark Investment Advisers, LLC (the “Investment Adviser” or “PennantPark Investment Advisers”) and the purchase of first lien secured debt.</w:t>
      </w:r>
    </w:p>
    <w:p>
      <w:pPr>
        <w:spacing w:after="0" w:line="14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April 24, 2007 PennantPark Investment closed its initial public offering, selling 20,000,000 shares of its common stock, resulting in net proceeds of approximately $279.6 million. Also on April 24, PennantPark Investment closed a private placement of common stock pursuant to Regulation D under the Securities Act of 1933. This private placement of 320,000 shares was made to officers, directors, the Investment Adviser and managers of the Investment Adviser, for $15 per share, resulting in net proceeds of approximately $4.8 million. On May 21, the underwriters of the initial public offering exercised their over-allotment option to them under the Underwriting Agreement. The Underwriters elected to purchase 625,000 shares of our common stock, resulting in net proceeds of $8.8 million.</w:t>
      </w:r>
    </w:p>
    <w:p>
      <w:pPr>
        <w:spacing w:after="0" w:line="144"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consolidated financial statements include the accounts of PennantPark Investment and its wholly owned special purpose subsidiary, Pennant SPV Company, LLC (“Pennant SPV”) a Delaware corporation. On April 24, 2007, Pennant SPV transferred all of its assets to PennantPark Investment.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preparation of consolidated financial statements in conformity with U.S. generally accepted accounting principles (“GAAP”) requires management to make estimates and assumptions that affect the reported amount of assets and liabilities at the date of the consolidated financial statements and the reported amounts of income and expenses during the reported period. Actual results could differ from these estimates.</w:t>
      </w:r>
    </w:p>
    <w:p>
      <w:pPr>
        <w:spacing w:after="0" w:line="107"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financial statements are prepared in accordance with GAAP and pursuant to the requirements for reporting on Form 10-K and Article 6 or 10 of Regulation S-X, as appropriate. In accordance with Article 6-09 of Regulation S-X under the Exchange Act, we are providing a Statement of Changes in Net Assets in lieu of a Statement of Changes in Stockholders’ Equity.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accounting policies consistently followed by PennantPark Investment are:</w:t>
      </w:r>
    </w:p>
    <w:p>
      <w:pPr>
        <w:spacing w:after="0" w:line="90" w:lineRule="exact"/>
        <w:rPr>
          <w:sz w:val="20"/>
          <w:szCs w:val="20"/>
          <w:color w:val="auto"/>
        </w:rPr>
      </w:pPr>
    </w:p>
    <w:p>
      <w:pPr>
        <w:ind w:left="900" w:right="80" w:hanging="446"/>
        <w:spacing w:after="0" w:line="290" w:lineRule="auto"/>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Security transactions are recorded on a trade-date basis.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Subordinated debt, first lien secured debt and other debt securities with maturities greater than 60 days generally are valued by an independent pricing service or at the bid prices from at least two broker/dealers (if available, otherwise by a principal market maker or a primary market dealer). We expect that there will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00"/>
        <w:spacing w:after="0" w:line="288" w:lineRule="auto"/>
        <w:rPr>
          <w:sz w:val="20"/>
          <w:szCs w:val="20"/>
          <w:color w:val="auto"/>
        </w:rPr>
      </w:pPr>
      <w:r>
        <w:rPr>
          <w:rFonts w:ascii="Arial" w:cs="Arial" w:eastAsia="Arial" w:hAnsi="Arial"/>
          <w:sz w:val="16"/>
          <w:szCs w:val="16"/>
          <w:color w:val="auto"/>
        </w:rPr>
        <w:t>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With respect to investments for which there is no readily available market value, valuation methods may include comparisons of financial ratios of the portfolio companies that issued such private securities to peer companies that are public. When an external event such as a purchase transaction, public offering or subsequent equity sale occurs in connection with one of our portfolio companies, our board uses the pricing indicated by the external event to corroborate and/or assist us in our valuation of our investment in such portfolio company.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3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are readily available but believed to be inaccurate, our board of directors undertakes a multi-step valuation process each quarter, as described below:</w:t>
      </w:r>
    </w:p>
    <w:p>
      <w:pPr>
        <w:spacing w:after="0" w:line="51" w:lineRule="exact"/>
        <w:rPr>
          <w:sz w:val="20"/>
          <w:szCs w:val="20"/>
          <w:color w:val="auto"/>
        </w:rPr>
      </w:pPr>
    </w:p>
    <w:p>
      <w:pPr>
        <w:ind w:left="900" w:right="440" w:hanging="446"/>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60" w:hanging="446"/>
        <w:spacing w:after="0" w:line="256"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board of directors also engages one or more independent valuation firms to conduct independent appraisals of our investments for which market quotations are not readily available or are readily available but believed to be inaccurate. The independent valuation firm reviews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260" w:hanging="446"/>
        <w:spacing w:after="0" w:line="332" w:lineRule="auto"/>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80" w:hanging="446"/>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the Investment Adviser, the respective independent valuation firms and the audit committee.</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types of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59"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5"/>
          <w:szCs w:val="15"/>
          <w:color w:val="auto"/>
        </w:rPr>
      </w:pPr>
      <w:r>
        <w:rPr>
          <w:rFonts w:ascii="Arial" w:cs="Arial" w:eastAsia="Arial" w:hAnsi="Arial"/>
          <w:sz w:val="15"/>
          <w:szCs w:val="15"/>
          <w:color w:val="auto"/>
        </w:rPr>
        <w:t>Investments purchased within 60 days of maturity are valued at cost plus accreted discount, or minus amortized premium, which approximates value.</w:t>
      </w:r>
    </w:p>
    <w:p>
      <w:pPr>
        <w:spacing w:after="0" w:line="124" w:lineRule="exact"/>
        <w:rPr>
          <w:rFonts w:ascii="Arial" w:cs="Arial" w:eastAsia="Arial" w:hAnsi="Arial"/>
          <w:sz w:val="15"/>
          <w:szCs w:val="15"/>
          <w:color w:val="auto"/>
        </w:rPr>
      </w:pPr>
    </w:p>
    <w:p>
      <w:pPr>
        <w:ind w:left="900" w:hanging="446"/>
        <w:spacing w:after="0" w:line="255"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61" w:lineRule="exact"/>
        <w:rPr>
          <w:rFonts w:ascii="Arial" w:cs="Arial" w:eastAsia="Arial" w:hAnsi="Arial"/>
          <w:sz w:val="18"/>
          <w:szCs w:val="18"/>
          <w:color w:val="auto"/>
        </w:rPr>
      </w:pPr>
    </w:p>
    <w:p>
      <w:pPr>
        <w:ind w:left="900" w:right="340" w:hanging="446"/>
        <w:spacing w:after="0" w:line="259"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record interest income on an accrual basis to the extent that we expect to collect such amounts. For loans and debt securities with contractual payment-in-kind, or “PIK,” interest, which represents contractual interest accrued and added to the loan balance that generally becomes due at maturity, we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60"/>
        <w:spacing w:after="0" w:line="255" w:lineRule="auto"/>
        <w:rPr>
          <w:sz w:val="20"/>
          <w:szCs w:val="20"/>
          <w:color w:val="auto"/>
        </w:rPr>
      </w:pPr>
      <w:r>
        <w:rPr>
          <w:rFonts w:ascii="Arial" w:cs="Arial" w:eastAsia="Arial" w:hAnsi="Arial"/>
          <w:sz w:val="18"/>
          <w:szCs w:val="18"/>
          <w:color w:val="auto"/>
        </w:rPr>
        <w:t>will generally not accrue PIK interest if the portfolio company valuation indicates that such PIK interest is not collectible. We do not accrue as a receivable interest on loans and debt securities if we have reason to doubt our ability to collect such interest. Loan origination fees, original issue discount and market discount or premium are capitalized, and we then accrete or amortize such amounts using the effective interest method as interest income. We record prepayment premiums on loans and debt securities as interest income. Dividend income, if any, is recognized on the ex-dividend date.</w:t>
      </w:r>
    </w:p>
    <w:p>
      <w:pPr>
        <w:spacing w:after="0" w:line="75" w:lineRule="exact"/>
        <w:rPr>
          <w:sz w:val="20"/>
          <w:szCs w:val="20"/>
          <w:color w:val="auto"/>
        </w:rPr>
      </w:pPr>
    </w:p>
    <w:p>
      <w:pPr>
        <w:ind w:left="900" w:right="80" w:hanging="446"/>
        <w:spacing w:after="0" w:line="287"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Before May 1, 2007 PennantPark Investment was taxed as a corporation under Subchapter C of the Internal Revenue Code of 1986, as amended (the “Code”), and subject to corporate-level federal, state and local taxes. Starting May 1, 2007 PennantPark Investment intends to comply with the requirements of Subchapter M of the Code, and expects to be subject to tax as a regulated investment company, or “RIC”. As a corporation, PennantPark Investment accounted for income taxes using the asset liability method prescribed by FASB Statement No. 109, “Accounting for Income Taxes.” Under this method, income taxes were provided for amounts currently payable and for amounts deferred as tax assets and liabilities based on differences between the financial statement carrying amounts and the tax bases of existing assets and liabilities. Federal, state and local taxes of $105,880 were accrued and included in PennantPark Investment’s statement of operations. Based upon PennantPark Investment’s qualification and election to be subject to tax as a RIC as of its next taxable year-end, we do not anticipate any material taxes in the future. The Company will recognize in its financial statements the effect of a tax position when it is more likely than not, based on the technical merits, that the position will be sustained upon examination.</w:t>
      </w:r>
    </w:p>
    <w:p>
      <w:pPr>
        <w:spacing w:after="0" w:line="41" w:lineRule="exact"/>
        <w:rPr>
          <w:rFonts w:ascii="Arial" w:cs="Arial" w:eastAsia="Arial" w:hAnsi="Arial"/>
          <w:sz w:val="16"/>
          <w:szCs w:val="16"/>
          <w:color w:val="auto"/>
        </w:rPr>
      </w:pPr>
    </w:p>
    <w:p>
      <w:pPr>
        <w:ind w:left="900" w:right="80" w:hanging="446"/>
        <w:spacing w:after="0" w:line="259"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59" w:lineRule="exact"/>
        <w:rPr>
          <w:rFonts w:ascii="Arial" w:cs="Arial" w:eastAsia="Arial" w:hAnsi="Arial"/>
          <w:sz w:val="18"/>
          <w:szCs w:val="18"/>
          <w:color w:val="auto"/>
        </w:rPr>
      </w:pPr>
    </w:p>
    <w:p>
      <w:pPr>
        <w:ind w:left="900" w:right="20" w:hanging="446"/>
        <w:spacing w:after="0" w:line="291"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 September 2006, the Financial Accounting Standards Board issued Statement of Financial Accounting Standards (“SFAS”) 157, Fair Value Measurements, which clarifies the definition of fair value and requires companies to expand their disclosure about the use of fair value to measure assets and liabilities in interim and annual periods subsequent to initial recognition. Adoption of SFAS 157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At this time, PennantPark Investment is in the process of reviewing the Standard against its valuation policies to determine future applicability.</w:t>
      </w:r>
    </w:p>
    <w:p>
      <w:pPr>
        <w:spacing w:after="0" w:line="39" w:lineRule="exact"/>
        <w:rPr>
          <w:rFonts w:ascii="Arial" w:cs="Arial" w:eastAsia="Arial" w:hAnsi="Arial"/>
          <w:sz w:val="16"/>
          <w:szCs w:val="16"/>
          <w:color w:val="auto"/>
        </w:rPr>
      </w:pPr>
    </w:p>
    <w:p>
      <w:pPr>
        <w:ind w:left="900" w:hanging="446"/>
        <w:spacing w:after="0" w:line="291"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 February 2007, the FASB issued Statement No. 159, The Fair Value Option for Financial Assets and Financial Liabilities—Including an Amendment of FASB Statement No. 115. This statement permits an entity to choose to measure many financial instruments and certain other items at fair value. This statement applies to all reporting entities, and contains financial statement presentation and disclosure requirements for assets and liabilities reported at fair value as a consequence of the election. This statement is effective for fiscal years beginning November 15, 2007, and interim periods within those fiscal years. The Company does not expect the adoption of this statement to have a significant effect on the Company’s consolidated financial position or its result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PennantPark Investment has entered into an Investment Management Agreement with PennantPark Investment Advisers under which the Investment Adviser, subject to the overall supervision of PennantPark Investment’s board of directors, manages the day-to-day operations of and provides investment advisory services to, PennantPark Investment. For providing these services, the Investment Adviser receives a fee from PennantPark Investment, consisting of two components—a base management fee and an incentive fee (collectively, “Management Fees”).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base management fee is calculated at an annual rate of 2.00% on PennantPark Investment’s gross assets (net of U.S. Treasury Bills (“adjusted gross assets”)) (See note 9). Although the base management fee is 2.00% of adjusted gross assets, the Investment Adviser has agreed to waive a portion of the base management fee such that the base management fee will equal 1.50% from the consummation of the initial public offering through September 30, 2007; 1.75% from October 1, 2007 through March 31, 2008; and 2.00% thereafter. For the period from the commencement of operations to the consummation of the initial public offering there were no Management Fees. For services rendered under our Investment Management Agreement during the period commencing from the closing of the initial public offering through and including the first six months of operations, the base management fee is payable monthly in arrears. For services rendered under our Investment Management Agreement after that time, the base management fee will be payable quarterly in arrears. For the first quarter of operations, the base management fee was calculated based on the initial value of adjusted gross assets. Subsequently, the base management fee is calculated based on the average value of adjusted gross assets at the end of the two most recently completed calendar quarters, and appropriately adjusted for any share issuances or repurchases during the current calendar quarter. Base investment advisory fees for any partial month or quarter are appropriately pro rated. For the period from the consummation of the initial public offering to September 30, 2007, the Investment Adviser received $1.9 million in base management fee.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our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pay in kind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w:t>
      </w:r>
    </w:p>
    <w:p>
      <w:pPr>
        <w:spacing w:after="0" w:line="127" w:lineRule="exact"/>
        <w:rPr>
          <w:sz w:val="20"/>
          <w:szCs w:val="20"/>
          <w:color w:val="auto"/>
        </w:rPr>
      </w:pPr>
    </w:p>
    <w:p>
      <w:pPr>
        <w:ind w:right="20" w:firstLine="464"/>
        <w:spacing w:after="0" w:line="294" w:lineRule="auto"/>
        <w:tabs>
          <w:tab w:leader="none" w:pos="705" w:val="left"/>
        </w:tabs>
        <w:numPr>
          <w:ilvl w:val="0"/>
          <w:numId w:val="87"/>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PennantPark Investment’s Pre-Incentive Fee Net Investment Income does not exceed the hurdle rate of 1.75%; (2)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1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our Investment Management Agreement, as of the termination date), commencing on December 31, 2007,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However, the incentive fee determined as of December 31, 2007 will be calculated for a period of shorter than twelve calendar months to take into account any realized capital gains computed net of all realized capital losses and unrealized capital depreciation from inception.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period from January 11, 2007 (inception) to September 30, 2007, the Investment Adviser did not receive an Incentive Fee.</w:t>
      </w:r>
    </w:p>
    <w:p>
      <w:pPr>
        <w:spacing w:after="0" w:line="171"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PennantPark Investment has also entered into an Administration Agreement with PennantPark Investment Administration, LLC (the “Administrator” or “PennantPark Investment Administration”) under which PennantPark Investment Administration provides administrative services for PennantPark Investment. For providing these services, facilities and personnel, PennantPark Investment reimburses the Administrator for PennantPark Investment’s allocable portion of overhead and other expenses incurred by the Administrator in performing its obligations under our Administration Agreement, including rent, technology systems, insurance and PennantPark Investment’s allocable portion of the costs of the compensation and related expenses for its chief compliance officer, chief financial officer and their respective staffs. The Administrator also provides on PennantPark Investment’s behalf managerial assistance to portfolio companies to which PennantPark Investment is required to provide such assistance. Reimbursement for certain of these costs is included in administrative services expenses in the consolidated statement of operations. For the period from January 11, 2007 (inception) through September 30, 2007, the Investment Adviser was reimbursed approximately $490,000 from the Company, including expenses it incurred on behalf of the Administrator for services described above.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ORGANIZATIONAL AND OFFERING EXPENSES</w:t>
      </w:r>
    </w:p>
    <w:p>
      <w:pPr>
        <w:spacing w:after="0" w:line="96" w:lineRule="exact"/>
        <w:rPr>
          <w:sz w:val="20"/>
          <w:szCs w:val="20"/>
          <w:color w:val="auto"/>
        </w:rPr>
      </w:pPr>
    </w:p>
    <w:p>
      <w:pPr>
        <w:jc w:val="both"/>
        <w:ind w:right="200" w:firstLine="456"/>
        <w:spacing w:after="0" w:line="370" w:lineRule="auto"/>
        <w:rPr>
          <w:sz w:val="20"/>
          <w:szCs w:val="20"/>
          <w:color w:val="auto"/>
        </w:rPr>
      </w:pPr>
      <w:r>
        <w:rPr>
          <w:rFonts w:ascii="Arial" w:cs="Arial" w:eastAsia="Arial" w:hAnsi="Arial"/>
          <w:sz w:val="15"/>
          <w:szCs w:val="15"/>
          <w:color w:val="auto"/>
        </w:rPr>
        <w:t>A portion of the net proceeds of the Company’s initial public offering was used for organizational, offering and other expenses. Organizational expenses were treated as expenses incurred. Offering costs of $21,309,375 were charged to net assets after the completion of the initial public offering on April 24, 2007.</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ASSET VALUE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September 30, 2007, PennantPark Investment’s total net assets and net asset value per share were $270,393,094 and $12.83,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sets forth the computation of basic per share net decrease in net assets resulting from operations:</w:t>
      </w:r>
    </w:p>
    <w:p>
      <w:pPr>
        <w:spacing w:after="0" w:line="207" w:lineRule="exact"/>
        <w:rPr>
          <w:sz w:val="20"/>
          <w:szCs w:val="20"/>
          <w:color w:val="auto"/>
        </w:rPr>
      </w:pPr>
    </w:p>
    <w:p>
      <w:pPr>
        <w:jc w:val="center"/>
        <w:ind w:left="10200"/>
        <w:spacing w:after="0"/>
        <w:rPr>
          <w:sz w:val="20"/>
          <w:szCs w:val="20"/>
          <w:color w:val="auto"/>
        </w:rPr>
      </w:pPr>
      <w:r>
        <w:rPr>
          <w:rFonts w:ascii="Arial" w:cs="Arial" w:eastAsia="Arial" w:hAnsi="Arial"/>
          <w:sz w:val="14"/>
          <w:szCs w:val="14"/>
          <w:b w:val="1"/>
          <w:bCs w:val="1"/>
          <w:color w:val="auto"/>
        </w:rPr>
        <w:t>Period from</w:t>
      </w:r>
    </w:p>
    <w:p>
      <w:pPr>
        <w:jc w:val="center"/>
        <w:ind w:left="10200"/>
        <w:spacing w:after="0" w:line="223" w:lineRule="auto"/>
        <w:rPr>
          <w:sz w:val="20"/>
          <w:szCs w:val="20"/>
          <w:color w:val="auto"/>
        </w:rPr>
      </w:pPr>
      <w:r>
        <w:rPr>
          <w:rFonts w:ascii="Arial" w:cs="Arial" w:eastAsia="Arial" w:hAnsi="Arial"/>
          <w:sz w:val="14"/>
          <w:szCs w:val="14"/>
          <w:b w:val="1"/>
          <w:bCs w:val="1"/>
          <w:color w:val="auto"/>
        </w:rPr>
        <w:t>January 11, 2007</w:t>
      </w:r>
    </w:p>
    <w:p>
      <w:pPr>
        <w:jc w:val="center"/>
        <w:ind w:left="10200"/>
        <w:spacing w:after="0" w:line="222" w:lineRule="auto"/>
        <w:rPr>
          <w:sz w:val="20"/>
          <w:szCs w:val="20"/>
          <w:color w:val="auto"/>
        </w:rPr>
      </w:pPr>
      <w:r>
        <w:rPr>
          <w:rFonts w:ascii="Arial" w:cs="Arial" w:eastAsia="Arial" w:hAnsi="Arial"/>
          <w:sz w:val="14"/>
          <w:szCs w:val="14"/>
          <w:b w:val="1"/>
          <w:bCs w:val="1"/>
          <w:color w:val="auto"/>
        </w:rPr>
        <w:t>(inception)</w:t>
      </w:r>
    </w:p>
    <w:p>
      <w:pPr>
        <w:jc w:val="center"/>
        <w:ind w:left="10200"/>
        <w:spacing w:after="0" w:line="221" w:lineRule="auto"/>
        <w:rPr>
          <w:sz w:val="20"/>
          <w:szCs w:val="20"/>
          <w:color w:val="auto"/>
        </w:rPr>
      </w:pPr>
      <w:r>
        <w:rPr>
          <w:rFonts w:ascii="Arial" w:cs="Arial" w:eastAsia="Arial" w:hAnsi="Arial"/>
          <w:sz w:val="14"/>
          <w:szCs w:val="14"/>
          <w:b w:val="1"/>
          <w:bCs w:val="1"/>
          <w:color w:val="auto"/>
        </w:rPr>
        <w:t>through</w:t>
      </w:r>
    </w:p>
    <w:p>
      <w:pPr>
        <w:jc w:val="center"/>
        <w:ind w:left="10200"/>
        <w:spacing w:after="0" w:line="222" w:lineRule="auto"/>
        <w:rPr>
          <w:sz w:val="20"/>
          <w:szCs w:val="20"/>
          <w:color w:val="auto"/>
        </w:rPr>
      </w:pPr>
      <w:r>
        <w:rPr>
          <w:rFonts w:ascii="Arial" w:cs="Arial" w:eastAsia="Arial" w:hAnsi="Arial"/>
          <w:sz w:val="14"/>
          <w:szCs w:val="14"/>
          <w:b w:val="1"/>
          <w:bCs w:val="1"/>
          <w:color w:val="auto"/>
        </w:rPr>
        <w:t>September 30,</w:t>
      </w:r>
    </w:p>
    <w:p>
      <w:pPr>
        <w:jc w:val="center"/>
        <w:ind w:left="10200"/>
        <w:spacing w:after="0" w:line="219" w:lineRule="auto"/>
        <w:rPr>
          <w:sz w:val="20"/>
          <w:szCs w:val="20"/>
          <w:color w:val="auto"/>
        </w:rPr>
      </w:pPr>
      <w:r>
        <w:rPr>
          <w:rFonts w:ascii="Arial" w:cs="Arial" w:eastAsia="Arial" w:hAnsi="Arial"/>
          <w:sz w:val="14"/>
          <w:szCs w:val="14"/>
          <w:b w:val="1"/>
          <w:bCs w:val="1"/>
          <w:color w:val="auto"/>
        </w:rPr>
        <w:t>2007</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0"/>
        </w:trPr>
        <w:tc>
          <w:tcPr>
            <w:tcW w:w="54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w w:val="88"/>
              </w:rPr>
              <w:t>Numerator for net decrease in net assets per share resulting from operations:</w:t>
            </w:r>
          </w:p>
        </w:tc>
        <w:tc>
          <w:tcPr>
            <w:tcW w:w="49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w w:val="94"/>
              </w:rPr>
              <w:t>(16,699,251)</w:t>
            </w:r>
          </w:p>
        </w:tc>
      </w:tr>
      <w:tr>
        <w:trPr>
          <w:trHeight w:val="216"/>
        </w:trPr>
        <w:tc>
          <w:tcPr>
            <w:tcW w:w="5460" w:type="dxa"/>
            <w:vAlign w:val="bottom"/>
            <w:gridSpan w:val="3"/>
          </w:tcPr>
          <w:p>
            <w:pPr>
              <w:spacing w:after="0"/>
              <w:rPr>
                <w:sz w:val="20"/>
                <w:szCs w:val="20"/>
                <w:color w:val="auto"/>
              </w:rPr>
            </w:pPr>
            <w:r>
              <w:rPr>
                <w:rFonts w:ascii="Arial" w:cs="Arial" w:eastAsia="Arial" w:hAnsi="Arial"/>
                <w:sz w:val="18"/>
                <w:szCs w:val="18"/>
                <w:color w:val="auto"/>
              </w:rPr>
              <w:t>Denominator for basic weighted average shares:*</w:t>
            </w:r>
          </w:p>
        </w:tc>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20,936,149</w:t>
            </w:r>
          </w:p>
        </w:tc>
      </w:tr>
      <w:tr>
        <w:trPr>
          <w:trHeight w:val="216"/>
        </w:trPr>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Basic net decrease in net assets per share resulting from operations:</w:t>
            </w:r>
          </w:p>
        </w:tc>
        <w:tc>
          <w:tcPr>
            <w:tcW w:w="4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(0.80)</w:t>
            </w:r>
          </w:p>
        </w:tc>
      </w:tr>
      <w:tr>
        <w:trPr>
          <w:trHeight w:val="108"/>
        </w:trPr>
        <w:tc>
          <w:tcPr>
            <w:tcW w:w="2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300" w:type="dxa"/>
            <w:vAlign w:val="bottom"/>
          </w:tcPr>
          <w:p>
            <w:pPr>
              <w:spacing w:after="0"/>
              <w:rPr>
                <w:sz w:val="9"/>
                <w:szCs w:val="9"/>
                <w:color w:val="auto"/>
              </w:rPr>
            </w:pPr>
          </w:p>
        </w:tc>
        <w:tc>
          <w:tcPr>
            <w:tcW w:w="4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35"/>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5180" w:type="dxa"/>
            <w:vAlign w:val="bottom"/>
            <w:gridSpan w:val="2"/>
          </w:tcPr>
          <w:p>
            <w:pPr>
              <w:ind w:left="180"/>
              <w:spacing w:after="0"/>
              <w:rPr>
                <w:sz w:val="20"/>
                <w:szCs w:val="20"/>
                <w:color w:val="auto"/>
              </w:rPr>
            </w:pPr>
            <w:r>
              <w:rPr>
                <w:rFonts w:ascii="Arial" w:cs="Arial" w:eastAsia="Arial" w:hAnsi="Arial"/>
                <w:sz w:val="18"/>
                <w:szCs w:val="18"/>
                <w:color w:val="auto"/>
              </w:rPr>
              <w:t>Since completion of IPO on April 24, 2007</w:t>
            </w:r>
          </w:p>
        </w:tc>
        <w:tc>
          <w:tcPr>
            <w:tcW w:w="4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65"/>
        </w:trPr>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960" w:type="dxa"/>
            <w:vAlign w:val="bottom"/>
            <w:gridSpan w:val="2"/>
          </w:tcPr>
          <w:p>
            <w:pPr>
              <w:jc w:val="right"/>
              <w:ind w:right="4540"/>
              <w:spacing w:after="0"/>
              <w:rPr>
                <w:sz w:val="20"/>
                <w:szCs w:val="20"/>
                <w:color w:val="auto"/>
              </w:rPr>
            </w:pPr>
            <w:r>
              <w:rPr>
                <w:rFonts w:ascii="Arial" w:cs="Arial" w:eastAsia="Arial" w:hAnsi="Arial"/>
                <w:sz w:val="18"/>
                <w:szCs w:val="18"/>
                <w:color w:val="auto"/>
              </w:rPr>
              <w:t>F-15</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Investments consisted of subordinated debt/corporate notes, common equity, second lien secured debt, and first lien secured debt, as of September 30, 2007. The table below describes investments by industry classification and enumerates the percentage, by market value, of the total portfolio assets (excluding cash equivalents) in such industries as of September 30, 2007.</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6"/>
              </w:rPr>
              <w:t>Percentage at Market</w:t>
            </w:r>
          </w:p>
        </w:tc>
        <w:tc>
          <w:tcPr>
            <w:tcW w:w="0" w:type="dxa"/>
            <w:vAlign w:val="bottom"/>
          </w:tcPr>
          <w:p>
            <w:pPr>
              <w:spacing w:after="0"/>
              <w:rPr>
                <w:sz w:val="1"/>
                <w:szCs w:val="1"/>
                <w:color w:val="auto"/>
              </w:rPr>
            </w:pPr>
          </w:p>
        </w:tc>
      </w:tr>
      <w:tr>
        <w:trPr>
          <w:trHeight w:val="161"/>
        </w:trPr>
        <w:tc>
          <w:tcPr>
            <w:tcW w:w="1002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14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Other Media</w:t>
            </w:r>
          </w:p>
        </w:tc>
        <w:tc>
          <w:tcPr>
            <w:tcW w:w="86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&amp; Real Estate</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&amp; Office Furnishings, Housewares, &amp; Durable Consumer Products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 Plastics &amp; Rubber</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Leisure, Amusement, Motion Pictures, Entertainment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Broadcasting &amp; Entertainment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Cable Television</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Store</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Healthcare, Education &amp; Childcare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&amp; Publishing</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Containers, Packaging &amp; Glass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Utilities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 Basic Industries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Oil &amp; Gas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0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Investments</w:t>
            </w: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020" w:type="dxa"/>
            <w:vAlign w:val="bottom"/>
            <w:gridSpan w:val="3"/>
            <w:vMerge w:val="continue"/>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TAXES AND DISTRIBUTIONS</w:t>
      </w:r>
    </w:p>
    <w:p>
      <w:pPr>
        <w:spacing w:after="0" w:line="9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For the period from inception through April 30, 2007, the Company was taxed as a corporation. As such federal, state and local taxes of $105,880 were accrued and included in PennantPark Investment’s statement of operations. Based upon PennantPark Investment’s expected qualification and election to be subject to tax as RIC as of its next taxable year-end, the company does not anticipate paying any corporate level taxes in the future.</w:t>
      </w:r>
    </w:p>
    <w:p>
      <w:pPr>
        <w:spacing w:after="0" w:line="107" w:lineRule="exact"/>
        <w:rPr>
          <w:sz w:val="20"/>
          <w:szCs w:val="20"/>
          <w:color w:val="auto"/>
        </w:rPr>
      </w:pPr>
    </w:p>
    <w:p>
      <w:pPr>
        <w:jc w:val="both"/>
        <w:ind w:right="280" w:firstLine="456"/>
        <w:spacing w:after="0" w:line="323" w:lineRule="auto"/>
        <w:rPr>
          <w:sz w:val="20"/>
          <w:szCs w:val="20"/>
          <w:color w:val="auto"/>
        </w:rPr>
      </w:pPr>
      <w:r>
        <w:rPr>
          <w:rFonts w:ascii="Arial" w:cs="Arial" w:eastAsia="Arial" w:hAnsi="Arial"/>
          <w:sz w:val="15"/>
          <w:szCs w:val="15"/>
          <w:color w:val="auto"/>
        </w:rPr>
        <w:t>As a regulated investment company (“RIC”) under Subchapter M of the Internal Revenue Code, the Company’s income generally will not be subject to taxation to the extent such income is distributed to stockholders. However, certain of the Company’s investments may be owned by wholly owned subsidiaries that are subject to corporate level federal, state, and local income tax in their respective jurisdictions. Deferred tax assets and liabilities are measured using the enacted tax rates expected to apply to the taxable income in the years in which those temporary differences are expected to be recovered or settled.</w:t>
      </w:r>
    </w:p>
    <w:p>
      <w:pPr>
        <w:spacing w:after="0" w:line="9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Since consummation of the initial public offering, through September 30, 2007, the Company has declared distributions totaling $0.36 per share. Each year a statement on Form 1099-DIV shall be issued identifying the source of the distribution (i.e., paid from ordinary income, paid from net capital gains on the sale of securities, and/or a return of paid-in-capital surplus which is a nontaxable distribution). To the extent the Company’s taxable earnings fall below the total amount of its distributions for that fiscal year, a portion of those distributions may be deemed a tax return of capital to the Company’s stockholders. For the fiscal years ended September 30,</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2007 a portion of the distributions to the Company’s stockholders was deemed a return of capital. The determination of the tax attributes of the Company’s distributions is made annually as of the end of the Company’s fiscal year based upon its taxable income for the full year and distributions paid for the full year, therefore a determination made on a quarterly basis may not be representative of the actual tax attributes of its distributions for a full year. If the Company determined the tax attributes of its distributions for the fiscal year ended September 30, 2007, 99.6% would be from taxable net investment income and 0.4% would be a return of capital for stockholders, however there can be no certainty to stockholders that this determination is representative of what the tax attributes of its 2007 distributions to stockholders will actually be.</w:t>
      </w:r>
    </w:p>
    <w:p>
      <w:pPr>
        <w:spacing w:after="0" w:line="3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the fiscal year ended September 30, 2007, as a result of permanent book-to-tax differences primarily due to adjustments relating to: federal and state tax expenses, and net earnings derived during the period prior to qualification as a RIC, the Company decreased distributions in excess of net investment income by $72,549, increased accumulated net realized loss by $14,063 and decreased paid-in capital in excess of par value by $58,486. Aggregate stockholders’ equity was not affected by this reclassification. As of September 30, 2007, the cost of investments for federal income tax purposes was $572,898,221 resulting in a gross unrealized appreciation and depreciation of $514,690 and $24,436,668, respectively. The following reconciles net increase in stockholders’ equity resulting from operations to taxable income for the year ended September 30, 2007:</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680" w:type="dxa"/>
            <w:vAlign w:val="bottom"/>
          </w:tcPr>
          <w:p>
            <w:pPr>
              <w:ind w:left="2640"/>
              <w:spacing w:after="0"/>
              <w:rPr>
                <w:sz w:val="20"/>
                <w:szCs w:val="20"/>
                <w:color w:val="auto"/>
              </w:rPr>
            </w:pPr>
            <w:r>
              <w:rPr>
                <w:rFonts w:ascii="Arial" w:cs="Arial" w:eastAsia="Arial" w:hAnsi="Arial"/>
                <w:sz w:val="18"/>
                <w:szCs w:val="18"/>
                <w:color w:val="auto"/>
              </w:rPr>
              <w:t>Net decrease in stockholders’ equity resulting from operations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8"/>
              </w:rPr>
              <w:t>(16,699,251)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investments transactions not taxable</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23,921,978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Net income derived during the period prior to qualification as a RIC</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Expenses not currently deductible</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Other deductible expenses</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(5,753)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Taxable income before deductions for distributions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7,430,956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CASH EQUIVALENTS</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Pending investment in longer-term portfolio holdings, PennantPark Investment may invest temporarily in U.S. Treasury Bills (of varying maturities), repurchase agreements, money markets or repo-like treasury securities. These temporary investments with maturities of 90 days or less will be deemed cash equivalents and are included in the Schedule of Investments. At the end of each fiscal quarter, PennantPark Investment typically takes proactive steps to preserve investment flexibility in the next quarter, which is dependent upon the composition of its total assets at quarter end. PennantPark Investment may accomplish this in several ways, including purchasing U.S. Treasury Bills and closing out its positions on a net cash basis after quarter-end or by utilizing repurchase agreements or other balance sheet transactions as it deems appropriate for this purpose. These amounts are excluded from adjusted gross assets for purposes of computing the asset base upon which the management fee is determined. U.S. Treasury Bills with maturities greater than 60 days from the time of purchase are marked-to-market consistent with PennantPark Investment’s valuation policy.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REPURCHASE AGREEMENTS</w:t>
      </w:r>
    </w:p>
    <w:p>
      <w:pPr>
        <w:spacing w:after="0" w:line="96"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PennantPark Investment may enter into repurchase agreements as part of its investment program. In these transactions, PennantPark Investment’s custodian takes possession of collateral pledged by the counterparty. The collateral is marked-to-market daily to ensure that the value, plus accrued interest, is at least equal to the repurchase price. In the event of default of the obligor to repurchase, PennantPark Investment will have the right to liquidate the collateral and apply the proceeds in satisfaction of the obligation. Under certain circumstances, in the event of default or bankruptcy by the counterparty to the agreement, realization and/or retention of the collateral or proceeds may be subject to legal proceedings. There were no repurchase agreements outstanding at September 30, 2007.</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HIGHLIGHTS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9860" w:type="dxa"/>
            <w:vAlign w:val="bottom"/>
          </w:tcPr>
          <w:p>
            <w:pPr>
              <w:ind w:left="440"/>
              <w:spacing w:after="0"/>
              <w:rPr>
                <w:sz w:val="20"/>
                <w:szCs w:val="20"/>
                <w:color w:val="auto"/>
              </w:rPr>
            </w:pPr>
            <w:r>
              <w:rPr>
                <w:rFonts w:ascii="Arial" w:cs="Arial" w:eastAsia="Arial" w:hAnsi="Arial"/>
                <w:sz w:val="18"/>
                <w:szCs w:val="18"/>
                <w:color w:val="auto"/>
                <w:w w:val="92"/>
              </w:rPr>
              <w:t>The following is a schedule of financial highlights for the period from January 11, 2007 (inception) through September 30, 2007:</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investment income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rPr>
              <w:t>Net realized and unrealized loss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line="217" w:lineRule="exact"/>
              <w:rPr>
                <w:sz w:val="20"/>
                <w:szCs w:val="20"/>
                <w:color w:val="auto"/>
              </w:rPr>
            </w:pPr>
            <w:r>
              <w:rPr>
                <w:rFonts w:ascii="Arial" w:cs="Arial" w:eastAsia="Arial" w:hAnsi="Arial"/>
                <w:sz w:val="18"/>
                <w:szCs w:val="18"/>
                <w:color w:val="auto"/>
              </w:rPr>
              <w:t>Distributions to stockholders</w:t>
            </w:r>
            <w:r>
              <w:rPr>
                <w:rFonts w:ascii="Arial" w:cs="Arial" w:eastAsia="Arial" w:hAnsi="Arial"/>
                <w:sz w:val="22"/>
                <w:szCs w:val="22"/>
                <w:color w:val="auto"/>
                <w:vertAlign w:val="superscript"/>
              </w:rPr>
              <w:t>(1)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Offering costs related to public offerings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80" w:type="dxa"/>
            <w:vAlign w:val="bottom"/>
            <w:gridSpan w:val="2"/>
            <w:vMerge w:val="restart"/>
          </w:tcPr>
          <w:p>
            <w:pPr>
              <w:spacing w:after="0"/>
              <w:rPr>
                <w:sz w:val="20"/>
                <w:szCs w:val="20"/>
                <w:color w:val="auto"/>
              </w:rPr>
            </w:pPr>
            <w:r>
              <w:rPr>
                <w:rFonts w:ascii="Arial" w:cs="Arial" w:eastAsia="Arial" w:hAnsi="Arial"/>
                <w:sz w:val="18"/>
                <w:szCs w:val="18"/>
                <w:color w:val="auto"/>
              </w:rPr>
              <w:t>Per share market value at end of period</w:t>
            </w: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880" w:type="dxa"/>
            <w:vAlign w:val="bottom"/>
            <w:gridSpan w:val="2"/>
            <w:vMerge w:val="continue"/>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13.40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60" w:type="dxa"/>
            <w:vAlign w:val="bottom"/>
            <w:shd w:val="clear" w:color="auto" w:fill="CCEEFF"/>
          </w:tcPr>
          <w:p>
            <w:pPr>
              <w:spacing w:after="0" w:line="218" w:lineRule="exact"/>
              <w:rPr>
                <w:sz w:val="20"/>
                <w:szCs w:val="20"/>
                <w:color w:val="auto"/>
              </w:rPr>
            </w:pPr>
            <w:r>
              <w:rPr>
                <w:rFonts w:ascii="Arial" w:cs="Arial" w:eastAsia="Arial" w:hAnsi="Arial"/>
                <w:sz w:val="18"/>
                <w:szCs w:val="18"/>
                <w:color w:val="auto"/>
              </w:rPr>
              <w:t>Total return</w:t>
            </w:r>
            <w:r>
              <w:rPr>
                <w:rFonts w:ascii="Arial" w:cs="Arial" w:eastAsia="Arial" w:hAnsi="Arial"/>
                <w:sz w:val="22"/>
                <w:szCs w:val="22"/>
                <w:color w:val="auto"/>
                <w:vertAlign w:val="superscript"/>
              </w:rPr>
              <w:t>(2)*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21,068,772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Ratio/Supplemental Data:</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270,393,094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Ratio of net investment income to average net assets</w:t>
            </w:r>
            <w:r>
              <w:rPr>
                <w:rFonts w:ascii="Arial" w:cs="Arial" w:eastAsia="Arial" w:hAnsi="Arial"/>
                <w:sz w:val="22"/>
                <w:szCs w:val="22"/>
                <w:color w:val="auto"/>
                <w:vertAlign w:val="superscript"/>
              </w:rPr>
              <w:t>(3)*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line="217" w:lineRule="exact"/>
              <w:rPr>
                <w:sz w:val="20"/>
                <w:szCs w:val="20"/>
                <w:color w:val="auto"/>
              </w:rPr>
            </w:pPr>
            <w:r>
              <w:rPr>
                <w:rFonts w:ascii="Arial" w:cs="Arial" w:eastAsia="Arial" w:hAnsi="Arial"/>
                <w:sz w:val="18"/>
                <w:szCs w:val="18"/>
                <w:color w:val="auto"/>
              </w:rPr>
              <w:t>Ratio of operating expenses before management fee waiver to average net assets</w:t>
            </w:r>
            <w:r>
              <w:rPr>
                <w:rFonts w:ascii="Arial" w:cs="Arial" w:eastAsia="Arial" w:hAnsi="Arial"/>
                <w:sz w:val="22"/>
                <w:szCs w:val="22"/>
                <w:color w:val="auto"/>
                <w:vertAlign w:val="superscript"/>
              </w:rPr>
              <w:t>(3)*</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Ratio of operating expenses after management fee waiver to average net assets</w:t>
            </w:r>
            <w:r>
              <w:rPr>
                <w:rFonts w:ascii="Arial" w:cs="Arial" w:eastAsia="Arial" w:hAnsi="Arial"/>
                <w:sz w:val="22"/>
                <w:szCs w:val="22"/>
                <w:color w:val="auto"/>
                <w:vertAlign w:val="superscript"/>
              </w:rPr>
              <w:t>(3)*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line="217" w:lineRule="exact"/>
              <w:rPr>
                <w:sz w:val="20"/>
                <w:szCs w:val="20"/>
                <w:color w:val="auto"/>
              </w:rPr>
            </w:pPr>
            <w:r>
              <w:rPr>
                <w:rFonts w:ascii="Arial" w:cs="Arial" w:eastAsia="Arial" w:hAnsi="Arial"/>
                <w:sz w:val="18"/>
                <w:szCs w:val="18"/>
                <w:color w:val="auto"/>
              </w:rPr>
              <w:t>Ratio of credit facility related expenses to average net assets</w:t>
            </w:r>
            <w:r>
              <w:rPr>
                <w:rFonts w:ascii="Arial" w:cs="Arial" w:eastAsia="Arial" w:hAnsi="Arial"/>
                <w:sz w:val="22"/>
                <w:szCs w:val="22"/>
                <w:color w:val="auto"/>
                <w:vertAlign w:val="superscript"/>
              </w:rPr>
              <w:t>(3)*</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Ratio of total expenses to average net assets</w:t>
            </w:r>
            <w:r>
              <w:rPr>
                <w:rFonts w:ascii="Arial" w:cs="Arial" w:eastAsia="Arial" w:hAnsi="Arial"/>
                <w:sz w:val="22"/>
                <w:szCs w:val="22"/>
                <w:color w:val="auto"/>
                <w:vertAlign w:val="superscript"/>
              </w:rPr>
              <w:t>(3)*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line="217" w:lineRule="exact"/>
              <w:rPr>
                <w:sz w:val="20"/>
                <w:szCs w:val="20"/>
                <w:color w:val="auto"/>
              </w:rPr>
            </w:pPr>
            <w:r>
              <w:rPr>
                <w:rFonts w:ascii="Arial" w:cs="Arial" w:eastAsia="Arial" w:hAnsi="Arial"/>
                <w:sz w:val="18"/>
                <w:szCs w:val="18"/>
                <w:color w:val="auto"/>
              </w:rPr>
              <w:t>Average debt outstanding</w:t>
            </w:r>
            <w:r>
              <w:rPr>
                <w:rFonts w:ascii="Arial" w:cs="Arial" w:eastAsia="Arial" w:hAnsi="Arial"/>
                <w:sz w:val="22"/>
                <w:szCs w:val="22"/>
                <w:color w:val="auto"/>
                <w:vertAlign w:val="superscript"/>
              </w:rPr>
              <w:t>(3)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817,610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Average debt per share</w:t>
            </w:r>
            <w:r>
              <w:rPr>
                <w:rFonts w:ascii="Arial" w:cs="Arial" w:eastAsia="Arial" w:hAnsi="Arial"/>
                <w:sz w:val="22"/>
                <w:szCs w:val="22"/>
                <w:color w:val="auto"/>
                <w:vertAlign w:val="superscript"/>
              </w:rPr>
              <w:t>(3)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Portfolio turnover ratio</w:t>
            </w:r>
            <w:r>
              <w:rPr>
                <w:rFonts w:ascii="Arial" w:cs="Arial" w:eastAsia="Arial" w:hAnsi="Arial"/>
                <w:sz w:val="22"/>
                <w:szCs w:val="22"/>
                <w:color w:val="auto"/>
                <w:vertAlign w:val="superscript"/>
              </w:rPr>
              <w:t>*</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89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44" w:lineRule="exact"/>
        <w:rPr>
          <w:sz w:val="20"/>
          <w:szCs w:val="20"/>
          <w:color w:val="auto"/>
        </w:rPr>
      </w:pPr>
    </w:p>
    <w:p>
      <w:pPr>
        <w:ind w:left="460" w:hanging="408"/>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Percentage has not been annualized.</w:t>
      </w:r>
    </w:p>
    <w:p>
      <w:pPr>
        <w:spacing w:after="0" w:line="90" w:lineRule="exact"/>
        <w:rPr>
          <w:sz w:val="20"/>
          <w:szCs w:val="20"/>
          <w:color w:val="auto"/>
        </w:rPr>
      </w:pPr>
    </w:p>
    <w:p>
      <w:pPr>
        <w:ind w:left="460" w:right="120" w:hanging="452"/>
        <w:spacing w:after="0" w:line="268"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accounting principles generally accepted in the United States of America.</w:t>
      </w:r>
    </w:p>
    <w:p>
      <w:pPr>
        <w:spacing w:after="0" w:line="5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reporting period based on stock issuance price of $15.00. It also takes into account distributions, if any, reinvested in accordance with the Company’s dividend reinvestment plan.</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Since completion of initial public offering on April 24, 2007.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CREDIT FACILITY</w:t>
      </w:r>
    </w:p>
    <w:p>
      <w:pPr>
        <w:spacing w:after="0" w:line="96"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On June 25, 2007, PennantPark Investment entered into a Senior Secured Revolving Credit Agreement (the “Credit Agreement”) among PennantPark Investment, various lenders and SunTrust Bank, as administrative agent for the lenders. SunTrust Robinson Humphrey Capital Markets acted as the joint lead arranger and book-runner, and Bear Stearns Corporate Lending Inc. acted as joint lead arranger and syndication agent. As of September 30, there was $10.0 million in outstanding borrowings under the Credit Agreement, with an average interest rate of 6.15%.</w:t>
      </w:r>
    </w:p>
    <w:p>
      <w:pPr>
        <w:spacing w:after="0" w:line="11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Under the Credit Agreement, the lenders agreed to extend credit to PennantPark Investment in an initial aggregate principal or face amount not exceeding $300,000,000 at any one time outstanding. The Credit Agreement is a five-year revolving facility (with a stated maturity date of June 25, 2012) and is secured by substantially all of the assets in PennantPark Investment’s portfolio. Pricing is set at 100 basis points over LIBOR.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02" w:lineRule="auto"/>
        <w:rPr>
          <w:sz w:val="20"/>
          <w:szCs w:val="20"/>
          <w:color w:val="auto"/>
        </w:rPr>
      </w:pPr>
      <w:r>
        <w:rPr>
          <w:rFonts w:ascii="Arial" w:cs="Arial" w:eastAsia="Arial" w:hAnsi="Arial"/>
          <w:sz w:val="15"/>
          <w:szCs w:val="15"/>
          <w:color w:val="auto"/>
        </w:rPr>
        <w:t>The Credit Agreement contains affirmative and restrictive covenants, including: (a) periodic financial reporting requirements, (b) maintenance of a minimum stockholders’ equity of the greater of (i) 40% of the total assets of PennantPark Investment and its subsidiaries as at the last day of any fiscal quarter and (ii) the sum of (A) $120,000,000 plus (B) 25% of the net proceeds from the sale of equity interests in PennantPark Investment and its subsidiaries after the closing date of the Credit Agreement, (c) maintenance of a ratio of total assets (less total liabilities other than indebtedness) to total indebtedness, in each case of PennantPark Investment, of not less than 2.0:1.0, (d) maintenance of minimum liquidity standards, (e) limitations on the incurrence of additional indebtedness,</w:t>
      </w:r>
    </w:p>
    <w:p>
      <w:pPr>
        <w:spacing w:after="0" w:line="2" w:lineRule="exact"/>
        <w:rPr>
          <w:sz w:val="20"/>
          <w:szCs w:val="20"/>
          <w:color w:val="auto"/>
        </w:rPr>
      </w:pPr>
    </w:p>
    <w:p>
      <w:pPr>
        <w:ind w:firstLine="8"/>
        <w:spacing w:after="0" w:line="287" w:lineRule="auto"/>
        <w:tabs>
          <w:tab w:leader="none" w:pos="219" w:val="left"/>
        </w:tabs>
        <w:numPr>
          <w:ilvl w:val="0"/>
          <w:numId w:val="90"/>
        </w:numPr>
        <w:rPr>
          <w:rFonts w:ascii="Arial" w:cs="Arial" w:eastAsia="Arial" w:hAnsi="Arial"/>
          <w:sz w:val="16"/>
          <w:szCs w:val="16"/>
          <w:color w:val="auto"/>
        </w:rPr>
      </w:pPr>
      <w:r>
        <w:rPr>
          <w:rFonts w:ascii="Arial" w:cs="Arial" w:eastAsia="Arial" w:hAnsi="Arial"/>
          <w:sz w:val="16"/>
          <w:szCs w:val="16"/>
          <w:color w:val="auto"/>
        </w:rPr>
        <w:t>limitations on liens, (g) limitations on fundamental corporate changes, (h) limitations on investments (other than PennantPark Investment’s portfolio investments and certain other ordinary course investments), (i) limitations on payments and distributions (other than distributions to PennantPark Investment’s stockholders as contemplated to maintain Regulated Investment Company status), (j) limitations on transactions with affiliates, (k) limitations on engaging in business not contemplated by PennantPark Investment’s investment objectives, and (l) limitations on the creation or existence of agreements that prohibit liens on properties of PennantPark Investment and its subsidiaries. In addition to the asset coverage ratio described in clause (c) of the preceding sentence, borrowings under the Credit Agreement (and the incurrence of certain other permitted debt) will be subject to compliance with a borrowing base that will apply different advance rates to different types of assets in PennantPark Investment’s portfolio. See our Credit Agreement, Exhibit 10.5, to this Report (incorporated by reference), for the definitions of capitalized terms used by us relating to the Credit Agreement but not defined in this note. The Credit Agreement will be used to supplement our equity capital to make additional portfolio investments and for other general corporate purposes.</w:t>
      </w:r>
    </w:p>
    <w:p>
      <w:pPr>
        <w:spacing w:after="0" w:line="120"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Separately, Pennant SPV entered into a senior secured credit facility on February 6, 2007 with Bear Stearns Investment Products Inc., as lender. Under the terms of this credit agreement, as amended on March 26, 2007, Bear Stearns Investment Products Inc. agreed to extend credit to Pennant SPV in an aggregate principal of up to $250 million at any one time outstanding. Borrowings under this credit agreement were used to finance investments made by PennantPark Investment prior to the closing of the initial public offering. By its terms this credit agreement matured on the closing date of the initial public offering on April 24, 2007, and accordingly PennantPark Investment caused Pennant SPV to repay the credit facility with Bear Stearns Investment Products Inc. in full.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From time to time, we, the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of results of operations.</w:t>
      </w:r>
    </w:p>
    <w:p>
      <w:pPr>
        <w:spacing w:after="0" w:line="10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Unfunded debt investments described in the consolidated statement of assets and liabilities represent unfunded delayed draws on investments in first lien secured debt.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80"/>
          </w:cols>
          <w:pgMar w:left="240" w:top="459" w:right="2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reviewed the accompanying statement of assets and liabilities of PennantPark Investment Corporation (the “Company”) as of June 30, 2008 and the consolidated statement of assets and liabilities as of September 30, 2007, including the schedules of investments, the related statements of operations for the three and nine month periods ended June 30, 2008 and the consolidated statements of operations for the three month period ended June 30, 2007 and the period from January 11, 2007 (inception) through June 30, 2007, and the statement of changes in net assets for the nine month period ended June 30, 2008 and the consolidated statement of changes in net assets for the period from January 11, 2007 (inception) through September 30, 2007 and the statement of cash flows for the nine month period ended June 30, 2008 and the consolidated statement of cash flows for the period from January 11, 2007 (inception) through June 30, 2007. These interim financial statements are the responsibility of the Company’s management.</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conducted our review in accordance with standards of the Public Company Accounting Oversight Board (United States). A review of interim financial information consists principally of applying analytical procedures and making inquires of persons responsible for financial and accounting matters. It is substantially less in scope than an audit conducted in accordance with standards of the Public Company Accounting Oversight Board (United States), the objective of which is the expression of an opinion regarding the financial statements taken as a whole. Accordingly, we do not express such an opinion.</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financial statements referred to above for them to be in conformity with U.S. generally accepted accounting principles.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previously audited, in accordance with standards of the Public Company Accounting Oversight Board (United States), the consolidated statement of assets and liabilities of PennantPark Investment Corporation, including the schedule of investments, as of September 30, 2007, and the related consolidated statement of operations, changes in net assets and cash flows for the period from January 11, 2007 (inception) through September 30, 2007; and in our report dated December 12, 2007, we expressed an unqualified opinion on those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1603375" cy="3600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6033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5, 2008</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20"/>
          </w:cols>
          <w:pgMar w:left="240" w:top="459" w:right="3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960" w:type="dxa"/>
            <w:vAlign w:val="bottom"/>
          </w:tcPr>
          <w:p>
            <w:pPr>
              <w:ind w:left="220"/>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66"/>
        </w:trPr>
        <w:tc>
          <w:tcPr>
            <w:tcW w:w="820" w:type="dxa"/>
            <w:vAlign w:val="bottom"/>
          </w:tcPr>
          <w:p>
            <w:pPr>
              <w:spacing w:after="0"/>
              <w:rPr>
                <w:sz w:val="24"/>
                <w:szCs w:val="24"/>
                <w:color w:val="auto"/>
              </w:rPr>
            </w:pPr>
          </w:p>
        </w:tc>
        <w:tc>
          <w:tcPr>
            <w:tcW w:w="7960" w:type="dxa"/>
            <w:vAlign w:val="bottom"/>
          </w:tcPr>
          <w:p>
            <w:pPr>
              <w:ind w:left="2940"/>
              <w:spacing w:after="0"/>
              <w:rPr>
                <w:sz w:val="20"/>
                <w:szCs w:val="20"/>
                <w:color w:val="auto"/>
              </w:rPr>
            </w:pPr>
            <w:r>
              <w:rPr>
                <w:rFonts w:ascii="Arial" w:cs="Arial" w:eastAsia="Arial" w:hAnsi="Arial"/>
                <w:sz w:val="18"/>
                <w:szCs w:val="18"/>
                <w:b w:val="1"/>
                <w:bCs w:val="1"/>
                <w:color w:val="auto"/>
              </w:rPr>
              <w:t>PENNANTPARK INVESTMENT CORPORATION</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8"/>
        </w:trPr>
        <w:tc>
          <w:tcPr>
            <w:tcW w:w="820" w:type="dxa"/>
            <w:vAlign w:val="bottom"/>
          </w:tcPr>
          <w:p>
            <w:pPr>
              <w:spacing w:after="0"/>
              <w:rPr>
                <w:sz w:val="19"/>
                <w:szCs w:val="19"/>
                <w:color w:val="auto"/>
              </w:rPr>
            </w:pPr>
          </w:p>
        </w:tc>
        <w:tc>
          <w:tcPr>
            <w:tcW w:w="7960" w:type="dxa"/>
            <w:vAlign w:val="bottom"/>
          </w:tcPr>
          <w:p>
            <w:pPr>
              <w:ind w:left="3040"/>
              <w:spacing w:after="0"/>
              <w:rPr>
                <w:sz w:val="20"/>
                <w:szCs w:val="20"/>
                <w:color w:val="auto"/>
              </w:rPr>
            </w:pPr>
            <w:r>
              <w:rPr>
                <w:rFonts w:ascii="Arial" w:cs="Arial" w:eastAsia="Arial" w:hAnsi="Arial"/>
                <w:sz w:val="18"/>
                <w:szCs w:val="18"/>
                <w:b w:val="1"/>
                <w:bCs w:val="1"/>
                <w:color w:val="auto"/>
              </w:rPr>
              <w:t>STATEMENTS OF ASSETS AND LIABILITIES</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40"/>
        </w:trPr>
        <w:tc>
          <w:tcPr>
            <w:tcW w:w="8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7"/>
              </w:rPr>
              <w:t>June 30, 2008</w:t>
            </w:r>
          </w:p>
        </w:tc>
        <w:tc>
          <w:tcPr>
            <w:tcW w:w="10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September 30,</w:t>
            </w:r>
          </w:p>
        </w:tc>
      </w:tr>
      <w:tr>
        <w:trPr>
          <w:trHeight w:val="161"/>
        </w:trPr>
        <w:tc>
          <w:tcPr>
            <w:tcW w:w="8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4"/>
                <w:szCs w:val="14"/>
                <w:color w:val="auto"/>
              </w:rPr>
            </w:pPr>
          </w:p>
        </w:tc>
        <w:tc>
          <w:tcPr>
            <w:tcW w:w="980" w:type="dxa"/>
            <w:vAlign w:val="bottom"/>
          </w:tcPr>
          <w:p>
            <w:pPr>
              <w:jc w:val="right"/>
              <w:ind w:right="314"/>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4"/>
                <w:szCs w:val="14"/>
                <w:color w:val="auto"/>
              </w:rPr>
            </w:pPr>
          </w:p>
        </w:tc>
      </w:tr>
      <w:tr>
        <w:trPr>
          <w:trHeight w:val="210"/>
        </w:trPr>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9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auto"/>
              </w:rPr>
              <w:t>Investments at fair value</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8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Non-controlled, non-affiliated investments, at fair value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4"/>
        </w:trPr>
        <w:tc>
          <w:tcPr>
            <w:tcW w:w="8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(cost—$435,256,061 and $298,789,297, respectively)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369,991,408</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274,679,030</w:t>
            </w:r>
          </w:p>
        </w:tc>
      </w:tr>
      <w:tr>
        <w:trPr>
          <w:trHeight w:val="223"/>
        </w:trPr>
        <w:tc>
          <w:tcPr>
            <w:tcW w:w="8780" w:type="dxa"/>
            <w:vAlign w:val="bottom"/>
            <w:gridSpan w:val="2"/>
          </w:tcPr>
          <w:p>
            <w:pPr>
              <w:ind w:left="440"/>
              <w:spacing w:after="0"/>
              <w:rPr>
                <w:sz w:val="20"/>
                <w:szCs w:val="20"/>
                <w:color w:val="auto"/>
              </w:rPr>
            </w:pPr>
            <w:r>
              <w:rPr>
                <w:rFonts w:ascii="Arial" w:cs="Arial" w:eastAsia="Arial" w:hAnsi="Arial"/>
                <w:sz w:val="18"/>
                <w:szCs w:val="18"/>
                <w:color w:val="auto"/>
              </w:rPr>
              <w:t>Non-controlled, affiliated investments, at fair value (cost—$16,534,481 and $16,092,573, respectively)</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15,715,395</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16,337,578</w:t>
            </w:r>
          </w:p>
        </w:tc>
        <w:tc>
          <w:tcPr>
            <w:tcW w:w="80" w:type="dxa"/>
            <w:vAlign w:val="bottom"/>
          </w:tcPr>
          <w:p>
            <w:pPr>
              <w:spacing w:after="0"/>
              <w:rPr>
                <w:sz w:val="19"/>
                <w:szCs w:val="19"/>
                <w:color w:val="auto"/>
              </w:rPr>
            </w:pPr>
          </w:p>
        </w:tc>
      </w:tr>
      <w:tr>
        <w:trPr>
          <w:trHeight w:val="216"/>
        </w:trPr>
        <w:tc>
          <w:tcPr>
            <w:tcW w:w="8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Investments at fair value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385,706,803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291,016,608</w:t>
            </w: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auto"/>
              </w:rPr>
              <w:t>Cash equivalents (cost—$41,030,236 and $258,016,351, respectively)</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41,030,236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257,959,635</w:t>
            </w: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4,024,013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4,517,850</w:t>
            </w:r>
          </w:p>
        </w:tc>
      </w:tr>
      <w:tr>
        <w:trPr>
          <w:trHeight w:val="223"/>
        </w:trPr>
        <w:tc>
          <w:tcPr>
            <w:tcW w:w="8780" w:type="dxa"/>
            <w:vAlign w:val="bottom"/>
            <w:gridSpan w:val="2"/>
          </w:tcPr>
          <w:p>
            <w:pPr>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1,524,999</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1,513,583</w:t>
            </w:r>
          </w:p>
        </w:tc>
        <w:tc>
          <w:tcPr>
            <w:tcW w:w="80" w:type="dxa"/>
            <w:vAlign w:val="bottom"/>
          </w:tcPr>
          <w:p>
            <w:pPr>
              <w:spacing w:after="0"/>
              <w:rPr>
                <w:sz w:val="19"/>
                <w:szCs w:val="19"/>
                <w:color w:val="auto"/>
              </w:rPr>
            </w:pPr>
          </w:p>
        </w:tc>
      </w:tr>
      <w:tr>
        <w:trPr>
          <w:trHeight w:val="216"/>
        </w:trPr>
        <w:tc>
          <w:tcPr>
            <w:tcW w:w="820" w:type="dxa"/>
            <w:vAlign w:val="bottom"/>
            <w:shd w:val="clear" w:color="auto" w:fill="CCEEFF"/>
          </w:tcPr>
          <w:p>
            <w:pPr>
              <w:spacing w:after="0"/>
              <w:rPr>
                <w:sz w:val="18"/>
                <w:szCs w:val="18"/>
                <w:color w:val="auto"/>
              </w:rPr>
            </w:pPr>
          </w:p>
        </w:tc>
        <w:tc>
          <w:tcPr>
            <w:tcW w:w="79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432,286,051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555,007,676</w:t>
            </w:r>
          </w:p>
        </w:tc>
      </w:tr>
      <w:tr>
        <w:trPr>
          <w:trHeight w:val="221"/>
        </w:trPr>
        <w:tc>
          <w:tcPr>
            <w:tcW w:w="820" w:type="dxa"/>
            <w:vAlign w:val="bottom"/>
          </w:tcPr>
          <w:p>
            <w:pPr>
              <w:spacing w:after="0"/>
              <w:rPr>
                <w:sz w:val="20"/>
                <w:szCs w:val="20"/>
                <w:color w:val="auto"/>
              </w:rPr>
            </w:pPr>
            <w:r>
              <w:rPr>
                <w:rFonts w:ascii="Arial" w:cs="Arial" w:eastAsia="Arial" w:hAnsi="Arial"/>
                <w:sz w:val="18"/>
                <w:szCs w:val="18"/>
                <w:b w:val="1"/>
                <w:bCs w:val="1"/>
                <w:color w:val="auto"/>
                <w:w w:val="96"/>
              </w:rPr>
              <w:t>Liabilities</w:t>
            </w:r>
          </w:p>
        </w:tc>
        <w:tc>
          <w:tcPr>
            <w:tcW w:w="79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8"/>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for cash equivalents purchased</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252,759,931</w:t>
            </w: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auto"/>
              </w:rPr>
              <w:t>Payable for investments purchased</w:t>
            </w:r>
          </w:p>
        </w:tc>
        <w:tc>
          <w:tcPr>
            <w:tcW w:w="12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16,583,921</w:t>
            </w: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Unfunded investments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3,989,948</w:t>
            </w: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auto"/>
              </w:rPr>
              <w:t>Credit facility payable</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204,100,000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10,000,000</w:t>
            </w: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134,946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170,989</w:t>
            </w:r>
          </w:p>
        </w:tc>
      </w:tr>
      <w:tr>
        <w:trPr>
          <w:trHeight w:val="223"/>
        </w:trPr>
        <w:tc>
          <w:tcPr>
            <w:tcW w:w="8780" w:type="dxa"/>
            <w:vAlign w:val="bottom"/>
            <w:gridSpan w:val="2"/>
          </w:tcPr>
          <w:p>
            <w:pPr>
              <w:spacing w:after="0"/>
              <w:rPr>
                <w:sz w:val="20"/>
                <w:szCs w:val="20"/>
                <w:color w:val="auto"/>
              </w:rPr>
            </w:pPr>
            <w:r>
              <w:rPr>
                <w:rFonts w:ascii="Arial" w:cs="Arial" w:eastAsia="Arial" w:hAnsi="Arial"/>
                <w:sz w:val="18"/>
                <w:szCs w:val="18"/>
                <w:color w:val="auto"/>
              </w:rPr>
              <w:t>Accrued other expenses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1,224,266</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1,109,793</w:t>
            </w:r>
          </w:p>
        </w:tc>
        <w:tc>
          <w:tcPr>
            <w:tcW w:w="80" w:type="dxa"/>
            <w:vAlign w:val="bottom"/>
          </w:tcPr>
          <w:p>
            <w:pPr>
              <w:spacing w:after="0"/>
              <w:rPr>
                <w:sz w:val="19"/>
                <w:szCs w:val="19"/>
                <w:color w:val="auto"/>
              </w:rPr>
            </w:pPr>
          </w:p>
        </w:tc>
      </w:tr>
      <w:tr>
        <w:trPr>
          <w:trHeight w:val="216"/>
        </w:trPr>
        <w:tc>
          <w:tcPr>
            <w:tcW w:w="820" w:type="dxa"/>
            <w:vAlign w:val="bottom"/>
            <w:shd w:val="clear" w:color="auto" w:fill="CCEEFF"/>
          </w:tcPr>
          <w:p>
            <w:pPr>
              <w:spacing w:after="0"/>
              <w:rPr>
                <w:sz w:val="18"/>
                <w:szCs w:val="18"/>
                <w:color w:val="auto"/>
              </w:rPr>
            </w:pPr>
          </w:p>
        </w:tc>
        <w:tc>
          <w:tcPr>
            <w:tcW w:w="79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205,459,212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284,614,582</w:t>
            </w:r>
          </w:p>
        </w:tc>
      </w:tr>
      <w:tr>
        <w:trPr>
          <w:trHeight w:val="221"/>
        </w:trPr>
        <w:tc>
          <w:tcPr>
            <w:tcW w:w="820" w:type="dxa"/>
            <w:vAlign w:val="bottom"/>
          </w:tcPr>
          <w:p>
            <w:pPr>
              <w:spacing w:after="0"/>
              <w:rPr>
                <w:sz w:val="20"/>
                <w:szCs w:val="20"/>
                <w:color w:val="auto"/>
              </w:rPr>
            </w:pPr>
            <w:r>
              <w:rPr>
                <w:rFonts w:ascii="Arial" w:cs="Arial" w:eastAsia="Arial" w:hAnsi="Arial"/>
                <w:sz w:val="18"/>
                <w:szCs w:val="18"/>
                <w:b w:val="1"/>
                <w:bCs w:val="1"/>
                <w:color w:val="auto"/>
                <w:w w:val="85"/>
              </w:rPr>
              <w:t>Net Assets</w:t>
            </w:r>
          </w:p>
        </w:tc>
        <w:tc>
          <w:tcPr>
            <w:tcW w:w="79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Common stock, par value $0.001 per share, 100,000,000 shares authorized and 21,068,772 shares issued and</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4"/>
        </w:trPr>
        <w:tc>
          <w:tcPr>
            <w:tcW w:w="8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outstanding</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21,069</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21,069</w:t>
            </w: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auto"/>
              </w:rPr>
              <w:t>Paid-in capital in excess of par</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294,586,604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294,586,604</w:t>
            </w: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 in excess of net investment income</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(980,265)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(196,769)</w:t>
            </w: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auto"/>
              </w:rPr>
              <w:t>Accumulated net realized loss</w:t>
            </w:r>
          </w:p>
        </w:tc>
        <w:tc>
          <w:tcPr>
            <w:tcW w:w="12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(716,830)</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(95,832)</w:t>
            </w: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depreciation on investments and cash equivalents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(66,083,739)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(23,921,978)</w:t>
            </w:r>
          </w:p>
        </w:tc>
      </w:tr>
      <w:tr>
        <w:trPr>
          <w:trHeight w:val="230"/>
        </w:trPr>
        <w:tc>
          <w:tcPr>
            <w:tcW w:w="820" w:type="dxa"/>
            <w:vAlign w:val="bottom"/>
          </w:tcPr>
          <w:p>
            <w:pPr>
              <w:spacing w:after="0"/>
              <w:rPr>
                <w:sz w:val="20"/>
                <w:szCs w:val="20"/>
                <w:color w:val="auto"/>
              </w:rPr>
            </w:pPr>
          </w:p>
        </w:tc>
        <w:tc>
          <w:tcPr>
            <w:tcW w:w="7960" w:type="dxa"/>
            <w:vAlign w:val="bottom"/>
          </w:tcPr>
          <w:p>
            <w:pPr>
              <w:ind w:left="60"/>
              <w:spacing w:after="0"/>
              <w:rPr>
                <w:sz w:val="20"/>
                <w:szCs w:val="20"/>
                <w:color w:val="auto"/>
              </w:rPr>
            </w:pPr>
            <w:r>
              <w:rPr>
                <w:rFonts w:ascii="Arial" w:cs="Arial" w:eastAsia="Arial" w:hAnsi="Arial"/>
                <w:sz w:val="18"/>
                <w:szCs w:val="18"/>
                <w:b w:val="1"/>
                <w:bCs w:val="1"/>
                <w:color w:val="auto"/>
              </w:rPr>
              <w:t>Total net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226,826,839</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270,393,094</w:t>
            </w:r>
          </w:p>
        </w:tc>
        <w:tc>
          <w:tcPr>
            <w:tcW w:w="80" w:type="dxa"/>
            <w:vAlign w:val="bottom"/>
          </w:tcPr>
          <w:p>
            <w:pPr>
              <w:spacing w:after="0"/>
              <w:rPr>
                <w:sz w:val="20"/>
                <w:szCs w:val="20"/>
                <w:color w:val="auto"/>
              </w:rPr>
            </w:pPr>
          </w:p>
        </w:tc>
      </w:tr>
      <w:tr>
        <w:trPr>
          <w:trHeight w:val="216"/>
        </w:trPr>
        <w:tc>
          <w:tcPr>
            <w:tcW w:w="820" w:type="dxa"/>
            <w:vAlign w:val="bottom"/>
            <w:shd w:val="clear" w:color="auto" w:fill="CCEEFF"/>
          </w:tcPr>
          <w:p>
            <w:pPr>
              <w:spacing w:after="0"/>
              <w:rPr>
                <w:sz w:val="18"/>
                <w:szCs w:val="18"/>
                <w:color w:val="auto"/>
              </w:rPr>
            </w:pPr>
          </w:p>
        </w:tc>
        <w:tc>
          <w:tcPr>
            <w:tcW w:w="79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Total liabilities and net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432,286,051</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555,007,676</w:t>
            </w:r>
          </w:p>
        </w:tc>
        <w:tc>
          <w:tcPr>
            <w:tcW w:w="80" w:type="dxa"/>
            <w:vAlign w:val="bottom"/>
            <w:shd w:val="clear" w:color="auto" w:fill="CCEEFF"/>
          </w:tcPr>
          <w:p>
            <w:pPr>
              <w:spacing w:after="0"/>
              <w:rPr>
                <w:sz w:val="18"/>
                <w:szCs w:val="18"/>
                <w:color w:val="auto"/>
              </w:rPr>
            </w:pPr>
          </w:p>
        </w:tc>
      </w:tr>
      <w:tr>
        <w:trPr>
          <w:trHeight w:val="222"/>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Net asset value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10.77</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12.83</w:t>
            </w:r>
          </w:p>
        </w:tc>
      </w:tr>
      <w:tr>
        <w:trPr>
          <w:trHeight w:val="20"/>
        </w:trPr>
        <w:tc>
          <w:tcPr>
            <w:tcW w:w="8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January 11, 2007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Three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Three</w:t>
            </w:r>
          </w:p>
        </w:tc>
        <w:tc>
          <w:tcPr>
            <w:tcW w:w="10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Nine</w:t>
            </w:r>
          </w:p>
        </w:tc>
        <w:tc>
          <w:tcPr>
            <w:tcW w:w="12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1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months ended</w:t>
            </w:r>
          </w:p>
        </w:tc>
        <w:tc>
          <w:tcPr>
            <w:tcW w:w="160" w:type="dxa"/>
            <w:vAlign w:val="bottom"/>
          </w:tcPr>
          <w:p>
            <w:pPr>
              <w:spacing w:after="0"/>
              <w:rPr>
                <w:sz w:val="12"/>
                <w:szCs w:val="12"/>
                <w:color w:val="auto"/>
              </w:rPr>
            </w:pPr>
          </w:p>
        </w:tc>
        <w:tc>
          <w:tcPr>
            <w:tcW w:w="13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months ended</w:t>
            </w:r>
          </w:p>
        </w:tc>
        <w:tc>
          <w:tcPr>
            <w:tcW w:w="10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months ended</w:t>
            </w:r>
          </w:p>
        </w:tc>
        <w:tc>
          <w:tcPr>
            <w:tcW w:w="12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5"/>
              </w:rPr>
              <w:t>June 30, 2008</w:t>
            </w:r>
          </w:p>
        </w:tc>
        <w:tc>
          <w:tcPr>
            <w:tcW w:w="160" w:type="dxa"/>
            <w:vAlign w:val="bottom"/>
          </w:tcPr>
          <w:p>
            <w:pPr>
              <w:spacing w:after="0"/>
              <w:rPr>
                <w:sz w:val="14"/>
                <w:szCs w:val="14"/>
                <w:color w:val="auto"/>
              </w:rPr>
            </w:pPr>
          </w:p>
        </w:tc>
        <w:tc>
          <w:tcPr>
            <w:tcW w:w="13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5"/>
              </w:rPr>
              <w:t>June 30, 2007</w:t>
            </w:r>
          </w:p>
        </w:tc>
        <w:tc>
          <w:tcPr>
            <w:tcW w:w="100" w:type="dxa"/>
            <w:vAlign w:val="bottom"/>
          </w:tcPr>
          <w:p>
            <w:pPr>
              <w:spacing w:after="0"/>
              <w:rPr>
                <w:sz w:val="14"/>
                <w:szCs w:val="14"/>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June 30, 2008</w:t>
            </w:r>
          </w:p>
        </w:tc>
        <w:tc>
          <w:tcPr>
            <w:tcW w:w="12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June 30, 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9,080,471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5,425,279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27,016,694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6,198,262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Dividends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132,154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132,154</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111,924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167,806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From non-controlled, affiliated investments: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337,832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1,063,257</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ind w:left="860"/>
              <w:spacing w:after="0"/>
              <w:rPr>
                <w:sz w:val="20"/>
                <w:szCs w:val="20"/>
                <w:color w:val="auto"/>
              </w:rPr>
            </w:pPr>
            <w:r>
              <w:rPr>
                <w:rFonts w:ascii="Arial" w:cs="Arial" w:eastAsia="Arial" w:hAnsi="Arial"/>
                <w:sz w:val="18"/>
                <w:szCs w:val="18"/>
                <w:b w:val="1"/>
                <w:bCs w:val="1"/>
                <w:color w:val="auto"/>
              </w:rPr>
              <w:t>Total investment income</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9,662,381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5,425,279</w:t>
            </w:r>
          </w:p>
        </w:tc>
        <w:tc>
          <w:tcPr>
            <w:tcW w:w="100" w:type="dxa"/>
            <w:vAlign w:val="bottom"/>
          </w:tcPr>
          <w:p>
            <w:pPr>
              <w:spacing w:after="0"/>
              <w:rPr>
                <w:sz w:val="20"/>
                <w:szCs w:val="20"/>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28,379,911</w:t>
            </w:r>
          </w:p>
        </w:tc>
        <w:tc>
          <w:tcPr>
            <w:tcW w:w="1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6,198,262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Base management fee</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1,829,909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1,048,503</w:t>
            </w:r>
          </w:p>
        </w:tc>
        <w:tc>
          <w:tcPr>
            <w:tcW w:w="10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5,195,750</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1,048,503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Performance-based incentive fee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(see note 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985,287</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2,433,394</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Interest and other credit facility expenses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1,656,140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862,433</w:t>
            </w:r>
          </w:p>
        </w:tc>
        <w:tc>
          <w:tcPr>
            <w:tcW w:w="10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4,422,543</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1,603,408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services expenses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591,726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192,584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1,804,047</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658,178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276,166</w:t>
            </w:r>
          </w:p>
        </w:tc>
        <w:tc>
          <w:tcPr>
            <w:tcW w:w="10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1,823,014</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559,394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Expenses before base management fee waiver</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5,721,240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2,379,686</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15,678,748</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3,403,889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420"/>
              <w:spacing w:after="0"/>
              <w:rPr>
                <w:sz w:val="20"/>
                <w:szCs w:val="20"/>
                <w:color w:val="auto"/>
              </w:rPr>
            </w:pPr>
            <w:r>
              <w:rPr>
                <w:rFonts w:ascii="Arial" w:cs="Arial" w:eastAsia="Arial" w:hAnsi="Arial"/>
                <w:sz w:val="18"/>
                <w:szCs w:val="18"/>
                <w:color w:val="auto"/>
              </w:rPr>
              <w:t>Base management fee waiver</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(262,126)</w:t>
            </w:r>
          </w:p>
        </w:tc>
        <w:tc>
          <w:tcPr>
            <w:tcW w:w="10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(420,731)</w:t>
            </w: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(262,126)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Net expenses</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5,721,240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2,217,560</w:t>
            </w:r>
          </w:p>
        </w:tc>
        <w:tc>
          <w:tcPr>
            <w:tcW w:w="100" w:type="dxa"/>
            <w:vAlign w:val="bottom"/>
          </w:tcPr>
          <w:p>
            <w:pPr>
              <w:spacing w:after="0"/>
              <w:rPr>
                <w:sz w:val="19"/>
                <w:szCs w:val="19"/>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15,258,017</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3,241,763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investment income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3,941,141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3,207,719</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13,121,894</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2,956,499</w:t>
            </w:r>
          </w:p>
        </w:tc>
        <w:tc>
          <w:tcPr>
            <w:tcW w:w="0" w:type="dxa"/>
            <w:vAlign w:val="bottom"/>
          </w:tcPr>
          <w:p>
            <w:pPr>
              <w:spacing w:after="0"/>
              <w:rPr>
                <w:sz w:val="1"/>
                <w:szCs w:val="1"/>
                <w:color w:val="auto"/>
              </w:rPr>
            </w:pPr>
          </w:p>
        </w:tc>
      </w:tr>
      <w:tr>
        <w:trPr>
          <w:trHeight w:val="222"/>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w w:val="97"/>
              </w:rPr>
              <w:t>Realized and unrealized gain (loss) on investments and cash equivalents:</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loss on investments and cash equivalents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(401,624)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(34,726)</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(620,998)</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Net change in unrealized appreciation (depreciation) on:</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Non-controlled, non-affiliated investments and cash equivalents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10,700,808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(5,117,039)</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(41,097,670)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(5,118,740)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860"/>
              <w:spacing w:after="0"/>
              <w:rPr>
                <w:sz w:val="20"/>
                <w:szCs w:val="20"/>
                <w:color w:val="auto"/>
              </w:rPr>
            </w:pPr>
            <w:r>
              <w:rPr>
                <w:rFonts w:ascii="Arial" w:cs="Arial" w:eastAsia="Arial" w:hAnsi="Arial"/>
                <w:sz w:val="18"/>
                <w:szCs w:val="18"/>
                <w:color w:val="auto"/>
              </w:rPr>
              <w:t>Non-controlled, affiliated investments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964,139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(1,064,091)</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appreciation (depreciation)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11,664,947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(5,117,039)</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(42,161,761)</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(5,118,740)</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1"/>
              </w:rPr>
              <w:t>Net realized and unrealized gain (loss) from investments and cash equivalents</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11,263,323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(5,151,765)</w:t>
            </w:r>
          </w:p>
        </w:tc>
        <w:tc>
          <w:tcPr>
            <w:tcW w:w="10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(42,782,759)</w:t>
            </w: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(5,134,091)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15,204,464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(1,944,046)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(29,660,865)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(2,177,592)</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Gain (loss) per common share (see note 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6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0.72</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(0.09)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(1.40)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NET ASSETS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9"/>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Nine</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months ended</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June 30, 2008</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4"/>
                <w:szCs w:val="14"/>
                <w:color w:val="auto"/>
              </w:rPr>
            </w:pPr>
          </w:p>
        </w:tc>
        <w:tc>
          <w:tcPr>
            <w:tcW w:w="98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2007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Decrease in net assets from operations:</w:t>
            </w:r>
          </w:p>
        </w:tc>
        <w:tc>
          <w:tcPr>
            <w:tcW w:w="1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13,121,894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7,304,496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loss on investments and cash equivalents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(620,998)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Net change in unrealized depreciation on investments and cash equivalents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(42,161,761)</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(23,921,978)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decrease in net assets resulting from operations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(29,660,865)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(16,699,251)</w:t>
            </w:r>
          </w:p>
        </w:tc>
        <w:tc>
          <w:tcPr>
            <w:tcW w:w="0" w:type="dxa"/>
            <w:vAlign w:val="bottom"/>
          </w:tcPr>
          <w:p>
            <w:pPr>
              <w:spacing w:after="0"/>
              <w:rPr>
                <w:sz w:val="1"/>
                <w:szCs w:val="1"/>
                <w:color w:val="auto"/>
              </w:rPr>
            </w:pPr>
          </w:p>
        </w:tc>
      </w:tr>
      <w:tr>
        <w:trPr>
          <w:trHeight w:val="290"/>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Dividends and distributions to Stockholders:</w:t>
            </w:r>
          </w:p>
        </w:tc>
        <w:tc>
          <w:tcPr>
            <w:tcW w:w="15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from net investment income</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(13,905,390)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(7,545,458)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Return of capital</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(28,356)</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2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9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dividends and distributions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(13,905,390)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(7,573,814)</w:t>
            </w:r>
          </w:p>
        </w:tc>
        <w:tc>
          <w:tcPr>
            <w:tcW w:w="0" w:type="dxa"/>
            <w:vAlign w:val="bottom"/>
          </w:tcPr>
          <w:p>
            <w:pPr>
              <w:spacing w:after="0"/>
              <w:rPr>
                <w:sz w:val="1"/>
                <w:szCs w:val="1"/>
                <w:color w:val="auto"/>
              </w:rPr>
            </w:pPr>
          </w:p>
        </w:tc>
      </w:tr>
      <w:tr>
        <w:trPr>
          <w:trHeight w:val="290"/>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Capital share transactions:</w:t>
            </w:r>
          </w:p>
        </w:tc>
        <w:tc>
          <w:tcPr>
            <w:tcW w:w="15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shares of common stock</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315,375,000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Offering costs related to public share offerings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(21,309,375)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Reinvestment of dividends</w:t>
            </w:r>
          </w:p>
        </w:tc>
        <w:tc>
          <w:tcPr>
            <w:tcW w:w="1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600,534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20" w:type="dxa"/>
            <w:vAlign w:val="bottom"/>
          </w:tcPr>
          <w:p>
            <w:pPr>
              <w:ind w:left="420"/>
              <w:spacing w:after="0"/>
              <w:rPr>
                <w:sz w:val="20"/>
                <w:szCs w:val="20"/>
                <w:color w:val="auto"/>
              </w:rPr>
            </w:pPr>
            <w:r>
              <w:rPr>
                <w:rFonts w:ascii="Arial" w:cs="Arial" w:eastAsia="Arial" w:hAnsi="Arial"/>
                <w:sz w:val="18"/>
                <w:szCs w:val="18"/>
                <w:b w:val="1"/>
                <w:bCs w:val="1"/>
                <w:color w:val="auto"/>
              </w:rPr>
              <w:t>Net increase in net assets resulting from capital share transactions</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294,666,159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(decrease) increase in net assets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(43,566,255)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270,393,094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Beginning of period</w:t>
            </w:r>
          </w:p>
        </w:tc>
        <w:tc>
          <w:tcPr>
            <w:tcW w:w="1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270,393,094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End of period</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226,826,839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270,393,094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Shares issued from subscriptions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21,025,000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issued from reinvestment of dividend</w:t>
            </w:r>
          </w:p>
        </w:tc>
        <w:tc>
          <w:tcPr>
            <w:tcW w:w="1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Total increase in capital shares</w:t>
            </w:r>
          </w:p>
        </w:tc>
        <w:tc>
          <w:tcPr>
            <w:tcW w:w="1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21,068,772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9"/>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Nine</w:t>
            </w:r>
          </w:p>
        </w:tc>
        <w:tc>
          <w:tcPr>
            <w:tcW w:w="12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months ended</w:t>
            </w:r>
          </w:p>
        </w:tc>
        <w:tc>
          <w:tcPr>
            <w:tcW w:w="12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5"/>
              </w:rPr>
              <w:t>June 30, 2008</w:t>
            </w:r>
          </w:p>
        </w:tc>
        <w:tc>
          <w:tcPr>
            <w:tcW w:w="12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June 30, 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Net decrease in net assets resulting from operations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(29,660,865)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(2,177,592)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Adjustments to reconcile net decrease in net assets resulting from operations to net cash used by operating</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activities:</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Change in net unrealized depreciation on investments and cash equivalents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42,161,761</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5,118,740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realized loss on investments and cash equivalents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620,998</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Net accretion of discount and amortization of premium</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(835,822)</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 of investments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(149,312,146)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(372,854,779)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Payment-in-kind interest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(1,735,282)</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disposition of investments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14,410,296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92,676,996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Increase in receivable for investments sold</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(13,574,352)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interest receivable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493,837</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(3,030,837)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Increase in prepaid expenses and other assets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(11,416)</w:t>
            </w: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(297,430)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(decrease) in payables for cash equivalents purchased</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(252,759,931)</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281,783,538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Decrease in payables for investments purchased</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(16,583,921)</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unfunded investments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(3,989,948)</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8,591,972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Decrease in interest payable on credit facility</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(36,043)</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accrued expenses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114,473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1,595,812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vMerge w:val="restart"/>
          </w:tcPr>
          <w:p>
            <w:pPr>
              <w:ind w:left="1280"/>
              <w:spacing w:after="0"/>
              <w:rPr>
                <w:sz w:val="20"/>
                <w:szCs w:val="20"/>
                <w:color w:val="auto"/>
              </w:rPr>
            </w:pPr>
            <w:r>
              <w:rPr>
                <w:rFonts w:ascii="Arial" w:cs="Arial" w:eastAsia="Arial" w:hAnsi="Arial"/>
                <w:sz w:val="18"/>
                <w:szCs w:val="18"/>
                <w:color w:val="auto"/>
              </w:rPr>
              <w:t>Net cash used by operating activities</w:t>
            </w: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(397,124,009)</w:t>
            </w:r>
          </w:p>
        </w:tc>
        <w:tc>
          <w:tcPr>
            <w:tcW w:w="1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(2,152,581)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Increase in issuance of common stock</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315,682,229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Offering costs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(21,309,375)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Capitalized borrowing costs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(1,171,824)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Dividends and distributions to stockholders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(13,905,390)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Borrowings under credit facility (see note 11)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359,840,000</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241,913,786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Repayments under credit facility (see note 11)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(165,740,000)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(241,913,786)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180,194,610</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290,257,530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(216,929,399)</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288,104,949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257,959,635</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41,030,236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288,104,949</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 paid</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3,840,424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Income taxes paid</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JUNE 30, 2008</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0"/>
              </w:rPr>
              <w:t>Basis</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Point</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Spread</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Current</w:t>
            </w:r>
          </w:p>
        </w:tc>
        <w:tc>
          <w:tcPr>
            <w:tcW w:w="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Above</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176"/>
        </w:trPr>
        <w:tc>
          <w:tcPr>
            <w:tcW w:w="43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9"/>
              </w:rPr>
              <w:t>Maturity</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00" w:type="dxa"/>
            <w:vAlign w:val="bottom"/>
          </w:tcPr>
          <w:p>
            <w:pPr>
              <w:spacing w:after="0"/>
              <w:rPr>
                <w:sz w:val="15"/>
                <w:szCs w:val="15"/>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Coupon</w:t>
            </w:r>
          </w:p>
        </w:tc>
        <w:tc>
          <w:tcPr>
            <w:tcW w:w="580" w:type="dxa"/>
            <w:vAlign w:val="bottom"/>
            <w:gridSpan w:val="2"/>
          </w:tcPr>
          <w:p>
            <w:pPr>
              <w:jc w:val="center"/>
              <w:ind w:right="8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00" w:type="dxa"/>
            <w:vAlign w:val="bottom"/>
          </w:tcPr>
          <w:p>
            <w:pPr>
              <w:spacing w:after="0"/>
              <w:rPr>
                <w:sz w:val="15"/>
                <w:szCs w:val="15"/>
                <w:color w:val="auto"/>
              </w:rPr>
            </w:pPr>
          </w:p>
        </w:tc>
        <w:tc>
          <w:tcPr>
            <w:tcW w:w="980" w:type="dxa"/>
            <w:vAlign w:val="bottom"/>
            <w:gridSpan w:val="2"/>
          </w:tcPr>
          <w:p>
            <w:pPr>
              <w:ind w:left="280"/>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5"/>
                <w:szCs w:val="15"/>
                <w:color w:val="auto"/>
              </w:rPr>
            </w:pPr>
          </w:p>
        </w:tc>
        <w:tc>
          <w:tcPr>
            <w:tcW w:w="980" w:type="dxa"/>
            <w:vAlign w:val="bottom"/>
            <w:gridSpan w:val="2"/>
          </w:tcPr>
          <w:p>
            <w:pPr>
              <w:ind w:left="2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358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240" w:type="dxa"/>
            <w:vAlign w:val="bottom"/>
            <w:gridSpan w:val="5"/>
            <w:shd w:val="clear" w:color="auto" w:fill="CCEEFF"/>
          </w:tcPr>
          <w:p>
            <w:pPr>
              <w:spacing w:after="0" w:line="205" w:lineRule="exact"/>
              <w:rPr>
                <w:sz w:val="20"/>
                <w:szCs w:val="20"/>
                <w:color w:val="auto"/>
              </w:rPr>
            </w:pPr>
            <w:r>
              <w:rPr>
                <w:rFonts w:ascii="Arial" w:cs="Arial" w:eastAsia="Arial" w:hAnsi="Arial"/>
                <w:sz w:val="18"/>
                <w:szCs w:val="18"/>
                <w:b w:val="1"/>
                <w:bCs w:val="1"/>
                <w:color w:val="auto"/>
                <w:w w:val="91"/>
              </w:rPr>
              <w:t>Investments in Non-Controlled, Non-Affiliated Portfolio Companies</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320" w:type="dxa"/>
            <w:vAlign w:val="bottom"/>
            <w:tcBorders>
              <w:bottom w:val="single" w:sz="8" w:color="auto"/>
            </w:tcBorders>
            <w:gridSpan w:val="2"/>
            <w:shd w:val="clear" w:color="auto" w:fill="CCEEFF"/>
          </w:tcPr>
          <w:p>
            <w:pPr>
              <w:spacing w:after="0" w:line="267" w:lineRule="exact"/>
              <w:rPr>
                <w:sz w:val="20"/>
                <w:szCs w:val="20"/>
                <w:color w:val="auto"/>
              </w:rPr>
            </w:pPr>
            <w:r>
              <w:rPr>
                <w:rFonts w:ascii="Arial" w:cs="Arial" w:eastAsia="Arial" w:hAnsi="Arial"/>
                <w:sz w:val="18"/>
                <w:szCs w:val="18"/>
                <w:b w:val="1"/>
                <w:bCs w:val="1"/>
                <w:color w:val="auto"/>
              </w:rPr>
              <w:t>– 163.1%</w:t>
            </w:r>
            <w:r>
              <w:rPr>
                <w:rFonts w:ascii="Arial" w:cs="Arial" w:eastAsia="Arial" w:hAnsi="Arial"/>
                <w:sz w:val="29"/>
                <w:szCs w:val="29"/>
                <w:b w:val="1"/>
                <w:bCs w:val="1"/>
                <w:color w:val="auto"/>
                <w:vertAlign w:val="superscript"/>
              </w:rPr>
              <w:t>(1)</w:t>
            </w:r>
          </w:p>
        </w:tc>
        <w:tc>
          <w:tcPr>
            <w:tcW w:w="82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6"/>
        </w:trPr>
        <w:tc>
          <w:tcPr>
            <w:tcW w:w="4340" w:type="dxa"/>
            <w:vAlign w:val="bottom"/>
            <w:gridSpan w:val="3"/>
          </w:tcPr>
          <w:p>
            <w:pPr>
              <w:spacing w:after="0"/>
              <w:rPr>
                <w:sz w:val="20"/>
                <w:szCs w:val="20"/>
                <w:color w:val="auto"/>
              </w:rPr>
            </w:pPr>
            <w:r>
              <w:rPr>
                <w:rFonts w:ascii="Arial" w:cs="Arial" w:eastAsia="Arial" w:hAnsi="Arial"/>
                <w:sz w:val="18"/>
                <w:szCs w:val="18"/>
                <w:b w:val="1"/>
                <w:bCs w:val="1"/>
                <w:color w:val="auto"/>
              </w:rPr>
              <w:t>Subordinated Debt / Corporate Notes – 55.7%</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DVANSTAR</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11/30/2015</w:t>
            </w: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980" w:type="dxa"/>
            <w:vAlign w:val="bottom"/>
            <w:gridSpan w:val="3"/>
            <w:shd w:val="clear" w:color="auto" w:fill="CCEEFF"/>
          </w:tcPr>
          <w:p>
            <w:pPr>
              <w:jc w:val="right"/>
              <w:ind w:right="140"/>
              <w:spacing w:after="0" w:line="216" w:lineRule="exact"/>
              <w:rPr>
                <w:sz w:val="20"/>
                <w:szCs w:val="20"/>
                <w:color w:val="auto"/>
              </w:rPr>
            </w:pPr>
            <w:r>
              <w:rPr>
                <w:rFonts w:ascii="Arial" w:cs="Arial" w:eastAsia="Arial" w:hAnsi="Arial"/>
                <w:sz w:val="16"/>
                <w:szCs w:val="16"/>
                <w:color w:val="auto"/>
              </w:rPr>
              <w:t>9.80%</w:t>
            </w:r>
            <w:r>
              <w:rPr>
                <w:rFonts w:ascii="Arial" w:cs="Arial" w:eastAsia="Arial" w:hAnsi="Arial"/>
                <w:sz w:val="25"/>
                <w:szCs w:val="25"/>
                <w:color w:val="auto"/>
                <w:vertAlign w:val="superscript"/>
              </w:rPr>
              <w:t>(6)</w:t>
            </w:r>
          </w:p>
        </w:tc>
        <w:tc>
          <w:tcPr>
            <w:tcW w:w="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L+700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15,871,125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15,871,125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12,855,611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340" w:type="dxa"/>
            <w:vAlign w:val="bottom"/>
            <w:gridSpan w:val="3"/>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FFINION</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6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03/01/2012</w:t>
            </w:r>
          </w:p>
        </w:tc>
        <w:tc>
          <w:tcPr>
            <w:tcW w:w="6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6"/>
              </w:rPr>
              <w:t>C</w:t>
            </w:r>
            <w:r>
              <w:rPr>
                <w:rFonts w:ascii="Arial" w:cs="Arial" w:eastAsia="Arial" w:hAnsi="Arial"/>
                <w:sz w:val="14"/>
                <w:szCs w:val="14"/>
                <w:color w:val="auto"/>
                <w:w w:val="96"/>
              </w:rPr>
              <w:t>ONSUMER</w:t>
            </w:r>
          </w:p>
        </w:tc>
        <w:tc>
          <w:tcPr>
            <w:tcW w:w="980" w:type="dxa"/>
            <w:vAlign w:val="bottom"/>
            <w:gridSpan w:val="3"/>
          </w:tcPr>
          <w:p>
            <w:pPr>
              <w:jc w:val="right"/>
              <w:ind w:right="140"/>
              <w:spacing w:after="0" w:line="276" w:lineRule="exact"/>
              <w:rPr>
                <w:sz w:val="20"/>
                <w:szCs w:val="20"/>
                <w:color w:val="auto"/>
              </w:rPr>
            </w:pPr>
            <w:r>
              <w:rPr>
                <w:rFonts w:ascii="Arial" w:cs="Arial" w:eastAsia="Arial" w:hAnsi="Arial"/>
                <w:sz w:val="18"/>
                <w:szCs w:val="18"/>
                <w:color w:val="auto"/>
              </w:rPr>
              <w:t>9.27%</w:t>
            </w:r>
            <w:r>
              <w:rPr>
                <w:rFonts w:ascii="Arial" w:cs="Arial" w:eastAsia="Arial" w:hAnsi="Arial"/>
                <w:sz w:val="29"/>
                <w:szCs w:val="29"/>
                <w:color w:val="auto"/>
                <w:vertAlign w:val="superscript"/>
              </w:rPr>
              <w:t>(6)</w:t>
            </w:r>
          </w:p>
        </w:tc>
        <w:tc>
          <w:tcPr>
            <w:tcW w:w="5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L+625</w:t>
            </w:r>
          </w:p>
        </w:tc>
        <w:tc>
          <w:tcPr>
            <w:tcW w:w="10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22,500,000</w:t>
            </w:r>
          </w:p>
        </w:tc>
        <w:tc>
          <w:tcPr>
            <w:tcW w:w="10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21,520,054</w:t>
            </w:r>
          </w:p>
        </w:tc>
        <w:tc>
          <w:tcPr>
            <w:tcW w:w="100" w:type="dxa"/>
            <w:vAlign w:val="bottom"/>
          </w:tcPr>
          <w:p>
            <w:pPr>
              <w:spacing w:after="0"/>
              <w:rPr>
                <w:sz w:val="23"/>
                <w:szCs w:val="23"/>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18,759,375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740" w:type="dxa"/>
            <w:vAlign w:val="bottom"/>
          </w:tcPr>
          <w:p>
            <w:pPr>
              <w:spacing w:after="0"/>
              <w:rPr>
                <w:sz w:val="6"/>
                <w:szCs w:val="6"/>
                <w:color w:val="auto"/>
              </w:rPr>
            </w:pPr>
          </w:p>
        </w:tc>
        <w:tc>
          <w:tcPr>
            <w:tcW w:w="35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ONSOLIDATED</w:t>
            </w:r>
            <w:r>
              <w:rPr>
                <w:rFonts w:ascii="Arial" w:cs="Arial" w:eastAsia="Arial" w:hAnsi="Arial"/>
                <w:sz w:val="18"/>
                <w:szCs w:val="18"/>
                <w:color w:val="auto"/>
              </w:rPr>
              <w:t xml:space="preserve"> F</w:t>
            </w:r>
            <w:r>
              <w:rPr>
                <w:rFonts w:ascii="Arial" w:cs="Arial" w:eastAsia="Arial" w:hAnsi="Arial"/>
                <w:sz w:val="14"/>
                <w:szCs w:val="14"/>
                <w:color w:val="auto"/>
              </w:rPr>
              <w:t>OUNDRIES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04/17/2015</w:t>
            </w: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A</w:t>
            </w:r>
            <w:r>
              <w:rPr>
                <w:rFonts w:ascii="Arial" w:cs="Arial" w:eastAsia="Arial" w:hAnsi="Arial"/>
                <w:sz w:val="14"/>
                <w:szCs w:val="14"/>
                <w:color w:val="auto"/>
                <w:w w:val="98"/>
              </w:rPr>
              <w:t>EROSPACE AND</w:t>
            </w:r>
          </w:p>
        </w:tc>
        <w:tc>
          <w:tcPr>
            <w:tcW w:w="980" w:type="dxa"/>
            <w:vAlign w:val="bottom"/>
            <w:gridSpan w:val="3"/>
            <w:shd w:val="clear" w:color="auto" w:fill="CCEEFF"/>
          </w:tcPr>
          <w:p>
            <w:pPr>
              <w:jc w:val="right"/>
              <w:ind w:right="140"/>
              <w:spacing w:after="0" w:line="207" w:lineRule="exact"/>
              <w:rPr>
                <w:sz w:val="20"/>
                <w:szCs w:val="20"/>
                <w:color w:val="auto"/>
              </w:rPr>
            </w:pPr>
            <w:r>
              <w:rPr>
                <w:rFonts w:ascii="Arial" w:cs="Arial" w:eastAsia="Arial" w:hAnsi="Arial"/>
                <w:sz w:val="15"/>
                <w:szCs w:val="15"/>
                <w:color w:val="auto"/>
              </w:rPr>
              <w:t>14.25%</w:t>
            </w:r>
            <w:r>
              <w:rPr>
                <w:rFonts w:ascii="Arial" w:cs="Arial" w:eastAsia="Arial" w:hAnsi="Arial"/>
                <w:sz w:val="24"/>
                <w:szCs w:val="24"/>
                <w:color w:val="auto"/>
                <w:vertAlign w:val="superscript"/>
              </w:rPr>
              <w:t>(6)</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7,825,282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w:t>
            </w:r>
            <w:r>
              <w:rPr>
                <w:rFonts w:ascii="Arial" w:cs="Arial" w:eastAsia="Arial" w:hAnsi="Arial"/>
                <w:sz w:val="14"/>
                <w:szCs w:val="14"/>
                <w:color w:val="auto"/>
                <w:w w:val="95"/>
              </w:rPr>
              <w:t>EFENSE</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4340" w:type="dxa"/>
            <w:vAlign w:val="bottom"/>
            <w:gridSpan w:val="3"/>
          </w:tcPr>
          <w:p>
            <w:pPr>
              <w:spacing w:after="0"/>
              <w:rPr>
                <w:sz w:val="20"/>
                <w:szCs w:val="20"/>
                <w:color w:val="auto"/>
              </w:rPr>
            </w:pPr>
            <w:r>
              <w:rPr>
                <w:rFonts w:ascii="Arial" w:cs="Arial" w:eastAsia="Arial" w:hAnsi="Arial"/>
                <w:sz w:val="15"/>
                <w:szCs w:val="15"/>
                <w:color w:val="auto"/>
              </w:rPr>
              <w:t>I</w:t>
            </w:r>
            <w:r>
              <w:rPr>
                <w:rFonts w:ascii="Arial" w:cs="Arial" w:eastAsia="Arial" w:hAnsi="Arial"/>
                <w:sz w:val="17"/>
                <w:szCs w:val="17"/>
                <w:color w:val="auto"/>
              </w:rPr>
              <w:t>2 H</w:t>
            </w:r>
            <w:r>
              <w:rPr>
                <w:rFonts w:ascii="Arial" w:cs="Arial" w:eastAsia="Arial" w:hAnsi="Arial"/>
                <w:sz w:val="15"/>
                <w:szCs w:val="15"/>
                <w:color w:val="auto"/>
              </w:rPr>
              <w:t xml:space="preserve">OLDINGS </w:t>
            </w:r>
            <w:r>
              <w:rPr>
                <w:rFonts w:ascii="Arial" w:cs="Arial" w:eastAsia="Arial" w:hAnsi="Arial"/>
                <w:sz w:val="17"/>
                <w:szCs w:val="17"/>
                <w:color w:val="auto"/>
              </w:rPr>
              <w:t>L</w:t>
            </w:r>
            <w:r>
              <w:rPr>
                <w:rFonts w:ascii="Arial" w:cs="Arial" w:eastAsia="Arial" w:hAnsi="Arial"/>
                <w:sz w:val="15"/>
                <w:szCs w:val="15"/>
                <w:color w:val="auto"/>
              </w:rPr>
              <w:t>TD</w:t>
            </w:r>
            <w:r>
              <w:rPr>
                <w:rFonts w:ascii="Arial" w:cs="Arial" w:eastAsia="Arial" w:hAnsi="Arial"/>
                <w:sz w:val="17"/>
                <w:szCs w:val="17"/>
                <w:color w:val="auto"/>
              </w:rPr>
              <w:t>.</w:t>
            </w:r>
          </w:p>
        </w:tc>
        <w:tc>
          <w:tcPr>
            <w:tcW w:w="86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06/06/2014</w:t>
            </w:r>
          </w:p>
        </w:tc>
        <w:tc>
          <w:tcPr>
            <w:tcW w:w="6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8"/>
              </w:rPr>
              <w:t>A</w:t>
            </w:r>
            <w:r>
              <w:rPr>
                <w:rFonts w:ascii="Arial" w:cs="Arial" w:eastAsia="Arial" w:hAnsi="Arial"/>
                <w:sz w:val="14"/>
                <w:szCs w:val="14"/>
                <w:color w:val="auto"/>
                <w:w w:val="98"/>
              </w:rPr>
              <w:t>EROSPACE AND</w:t>
            </w:r>
          </w:p>
        </w:tc>
        <w:tc>
          <w:tcPr>
            <w:tcW w:w="980" w:type="dxa"/>
            <w:vAlign w:val="bottom"/>
            <w:gridSpan w:val="3"/>
          </w:tcPr>
          <w:p>
            <w:pPr>
              <w:jc w:val="right"/>
              <w:ind w:right="140"/>
              <w:spacing w:after="0" w:line="276" w:lineRule="exact"/>
              <w:rPr>
                <w:sz w:val="20"/>
                <w:szCs w:val="20"/>
                <w:color w:val="auto"/>
              </w:rPr>
            </w:pPr>
            <w:r>
              <w:rPr>
                <w:rFonts w:ascii="Arial" w:cs="Arial" w:eastAsia="Arial" w:hAnsi="Arial"/>
                <w:sz w:val="18"/>
                <w:szCs w:val="18"/>
                <w:color w:val="auto"/>
                <w:w w:val="96"/>
              </w:rPr>
              <w:t>14.75%</w:t>
            </w:r>
            <w:r>
              <w:rPr>
                <w:rFonts w:ascii="Arial" w:cs="Arial" w:eastAsia="Arial" w:hAnsi="Arial"/>
                <w:sz w:val="29"/>
                <w:szCs w:val="29"/>
                <w:color w:val="auto"/>
                <w:w w:val="96"/>
                <w:vertAlign w:val="superscript"/>
              </w:rPr>
              <w:t>(6)</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22,000,000</w:t>
            </w:r>
          </w:p>
        </w:tc>
        <w:tc>
          <w:tcPr>
            <w:tcW w:w="10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21,570,233</w:t>
            </w:r>
          </w:p>
        </w:tc>
        <w:tc>
          <w:tcPr>
            <w:tcW w:w="100" w:type="dxa"/>
            <w:vAlign w:val="bottom"/>
          </w:tcPr>
          <w:p>
            <w:pPr>
              <w:spacing w:after="0"/>
              <w:rPr>
                <w:sz w:val="23"/>
                <w:szCs w:val="23"/>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22,000,000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5"/>
              </w:rPr>
              <w:t>D</w:t>
            </w:r>
            <w:r>
              <w:rPr>
                <w:rFonts w:ascii="Arial" w:cs="Arial" w:eastAsia="Arial" w:hAnsi="Arial"/>
                <w:sz w:val="14"/>
                <w:szCs w:val="14"/>
                <w:color w:val="auto"/>
                <w:w w:val="95"/>
              </w:rPr>
              <w:t>EFENSE</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740" w:type="dxa"/>
            <w:vAlign w:val="bottom"/>
          </w:tcPr>
          <w:p>
            <w:pPr>
              <w:spacing w:after="0"/>
              <w:rPr>
                <w:sz w:val="6"/>
                <w:szCs w:val="6"/>
                <w:color w:val="auto"/>
              </w:rPr>
            </w:pPr>
          </w:p>
        </w:tc>
        <w:tc>
          <w:tcPr>
            <w:tcW w:w="35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NTERDYNAMICS</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05/20/2012</w:t>
            </w: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A</w:t>
            </w:r>
            <w:r>
              <w:rPr>
                <w:rFonts w:ascii="Arial" w:cs="Arial" w:eastAsia="Arial" w:hAnsi="Arial"/>
                <w:sz w:val="14"/>
                <w:szCs w:val="14"/>
                <w:color w:val="auto"/>
                <w:w w:val="98"/>
              </w:rPr>
              <w:t>UTO</w:t>
            </w:r>
            <w:r>
              <w:rPr>
                <w:rFonts w:ascii="Arial" w:cs="Arial" w:eastAsia="Arial" w:hAnsi="Arial"/>
                <w:sz w:val="18"/>
                <w:szCs w:val="18"/>
                <w:color w:val="auto"/>
                <w:w w:val="98"/>
              </w:rPr>
              <w:t xml:space="preserve"> S</w:t>
            </w:r>
            <w:r>
              <w:rPr>
                <w:rFonts w:ascii="Arial" w:cs="Arial" w:eastAsia="Arial" w:hAnsi="Arial"/>
                <w:sz w:val="14"/>
                <w:szCs w:val="14"/>
                <w:color w:val="auto"/>
                <w:w w:val="98"/>
              </w:rPr>
              <w:t>ECTOR</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13.75%</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20,000,000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19,524,985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4340" w:type="dxa"/>
            <w:vAlign w:val="bottom"/>
            <w:gridSpan w:val="3"/>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EARNING</w:t>
            </w:r>
            <w:r>
              <w:rPr>
                <w:rFonts w:ascii="Arial" w:cs="Arial" w:eastAsia="Arial" w:hAnsi="Arial"/>
                <w:sz w:val="18"/>
                <w:szCs w:val="18"/>
                <w:color w:val="auto"/>
              </w:rPr>
              <w:t xml:space="preserve"> C</w:t>
            </w:r>
            <w:r>
              <w:rPr>
                <w:rFonts w:ascii="Arial" w:cs="Arial" w:eastAsia="Arial" w:hAnsi="Arial"/>
                <w:sz w:val="14"/>
                <w:szCs w:val="14"/>
                <w:color w:val="auto"/>
              </w:rPr>
              <w:t>ARE</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6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12/28/2015</w:t>
            </w:r>
          </w:p>
        </w:tc>
        <w:tc>
          <w:tcPr>
            <w:tcW w:w="6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w w:val="96"/>
              </w:rPr>
              <w:t>13.50%</w:t>
            </w:r>
            <w:r>
              <w:rPr>
                <w:rFonts w:ascii="Arial" w:cs="Arial" w:eastAsia="Arial" w:hAnsi="Arial"/>
                <w:sz w:val="29"/>
                <w:szCs w:val="29"/>
                <w:color w:val="auto"/>
                <w:w w:val="96"/>
                <w:vertAlign w:val="superscript"/>
              </w:rPr>
              <w:t>(6)</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10,000,000</w:t>
            </w:r>
          </w:p>
        </w:tc>
        <w:tc>
          <w:tcPr>
            <w:tcW w:w="10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9,850,328</w:t>
            </w:r>
          </w:p>
        </w:tc>
        <w:tc>
          <w:tcPr>
            <w:tcW w:w="10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10,000,000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EALOGY</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8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04/15/2015</w:t>
            </w: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UILDINGS AND</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12.38%</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28,000,000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26,279,942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13,720,000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R</w:t>
            </w:r>
            <w:r>
              <w:rPr>
                <w:rFonts w:ascii="Arial" w:cs="Arial" w:eastAsia="Arial" w:hAnsi="Arial"/>
                <w:sz w:val="14"/>
                <w:szCs w:val="14"/>
                <w:color w:val="auto"/>
                <w:w w:val="96"/>
              </w:rPr>
              <w:t>EAL</w:t>
            </w:r>
            <w:r>
              <w:rPr>
                <w:rFonts w:ascii="Arial" w:cs="Arial" w:eastAsia="Arial" w:hAnsi="Arial"/>
                <w:sz w:val="18"/>
                <w:szCs w:val="18"/>
                <w:color w:val="auto"/>
                <w:w w:val="96"/>
              </w:rPr>
              <w:t xml:space="preserve"> E</w:t>
            </w:r>
            <w:r>
              <w:rPr>
                <w:rFonts w:ascii="Arial" w:cs="Arial" w:eastAsia="Arial" w:hAnsi="Arial"/>
                <w:sz w:val="14"/>
                <w:szCs w:val="14"/>
                <w:color w:val="auto"/>
                <w:w w:val="96"/>
              </w:rPr>
              <w:t>STATE</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4340" w:type="dxa"/>
            <w:vAlign w:val="bottom"/>
            <w:gridSpan w:val="3"/>
          </w:tcPr>
          <w:p>
            <w:pPr>
              <w:spacing w:after="0"/>
              <w:rPr>
                <w:sz w:val="20"/>
                <w:szCs w:val="20"/>
                <w:color w:val="auto"/>
              </w:rPr>
            </w:pPr>
            <w:r>
              <w:rPr>
                <w:rFonts w:ascii="Arial" w:cs="Arial" w:eastAsia="Arial" w:hAnsi="Arial"/>
                <w:sz w:val="18"/>
                <w:szCs w:val="18"/>
                <w:color w:val="auto"/>
              </w:rPr>
              <w:t>UP A</w:t>
            </w:r>
            <w:r>
              <w:rPr>
                <w:rFonts w:ascii="Arial" w:cs="Arial" w:eastAsia="Arial" w:hAnsi="Arial"/>
                <w:sz w:val="14"/>
                <w:szCs w:val="14"/>
                <w:color w:val="auto"/>
              </w:rPr>
              <w:t>CQUISITION</w:t>
            </w:r>
            <w:r>
              <w:rPr>
                <w:rFonts w:ascii="Arial" w:cs="Arial" w:eastAsia="Arial" w:hAnsi="Arial"/>
                <w:sz w:val="18"/>
                <w:szCs w:val="18"/>
                <w:color w:val="auto"/>
              </w:rPr>
              <w:t xml:space="preserve"> S</w:t>
            </w:r>
            <w:r>
              <w:rPr>
                <w:rFonts w:ascii="Arial" w:cs="Arial" w:eastAsia="Arial" w:hAnsi="Arial"/>
                <w:sz w:val="14"/>
                <w:szCs w:val="14"/>
                <w:color w:val="auto"/>
              </w:rPr>
              <w:t>UB</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tc>
        <w:tc>
          <w:tcPr>
            <w:tcW w:w="86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02/08/2015</w:t>
            </w:r>
          </w:p>
        </w:tc>
        <w:tc>
          <w:tcPr>
            <w:tcW w:w="6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IL AND</w:t>
            </w:r>
            <w:r>
              <w:rPr>
                <w:rFonts w:ascii="Arial" w:cs="Arial" w:eastAsia="Arial" w:hAnsi="Arial"/>
                <w:sz w:val="18"/>
                <w:szCs w:val="18"/>
                <w:color w:val="auto"/>
              </w:rPr>
              <w:t xml:space="preserve"> G</w:t>
            </w:r>
            <w:r>
              <w:rPr>
                <w:rFonts w:ascii="Arial" w:cs="Arial" w:eastAsia="Arial" w:hAnsi="Arial"/>
                <w:sz w:val="14"/>
                <w:szCs w:val="14"/>
                <w:color w:val="auto"/>
              </w:rPr>
              <w:t>AS</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13.50%</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21,000,000</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20,405,479</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21,000,000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Subordinated Debt / Corporate Notes</w:t>
            </w: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147,371,125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142,847,428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126,334,986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4340" w:type="dxa"/>
            <w:vAlign w:val="bottom"/>
            <w:gridSpan w:val="3"/>
          </w:tcPr>
          <w:p>
            <w:pPr>
              <w:spacing w:after="0"/>
              <w:rPr>
                <w:sz w:val="20"/>
                <w:szCs w:val="20"/>
                <w:color w:val="auto"/>
              </w:rPr>
            </w:pPr>
            <w:r>
              <w:rPr>
                <w:rFonts w:ascii="Arial" w:cs="Arial" w:eastAsia="Arial" w:hAnsi="Arial"/>
                <w:sz w:val="18"/>
                <w:szCs w:val="18"/>
                <w:b w:val="1"/>
                <w:bCs w:val="1"/>
                <w:color w:val="auto"/>
              </w:rPr>
              <w:t>Second Lien Secured Debt – 43.7%</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740" w:type="dxa"/>
            <w:vAlign w:val="bottom"/>
          </w:tcPr>
          <w:p>
            <w:pPr>
              <w:spacing w:after="0"/>
              <w:rPr>
                <w:sz w:val="6"/>
                <w:szCs w:val="6"/>
                <w:color w:val="auto"/>
              </w:rPr>
            </w:pPr>
          </w:p>
        </w:tc>
        <w:tc>
          <w:tcPr>
            <w:tcW w:w="35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RAND</w:t>
            </w:r>
            <w:r>
              <w:rPr>
                <w:rFonts w:ascii="Arial" w:cs="Arial" w:eastAsia="Arial" w:hAnsi="Arial"/>
                <w:sz w:val="18"/>
                <w:szCs w:val="18"/>
                <w:color w:val="auto"/>
              </w:rPr>
              <w:t xml:space="preserve"> E</w:t>
            </w:r>
            <w:r>
              <w:rPr>
                <w:rFonts w:ascii="Arial" w:cs="Arial" w:eastAsia="Arial" w:hAnsi="Arial"/>
                <w:sz w:val="14"/>
                <w:szCs w:val="14"/>
                <w:color w:val="auto"/>
              </w:rPr>
              <w:t>NERGY AND</w:t>
            </w: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NFRASTRUCTURE</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6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02/07/2015</w:t>
            </w:r>
          </w:p>
        </w:tc>
        <w:tc>
          <w:tcPr>
            <w:tcW w:w="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E</w:t>
            </w:r>
            <w:r>
              <w:rPr>
                <w:rFonts w:ascii="Arial" w:cs="Arial" w:eastAsia="Arial" w:hAnsi="Arial"/>
                <w:sz w:val="14"/>
                <w:szCs w:val="14"/>
                <w:color w:val="auto"/>
                <w:w w:val="97"/>
              </w:rPr>
              <w:t>NERGY</w:t>
            </w:r>
            <w:r>
              <w:rPr>
                <w:rFonts w:ascii="Arial" w:cs="Arial" w:eastAsia="Arial" w:hAnsi="Arial"/>
                <w:sz w:val="18"/>
                <w:szCs w:val="18"/>
                <w:color w:val="auto"/>
                <w:w w:val="97"/>
              </w:rPr>
              <w:t xml:space="preserve"> /</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8.84%</w:t>
            </w:r>
          </w:p>
        </w:tc>
        <w:tc>
          <w:tcPr>
            <w:tcW w:w="5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L+600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13,600,000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13,047,204</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12,121,000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TILITIES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740" w:type="dxa"/>
            <w:vAlign w:val="bottom"/>
          </w:tcPr>
          <w:p>
            <w:pPr>
              <w:spacing w:after="0"/>
              <w:rPr>
                <w:sz w:val="6"/>
                <w:szCs w:val="6"/>
                <w:color w:val="auto"/>
              </w:rPr>
            </w:pPr>
          </w:p>
        </w:tc>
        <w:tc>
          <w:tcPr>
            <w:tcW w:w="35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RAND</w:t>
            </w:r>
            <w:r>
              <w:rPr>
                <w:rFonts w:ascii="Arial" w:cs="Arial" w:eastAsia="Arial" w:hAnsi="Arial"/>
                <w:sz w:val="18"/>
                <w:szCs w:val="18"/>
                <w:color w:val="auto"/>
              </w:rPr>
              <w:t xml:space="preserve"> E</w:t>
            </w:r>
            <w:r>
              <w:rPr>
                <w:rFonts w:ascii="Arial" w:cs="Arial" w:eastAsia="Arial" w:hAnsi="Arial"/>
                <w:sz w:val="14"/>
                <w:szCs w:val="14"/>
                <w:color w:val="auto"/>
              </w:rPr>
              <w:t>NERGY AND</w:t>
            </w: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NFRASTRUCTURE</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6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02/07/2015</w:t>
            </w:r>
          </w:p>
        </w:tc>
        <w:tc>
          <w:tcPr>
            <w:tcW w:w="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E</w:t>
            </w:r>
            <w:r>
              <w:rPr>
                <w:rFonts w:ascii="Arial" w:cs="Arial" w:eastAsia="Arial" w:hAnsi="Arial"/>
                <w:sz w:val="14"/>
                <w:szCs w:val="14"/>
                <w:color w:val="auto"/>
                <w:w w:val="97"/>
              </w:rPr>
              <w:t>NERGY</w:t>
            </w:r>
            <w:r>
              <w:rPr>
                <w:rFonts w:ascii="Arial" w:cs="Arial" w:eastAsia="Arial" w:hAnsi="Arial"/>
                <w:sz w:val="18"/>
                <w:szCs w:val="18"/>
                <w:color w:val="auto"/>
                <w:w w:val="97"/>
              </w:rPr>
              <w:t xml:space="preserve"> /</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9.69%</w:t>
            </w:r>
          </w:p>
        </w:tc>
        <w:tc>
          <w:tcPr>
            <w:tcW w:w="5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L+700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12,000,000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11,670,216</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TILITIES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740" w:type="dxa"/>
            <w:vAlign w:val="bottom"/>
          </w:tcPr>
          <w:p>
            <w:pPr>
              <w:spacing w:after="0"/>
              <w:rPr>
                <w:sz w:val="6"/>
                <w:szCs w:val="6"/>
                <w:color w:val="auto"/>
              </w:rPr>
            </w:pPr>
          </w:p>
        </w:tc>
        <w:tc>
          <w:tcPr>
            <w:tcW w:w="35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ENERICS</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xml:space="preserve"> (U.S.), I</w:t>
            </w:r>
            <w:r>
              <w:rPr>
                <w:rFonts w:ascii="Arial" w:cs="Arial" w:eastAsia="Arial" w:hAnsi="Arial"/>
                <w:sz w:val="14"/>
                <w:szCs w:val="14"/>
                <w:color w:val="auto"/>
              </w:rPr>
              <w:t>NC</w:t>
            </w:r>
            <w:r>
              <w:rPr>
                <w:rFonts w:ascii="Arial" w:cs="Arial" w:eastAsia="Arial" w:hAnsi="Arial"/>
                <w:sz w:val="18"/>
                <w:szCs w:val="18"/>
                <w:color w:val="auto"/>
              </w:rPr>
              <w:t>.</w:t>
            </w:r>
          </w:p>
        </w:tc>
        <w:tc>
          <w:tcPr>
            <w:tcW w:w="8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04/30/2015</w:t>
            </w: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H</w:t>
            </w:r>
            <w:r>
              <w:rPr>
                <w:rFonts w:ascii="Arial" w:cs="Arial" w:eastAsia="Arial" w:hAnsi="Arial"/>
                <w:sz w:val="14"/>
                <w:szCs w:val="14"/>
                <w:color w:val="auto"/>
                <w:w w:val="99"/>
              </w:rPr>
              <w:t>EALTHCARE</w:t>
            </w:r>
            <w:r>
              <w:rPr>
                <w:rFonts w:ascii="Arial" w:cs="Arial" w:eastAsia="Arial" w:hAnsi="Arial"/>
                <w:sz w:val="18"/>
                <w:szCs w:val="18"/>
                <w:color w:val="auto"/>
                <w:w w:val="99"/>
              </w:rPr>
              <w:t>,</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10.30%</w:t>
            </w:r>
          </w:p>
        </w:tc>
        <w:tc>
          <w:tcPr>
            <w:tcW w:w="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L+750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12,000,000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11,945,011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11,880,000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 AND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4340" w:type="dxa"/>
            <w:vAlign w:val="bottom"/>
            <w:gridSpan w:val="3"/>
          </w:tcPr>
          <w:p>
            <w:pPr>
              <w:spacing w:after="0"/>
              <w:rPr>
                <w:sz w:val="20"/>
                <w:szCs w:val="20"/>
                <w:color w:val="auto"/>
              </w:rPr>
            </w:pPr>
            <w:r>
              <w:rPr>
                <w:rFonts w:ascii="Arial" w:cs="Arial" w:eastAsia="Arial" w:hAnsi="Arial"/>
                <w:sz w:val="18"/>
                <w:szCs w:val="18"/>
                <w:color w:val="auto"/>
              </w:rPr>
              <w:t>Q</w:t>
            </w:r>
            <w:r>
              <w:rPr>
                <w:rFonts w:ascii="Arial" w:cs="Arial" w:eastAsia="Arial" w:hAnsi="Arial"/>
                <w:sz w:val="14"/>
                <w:szCs w:val="14"/>
                <w:color w:val="auto"/>
              </w:rPr>
              <w:t>UESTEX</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6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11/04/2014</w:t>
            </w:r>
          </w:p>
        </w:tc>
        <w:tc>
          <w:tcPr>
            <w:tcW w:w="6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9.18%</w:t>
            </w:r>
          </w:p>
        </w:tc>
        <w:tc>
          <w:tcPr>
            <w:tcW w:w="5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L+650</w:t>
            </w:r>
          </w:p>
        </w:tc>
        <w:tc>
          <w:tcPr>
            <w:tcW w:w="10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10,000,000</w:t>
            </w:r>
          </w:p>
        </w:tc>
        <w:tc>
          <w:tcPr>
            <w:tcW w:w="10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10,000,000</w:t>
            </w:r>
          </w:p>
        </w:tc>
        <w:tc>
          <w:tcPr>
            <w:tcW w:w="10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8,700,000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3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AINT</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r>
              <w:rPr>
                <w:rFonts w:ascii="Arial" w:cs="Arial" w:eastAsia="Arial" w:hAnsi="Arial"/>
                <w:sz w:val="29"/>
                <w:szCs w:val="29"/>
                <w:color w:val="auto"/>
                <w:vertAlign w:val="superscript"/>
              </w:rPr>
              <w:t>(5)</w:t>
            </w:r>
          </w:p>
        </w:tc>
        <w:tc>
          <w:tcPr>
            <w:tcW w:w="8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05/15/2015</w:t>
            </w:r>
          </w:p>
        </w:tc>
        <w:tc>
          <w:tcPr>
            <w:tcW w:w="6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T</w:t>
            </w:r>
            <w:r>
              <w:rPr>
                <w:rFonts w:ascii="Arial" w:cs="Arial" w:eastAsia="Arial" w:hAnsi="Arial"/>
                <w:sz w:val="14"/>
                <w:szCs w:val="14"/>
                <w:color w:val="auto"/>
                <w:w w:val="98"/>
              </w:rPr>
              <w:t>RANSPORTATION</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10.43%</w:t>
            </w:r>
          </w:p>
        </w:tc>
        <w:tc>
          <w:tcPr>
            <w:tcW w:w="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L+775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9,946,348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3,200,000</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4340" w:type="dxa"/>
            <w:vAlign w:val="bottom"/>
            <w:gridSpan w:val="3"/>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AINT</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r>
              <w:rPr>
                <w:rFonts w:ascii="Arial" w:cs="Arial" w:eastAsia="Arial" w:hAnsi="Arial"/>
                <w:sz w:val="29"/>
                <w:szCs w:val="29"/>
                <w:color w:val="auto"/>
                <w:vertAlign w:val="superscript"/>
              </w:rPr>
              <w:t>(5)</w:t>
            </w:r>
          </w:p>
        </w:tc>
        <w:tc>
          <w:tcPr>
            <w:tcW w:w="86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05/15/2017</w:t>
            </w:r>
          </w:p>
        </w:tc>
        <w:tc>
          <w:tcPr>
            <w:tcW w:w="6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8"/>
              </w:rPr>
              <w:t>T</w:t>
            </w:r>
            <w:r>
              <w:rPr>
                <w:rFonts w:ascii="Arial" w:cs="Arial" w:eastAsia="Arial" w:hAnsi="Arial"/>
                <w:sz w:val="14"/>
                <w:szCs w:val="14"/>
                <w:color w:val="auto"/>
                <w:w w:val="98"/>
              </w:rPr>
              <w:t>RANSPORTATION</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12.50%</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19,000,000</w:t>
            </w:r>
          </w:p>
        </w:tc>
        <w:tc>
          <w:tcPr>
            <w:tcW w:w="10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16,473,303</w:t>
            </w:r>
          </w:p>
        </w:tc>
        <w:tc>
          <w:tcPr>
            <w:tcW w:w="10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6,460,000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HERIDAN</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06/15/2015</w:t>
            </w: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H</w:t>
            </w:r>
            <w:r>
              <w:rPr>
                <w:rFonts w:ascii="Arial" w:cs="Arial" w:eastAsia="Arial" w:hAnsi="Arial"/>
                <w:sz w:val="14"/>
                <w:szCs w:val="14"/>
                <w:color w:val="auto"/>
                <w:w w:val="99"/>
              </w:rPr>
              <w:t>EALTHCARE</w:t>
            </w:r>
            <w:r>
              <w:rPr>
                <w:rFonts w:ascii="Arial" w:cs="Arial" w:eastAsia="Arial" w:hAnsi="Arial"/>
                <w:sz w:val="18"/>
                <w:szCs w:val="18"/>
                <w:color w:val="auto"/>
                <w:w w:val="99"/>
              </w:rPr>
              <w:t>,</w:t>
            </w:r>
          </w:p>
        </w:tc>
        <w:tc>
          <w:tcPr>
            <w:tcW w:w="980" w:type="dxa"/>
            <w:vAlign w:val="bottom"/>
            <w:gridSpan w:val="3"/>
            <w:shd w:val="clear" w:color="auto" w:fill="CCEEFF"/>
          </w:tcPr>
          <w:p>
            <w:pPr>
              <w:jc w:val="right"/>
              <w:ind w:right="140"/>
              <w:spacing w:after="0" w:line="207" w:lineRule="exact"/>
              <w:rPr>
                <w:sz w:val="20"/>
                <w:szCs w:val="20"/>
                <w:color w:val="auto"/>
              </w:rPr>
            </w:pPr>
            <w:r>
              <w:rPr>
                <w:rFonts w:ascii="Arial" w:cs="Arial" w:eastAsia="Arial" w:hAnsi="Arial"/>
                <w:sz w:val="15"/>
                <w:szCs w:val="15"/>
                <w:color w:val="auto"/>
              </w:rPr>
              <w:t>8.46%</w:t>
            </w:r>
            <w:r>
              <w:rPr>
                <w:rFonts w:ascii="Arial" w:cs="Arial" w:eastAsia="Arial" w:hAnsi="Arial"/>
                <w:sz w:val="24"/>
                <w:szCs w:val="24"/>
                <w:color w:val="auto"/>
                <w:vertAlign w:val="superscript"/>
              </w:rPr>
              <w:t>(6)</w:t>
            </w:r>
          </w:p>
        </w:tc>
        <w:tc>
          <w:tcPr>
            <w:tcW w:w="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L+575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12,500,000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11,813,239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 AND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4340" w:type="dxa"/>
            <w:vAlign w:val="bottom"/>
            <w:gridSpan w:val="3"/>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PECIALIZED</w:t>
            </w:r>
            <w:r>
              <w:rPr>
                <w:rFonts w:ascii="Arial" w:cs="Arial" w:eastAsia="Arial" w:hAnsi="Arial"/>
                <w:sz w:val="18"/>
                <w:szCs w:val="18"/>
                <w:color w:val="auto"/>
              </w:rPr>
              <w:t xml:space="preserve"> T</w:t>
            </w:r>
            <w:r>
              <w:rPr>
                <w:rFonts w:ascii="Arial" w:cs="Arial" w:eastAsia="Arial" w:hAnsi="Arial"/>
                <w:sz w:val="14"/>
                <w:szCs w:val="14"/>
                <w:color w:val="auto"/>
              </w:rPr>
              <w:t>ECHNOLOGY</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740" w:type="dxa"/>
            <w:vAlign w:val="bottom"/>
          </w:tcPr>
          <w:p>
            <w:pPr>
              <w:spacing w:after="0"/>
              <w:rPr>
                <w:sz w:val="6"/>
                <w:szCs w:val="6"/>
                <w:color w:val="auto"/>
              </w:rPr>
            </w:pPr>
          </w:p>
        </w:tc>
        <w:tc>
          <w:tcPr>
            <w:tcW w:w="35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ESOURCES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12/15/2014</w:t>
            </w: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HEMICAL</w:t>
            </w:r>
            <w:r>
              <w:rPr>
                <w:rFonts w:ascii="Arial" w:cs="Arial" w:eastAsia="Arial" w:hAnsi="Arial"/>
                <w:sz w:val="18"/>
                <w:szCs w:val="18"/>
                <w:color w:val="auto"/>
              </w:rPr>
              <w:t>,</w:t>
            </w:r>
          </w:p>
        </w:tc>
        <w:tc>
          <w:tcPr>
            <w:tcW w:w="980" w:type="dxa"/>
            <w:vAlign w:val="bottom"/>
            <w:gridSpan w:val="3"/>
            <w:shd w:val="clear" w:color="auto" w:fill="CCEEFF"/>
          </w:tcPr>
          <w:p>
            <w:pPr>
              <w:jc w:val="right"/>
              <w:ind w:right="140"/>
              <w:spacing w:after="0" w:line="207" w:lineRule="exact"/>
              <w:rPr>
                <w:sz w:val="20"/>
                <w:szCs w:val="20"/>
                <w:color w:val="auto"/>
              </w:rPr>
            </w:pPr>
            <w:r>
              <w:rPr>
                <w:rFonts w:ascii="Arial" w:cs="Arial" w:eastAsia="Arial" w:hAnsi="Arial"/>
                <w:sz w:val="15"/>
                <w:szCs w:val="15"/>
                <w:color w:val="auto"/>
              </w:rPr>
              <w:t>9.48%</w:t>
            </w:r>
            <w:r>
              <w:rPr>
                <w:rFonts w:ascii="Arial" w:cs="Arial" w:eastAsia="Arial" w:hAnsi="Arial"/>
                <w:sz w:val="24"/>
                <w:szCs w:val="24"/>
                <w:color w:val="auto"/>
                <w:vertAlign w:val="superscript"/>
              </w:rPr>
              <w:t>(6)</w:t>
            </w:r>
          </w:p>
        </w:tc>
        <w:tc>
          <w:tcPr>
            <w:tcW w:w="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L+700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22,500,000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22,485,322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21,375,000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LASTICS AND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UBBER</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4340" w:type="dxa"/>
            <w:vAlign w:val="bottom"/>
            <w:gridSpan w:val="3"/>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RANS</w:t>
            </w:r>
            <w:r>
              <w:rPr>
                <w:rFonts w:ascii="Arial" w:cs="Arial" w:eastAsia="Arial" w:hAnsi="Arial"/>
                <w:sz w:val="18"/>
                <w:szCs w:val="18"/>
                <w:color w:val="auto"/>
              </w:rPr>
              <w:t>F</w:t>
            </w:r>
            <w:r>
              <w:rPr>
                <w:rFonts w:ascii="Arial" w:cs="Arial" w:eastAsia="Arial" w:hAnsi="Arial"/>
                <w:sz w:val="14"/>
                <w:szCs w:val="14"/>
                <w:color w:val="auto"/>
              </w:rPr>
              <w:t>IRST</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6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06/15/2015</w:t>
            </w:r>
          </w:p>
        </w:tc>
        <w:tc>
          <w:tcPr>
            <w:tcW w:w="6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6"/>
              </w:rPr>
              <w:t>B</w:t>
            </w:r>
            <w:r>
              <w:rPr>
                <w:rFonts w:ascii="Arial" w:cs="Arial" w:eastAsia="Arial" w:hAnsi="Arial"/>
                <w:sz w:val="14"/>
                <w:szCs w:val="14"/>
                <w:color w:val="auto"/>
                <w:w w:val="96"/>
              </w:rPr>
              <w:t>USINESS</w:t>
            </w:r>
            <w:r>
              <w:rPr>
                <w:rFonts w:ascii="Arial" w:cs="Arial" w:eastAsia="Arial" w:hAnsi="Arial"/>
                <w:sz w:val="18"/>
                <w:szCs w:val="18"/>
                <w:color w:val="auto"/>
                <w:w w:val="96"/>
              </w:rPr>
              <w:t xml:space="preserve"> S</w:t>
            </w:r>
            <w:r>
              <w:rPr>
                <w:rFonts w:ascii="Arial" w:cs="Arial" w:eastAsia="Arial" w:hAnsi="Arial"/>
                <w:sz w:val="14"/>
                <w:szCs w:val="14"/>
                <w:color w:val="auto"/>
                <w:w w:val="96"/>
              </w:rPr>
              <w:t>ERVICES</w:t>
            </w:r>
          </w:p>
        </w:tc>
        <w:tc>
          <w:tcPr>
            <w:tcW w:w="980" w:type="dxa"/>
            <w:vAlign w:val="bottom"/>
            <w:gridSpan w:val="3"/>
          </w:tcPr>
          <w:p>
            <w:pPr>
              <w:jc w:val="right"/>
              <w:ind w:right="140"/>
              <w:spacing w:after="0" w:line="284" w:lineRule="exact"/>
              <w:rPr>
                <w:sz w:val="20"/>
                <w:szCs w:val="20"/>
                <w:color w:val="auto"/>
              </w:rPr>
            </w:pPr>
            <w:r>
              <w:rPr>
                <w:rFonts w:ascii="Arial" w:cs="Arial" w:eastAsia="Arial" w:hAnsi="Arial"/>
                <w:sz w:val="18"/>
                <w:szCs w:val="18"/>
                <w:color w:val="auto"/>
              </w:rPr>
              <w:t>8.81%</w:t>
            </w:r>
            <w:r>
              <w:rPr>
                <w:rFonts w:ascii="Arial" w:cs="Arial" w:eastAsia="Arial" w:hAnsi="Arial"/>
                <w:sz w:val="29"/>
                <w:szCs w:val="29"/>
                <w:color w:val="auto"/>
                <w:vertAlign w:val="superscript"/>
              </w:rPr>
              <w:t>(6)</w:t>
            </w:r>
          </w:p>
        </w:tc>
        <w:tc>
          <w:tcPr>
            <w:tcW w:w="5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L+600</w:t>
            </w: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16,500,000</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15,842,218</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14,025,000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Second Lien Secured Debt</w:t>
            </w: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128,100,000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123,222,861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99,061,000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340" w:type="dxa"/>
            <w:vAlign w:val="bottom"/>
            <w:gridSpan w:val="3"/>
          </w:tcPr>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REFERRED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 3.2%</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CFHC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 C</w:t>
            </w:r>
            <w:r>
              <w:rPr>
                <w:rFonts w:ascii="Arial" w:cs="Arial" w:eastAsia="Arial" w:hAnsi="Arial"/>
                <w:sz w:val="14"/>
                <w:szCs w:val="14"/>
                <w:color w:val="auto"/>
              </w:rPr>
              <w:t>LASS</w:t>
            </w:r>
            <w:r>
              <w:rPr>
                <w:rFonts w:ascii="Arial" w:cs="Arial" w:eastAsia="Arial" w:hAnsi="Arial"/>
                <w:sz w:val="18"/>
                <w:szCs w:val="18"/>
                <w:color w:val="auto"/>
              </w:rPr>
              <w:t xml:space="preserve"> A</w:t>
            </w: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ONSOLIDATED</w:t>
            </w:r>
            <w:r>
              <w:rPr>
                <w:rFonts w:ascii="Arial" w:cs="Arial" w:eastAsia="Arial" w:hAnsi="Arial"/>
                <w:sz w:val="18"/>
                <w:szCs w:val="18"/>
                <w:color w:val="auto"/>
              </w:rPr>
              <w:t xml:space="preserve"> F</w:t>
            </w:r>
            <w:r>
              <w:rPr>
                <w:rFonts w:ascii="Arial" w:cs="Arial" w:eastAsia="Arial" w:hAnsi="Arial"/>
                <w:sz w:val="14"/>
                <w:szCs w:val="14"/>
                <w:color w:val="auto"/>
              </w:rPr>
              <w:t>OUNDRIES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2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98"/>
              </w:rPr>
              <w:t>A</w:t>
            </w:r>
            <w:r>
              <w:rPr>
                <w:rFonts w:ascii="Arial" w:cs="Arial" w:eastAsia="Arial" w:hAnsi="Arial"/>
                <w:sz w:val="14"/>
                <w:szCs w:val="14"/>
                <w:color w:val="auto"/>
                <w:w w:val="98"/>
              </w:rPr>
              <w:t>EROSPACE AND</w:t>
            </w:r>
          </w:p>
        </w:tc>
        <w:tc>
          <w:tcPr>
            <w:tcW w:w="980" w:type="dxa"/>
            <w:vAlign w:val="bottom"/>
            <w:gridSpan w:val="3"/>
          </w:tcPr>
          <w:p>
            <w:pPr>
              <w:jc w:val="right"/>
              <w:ind w:right="140"/>
              <w:spacing w:after="0" w:line="207" w:lineRule="exact"/>
              <w:rPr>
                <w:sz w:val="20"/>
                <w:szCs w:val="20"/>
                <w:color w:val="auto"/>
              </w:rPr>
            </w:pPr>
            <w:r>
              <w:rPr>
                <w:rFonts w:ascii="Arial" w:cs="Arial" w:eastAsia="Arial" w:hAnsi="Arial"/>
                <w:sz w:val="15"/>
                <w:szCs w:val="15"/>
                <w:color w:val="auto"/>
              </w:rPr>
              <w:t>12.00%</w:t>
            </w:r>
            <w:r>
              <w:rPr>
                <w:rFonts w:ascii="Arial" w:cs="Arial" w:eastAsia="Arial" w:hAnsi="Arial"/>
                <w:sz w:val="24"/>
                <w:szCs w:val="24"/>
                <w:color w:val="auto"/>
                <w:vertAlign w:val="superscript"/>
              </w:rPr>
              <w:t>(6)</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817,209</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817,209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5"/>
              </w:rPr>
              <w:t>D</w:t>
            </w:r>
            <w:r>
              <w:rPr>
                <w:rFonts w:ascii="Arial" w:cs="Arial" w:eastAsia="Arial" w:hAnsi="Arial"/>
                <w:sz w:val="14"/>
                <w:szCs w:val="14"/>
                <w:color w:val="auto"/>
                <w:w w:val="95"/>
              </w:rPr>
              <w:t>EFENSE</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JUNE 30, 2008</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Point</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b w:val="1"/>
                <w:bCs w:val="1"/>
                <w:color w:val="auto"/>
                <w:w w:val="94"/>
              </w:rPr>
              <w:t>Current</w:t>
            </w:r>
          </w:p>
        </w:tc>
        <w:tc>
          <w:tcPr>
            <w:tcW w:w="2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4"/>
              </w:rPr>
              <w:t>Above</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176"/>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Issuer name</w:t>
            </w:r>
          </w:p>
        </w:tc>
        <w:tc>
          <w:tcPr>
            <w:tcW w:w="4280" w:type="dxa"/>
            <w:vAlign w:val="bottom"/>
          </w:tcPr>
          <w:p>
            <w:pPr>
              <w:spacing w:after="0"/>
              <w:rPr>
                <w:sz w:val="15"/>
                <w:szCs w:val="15"/>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Maturity</w:t>
            </w:r>
          </w:p>
        </w:tc>
        <w:tc>
          <w:tcPr>
            <w:tcW w:w="100" w:type="dxa"/>
            <w:vAlign w:val="bottom"/>
          </w:tcPr>
          <w:p>
            <w:pPr>
              <w:spacing w:after="0"/>
              <w:rPr>
                <w:sz w:val="15"/>
                <w:szCs w:val="15"/>
                <w:color w:val="auto"/>
              </w:rPr>
            </w:pPr>
          </w:p>
        </w:tc>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5"/>
                <w:szCs w:val="15"/>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0"/>
              </w:rPr>
              <w:t>Coupon</w:t>
            </w:r>
          </w:p>
        </w:tc>
        <w:tc>
          <w:tcPr>
            <w:tcW w:w="280" w:type="dxa"/>
            <w:vAlign w:val="bottom"/>
          </w:tcPr>
          <w:p>
            <w:pPr>
              <w:spacing w:after="0"/>
              <w:rPr>
                <w:sz w:val="15"/>
                <w:szCs w:val="15"/>
                <w:color w:val="auto"/>
              </w:rPr>
            </w:pPr>
          </w:p>
        </w:tc>
        <w:tc>
          <w:tcPr>
            <w:tcW w:w="4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00" w:type="dxa"/>
            <w:vAlign w:val="bottom"/>
          </w:tcPr>
          <w:p>
            <w:pPr>
              <w:spacing w:after="0"/>
              <w:rPr>
                <w:sz w:val="15"/>
                <w:szCs w:val="15"/>
                <w:color w:val="auto"/>
              </w:rPr>
            </w:pPr>
          </w:p>
        </w:tc>
        <w:tc>
          <w:tcPr>
            <w:tcW w:w="9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5"/>
                <w:szCs w:val="15"/>
                <w:color w:val="auto"/>
              </w:rPr>
            </w:pPr>
          </w:p>
        </w:tc>
        <w:tc>
          <w:tcPr>
            <w:tcW w:w="9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Preferred Equity—(Continued)</w:t>
            </w:r>
          </w:p>
        </w:tc>
        <w:tc>
          <w:tcPr>
            <w:tcW w:w="1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600" w:type="dxa"/>
            <w:vAlign w:val="bottom"/>
            <w:gridSpan w:val="2"/>
          </w:tcPr>
          <w:p>
            <w:pPr>
              <w:spacing w:after="0"/>
              <w:rPr>
                <w:sz w:val="20"/>
                <w:szCs w:val="20"/>
                <w:color w:val="auto"/>
              </w:rPr>
            </w:pPr>
            <w:r>
              <w:rPr>
                <w:rFonts w:ascii="Arial" w:cs="Arial" w:eastAsia="Arial" w:hAnsi="Arial"/>
                <w:sz w:val="15"/>
                <w:szCs w:val="15"/>
                <w:color w:val="auto"/>
              </w:rPr>
              <w:t>I</w:t>
            </w:r>
            <w:r>
              <w:rPr>
                <w:rFonts w:ascii="Arial" w:cs="Arial" w:eastAsia="Arial" w:hAnsi="Arial"/>
                <w:sz w:val="17"/>
                <w:szCs w:val="17"/>
                <w:color w:val="auto"/>
              </w:rPr>
              <w:t>2 H</w:t>
            </w:r>
            <w:r>
              <w:rPr>
                <w:rFonts w:ascii="Arial" w:cs="Arial" w:eastAsia="Arial" w:hAnsi="Arial"/>
                <w:sz w:val="15"/>
                <w:szCs w:val="15"/>
                <w:color w:val="auto"/>
              </w:rPr>
              <w:t xml:space="preserve">OLDINGS </w:t>
            </w:r>
            <w:r>
              <w:rPr>
                <w:rFonts w:ascii="Arial" w:cs="Arial" w:eastAsia="Arial" w:hAnsi="Arial"/>
                <w:sz w:val="17"/>
                <w:szCs w:val="17"/>
                <w:color w:val="auto"/>
              </w:rPr>
              <w:t>L</w:t>
            </w:r>
            <w:r>
              <w:rPr>
                <w:rFonts w:ascii="Arial" w:cs="Arial" w:eastAsia="Arial" w:hAnsi="Arial"/>
                <w:sz w:val="15"/>
                <w:szCs w:val="15"/>
                <w:color w:val="auto"/>
              </w:rPr>
              <w:t>TD</w:t>
            </w:r>
            <w:r>
              <w:rPr>
                <w:rFonts w:ascii="Arial" w:cs="Arial" w:eastAsia="Arial" w:hAnsi="Arial"/>
                <w:sz w:val="17"/>
                <w:szCs w:val="17"/>
                <w:color w:val="auto"/>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tcPr>
          <w:p>
            <w:pPr>
              <w:jc w:val="center"/>
              <w:spacing w:after="0"/>
              <w:rPr>
                <w:sz w:val="20"/>
                <w:szCs w:val="20"/>
                <w:color w:val="auto"/>
              </w:rPr>
            </w:pPr>
            <w:r>
              <w:rPr>
                <w:rFonts w:ascii="Arial" w:cs="Arial" w:eastAsia="Arial" w:hAnsi="Arial"/>
                <w:sz w:val="18"/>
                <w:szCs w:val="18"/>
                <w:color w:val="auto"/>
                <w:w w:val="95"/>
              </w:rPr>
              <w:t>A</w:t>
            </w:r>
            <w:r>
              <w:rPr>
                <w:rFonts w:ascii="Arial" w:cs="Arial" w:eastAsia="Arial" w:hAnsi="Arial"/>
                <w:sz w:val="14"/>
                <w:szCs w:val="14"/>
                <w:color w:val="auto"/>
                <w:w w:val="95"/>
              </w:rPr>
              <w:t>EROSPACE</w:t>
            </w:r>
          </w:p>
        </w:tc>
        <w:tc>
          <w:tcPr>
            <w:tcW w:w="840" w:type="dxa"/>
            <w:vAlign w:val="bottom"/>
          </w:tcPr>
          <w:p>
            <w:pPr>
              <w:jc w:val="right"/>
              <w:spacing w:after="0" w:line="276" w:lineRule="exact"/>
              <w:rPr>
                <w:sz w:val="20"/>
                <w:szCs w:val="20"/>
                <w:color w:val="auto"/>
              </w:rPr>
            </w:pPr>
            <w:r>
              <w:rPr>
                <w:rFonts w:ascii="Arial" w:cs="Arial" w:eastAsia="Arial" w:hAnsi="Arial"/>
                <w:sz w:val="18"/>
                <w:szCs w:val="18"/>
                <w:color w:val="auto"/>
                <w:w w:val="89"/>
              </w:rPr>
              <w:t>12.00%</w:t>
            </w:r>
            <w:r>
              <w:rPr>
                <w:rFonts w:ascii="Arial" w:cs="Arial" w:eastAsia="Arial" w:hAnsi="Arial"/>
                <w:sz w:val="29"/>
                <w:szCs w:val="29"/>
                <w:color w:val="auto"/>
                <w:w w:val="89"/>
                <w:vertAlign w:val="superscript"/>
              </w:rPr>
              <w:t>(6)</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3,960,000</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3,960,000</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3,960,000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4"/>
              </w:rPr>
              <w:t xml:space="preserve">AND </w:t>
            </w:r>
            <w:r>
              <w:rPr>
                <w:rFonts w:ascii="Arial" w:cs="Arial" w:eastAsia="Arial" w:hAnsi="Arial"/>
                <w:sz w:val="17"/>
                <w:szCs w:val="17"/>
                <w:color w:val="auto"/>
                <w:w w:val="94"/>
              </w:rPr>
              <w:t>D</w:t>
            </w:r>
            <w:r>
              <w:rPr>
                <w:rFonts w:ascii="Arial" w:cs="Arial" w:eastAsia="Arial" w:hAnsi="Arial"/>
                <w:sz w:val="15"/>
                <w:szCs w:val="15"/>
                <w:color w:val="auto"/>
                <w:w w:val="94"/>
              </w:rPr>
              <w:t>EFENSE</w:t>
            </w: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5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UP H</w:t>
            </w:r>
            <w:r>
              <w:rPr>
                <w:rFonts w:ascii="Arial" w:cs="Arial" w:eastAsia="Arial" w:hAnsi="Arial"/>
                <w:sz w:val="14"/>
                <w:szCs w:val="14"/>
                <w:color w:val="auto"/>
              </w:rPr>
              <w:t>OLDINGS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 C</w:t>
            </w:r>
            <w:r>
              <w:rPr>
                <w:rFonts w:ascii="Arial" w:cs="Arial" w:eastAsia="Arial" w:hAnsi="Arial"/>
                <w:sz w:val="14"/>
                <w:szCs w:val="14"/>
                <w:color w:val="auto"/>
              </w:rPr>
              <w:t>LASS</w:t>
            </w:r>
            <w:r>
              <w:rPr>
                <w:rFonts w:ascii="Arial" w:cs="Arial" w:eastAsia="Arial" w:hAnsi="Arial"/>
                <w:sz w:val="18"/>
                <w:szCs w:val="18"/>
                <w:color w:val="auto"/>
              </w:rPr>
              <w:t xml:space="preserve"> A-1</w:t>
            </w: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IL AND</w:t>
            </w:r>
            <w:r>
              <w:rPr>
                <w:rFonts w:ascii="Arial" w:cs="Arial" w:eastAsia="Arial" w:hAnsi="Arial"/>
                <w:sz w:val="18"/>
                <w:szCs w:val="18"/>
                <w:color w:val="auto"/>
              </w:rPr>
              <w:t xml:space="preserve"> G</w:t>
            </w:r>
            <w:r>
              <w:rPr>
                <w:rFonts w:ascii="Arial" w:cs="Arial" w:eastAsia="Arial" w:hAnsi="Arial"/>
                <w:sz w:val="14"/>
                <w:szCs w:val="14"/>
                <w:color w:val="auto"/>
              </w:rPr>
              <w:t>AS</w:t>
            </w:r>
          </w:p>
        </w:tc>
        <w:tc>
          <w:tcPr>
            <w:tcW w:w="840" w:type="dxa"/>
            <w:vAlign w:val="bottom"/>
            <w:shd w:val="clear" w:color="auto" w:fill="CCEEFF"/>
          </w:tcPr>
          <w:p>
            <w:pPr>
              <w:jc w:val="right"/>
              <w:spacing w:after="0" w:line="216" w:lineRule="exact"/>
              <w:rPr>
                <w:sz w:val="20"/>
                <w:szCs w:val="20"/>
                <w:color w:val="auto"/>
              </w:rPr>
            </w:pPr>
            <w:r>
              <w:rPr>
                <w:rFonts w:ascii="Arial" w:cs="Arial" w:eastAsia="Arial" w:hAnsi="Arial"/>
                <w:sz w:val="16"/>
                <w:szCs w:val="16"/>
                <w:color w:val="auto"/>
              </w:rPr>
              <w:t>8.00%</w:t>
            </w:r>
            <w:r>
              <w:rPr>
                <w:rFonts w:ascii="Arial" w:cs="Arial" w:eastAsia="Arial" w:hAnsi="Arial"/>
                <w:sz w:val="25"/>
                <w:szCs w:val="25"/>
                <w:color w:val="auto"/>
                <w:vertAlign w:val="superscript"/>
              </w:rPr>
              <w:t>(6)</w:t>
            </w:r>
          </w:p>
        </w:tc>
        <w:tc>
          <w:tcPr>
            <w:tcW w:w="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91,608</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2,499,066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2,499,066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Preferred Equity</w:t>
            </w:r>
          </w:p>
        </w:tc>
        <w:tc>
          <w:tcPr>
            <w:tcW w:w="1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0" w:type="dxa"/>
            <w:vAlign w:val="bottom"/>
            <w:gridSpan w:val="2"/>
            <w:vMerge w:val="continue"/>
          </w:tcPr>
          <w:p>
            <w:pPr>
              <w:spacing w:after="0"/>
              <w:rPr>
                <w:sz w:val="19"/>
                <w:szCs w:val="19"/>
                <w:color w:val="auto"/>
              </w:rPr>
            </w:pPr>
          </w:p>
        </w:tc>
        <w:tc>
          <w:tcPr>
            <w:tcW w:w="1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4,052,425</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7,276,275</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7,276,275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5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8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/P</w:t>
            </w:r>
            <w:r>
              <w:rPr>
                <w:rFonts w:ascii="Arial" w:cs="Arial" w:eastAsia="Arial" w:hAnsi="Arial"/>
                <w:sz w:val="14"/>
                <w:szCs w:val="14"/>
                <w:b w:val="1"/>
                <w:bCs w:val="1"/>
                <w:color w:val="auto"/>
              </w:rPr>
              <w:t>ARTNERSHIP</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NTERESTS</w:t>
            </w:r>
            <w:r>
              <w:rPr>
                <w:rFonts w:ascii="Arial" w:cs="Arial" w:eastAsia="Arial" w:hAnsi="Arial"/>
                <w:sz w:val="18"/>
                <w:szCs w:val="18"/>
                <w:b w:val="1"/>
                <w:bCs w:val="1"/>
                <w:color w:val="auto"/>
              </w:rPr>
              <w:t xml:space="preserve"> </w:t>
            </w:r>
            <w:r>
              <w:rPr>
                <w:rFonts w:ascii="Arial" w:cs="Arial" w:eastAsia="Arial" w:hAnsi="Arial"/>
                <w:sz w:val="29"/>
                <w:szCs w:val="29"/>
                <w:b w:val="1"/>
                <w:bCs w:val="1"/>
                <w:color w:val="auto"/>
                <w:vertAlign w:val="superscript"/>
              </w:rPr>
              <w:t>(7)</w:t>
            </w:r>
            <w:r>
              <w:rPr>
                <w:rFonts w:ascii="Arial" w:cs="Arial" w:eastAsia="Arial" w:hAnsi="Arial"/>
                <w:sz w:val="18"/>
                <w:szCs w:val="18"/>
                <w:b w:val="1"/>
                <w:bCs w:val="1"/>
                <w:color w:val="auto"/>
              </w:rPr>
              <w:t xml:space="preserve"> – 1.8%</w:t>
            </w:r>
          </w:p>
        </w:tc>
        <w:tc>
          <w:tcPr>
            <w:tcW w:w="1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600" w:type="dxa"/>
            <w:vAlign w:val="bottom"/>
            <w:gridSpan w:val="2"/>
          </w:tcPr>
          <w:p>
            <w:pPr>
              <w:spacing w:after="0"/>
              <w:rPr>
                <w:sz w:val="20"/>
                <w:szCs w:val="20"/>
                <w:color w:val="auto"/>
              </w:rPr>
            </w:pPr>
            <w:r>
              <w:rPr>
                <w:rFonts w:ascii="Arial" w:cs="Arial" w:eastAsia="Arial" w:hAnsi="Arial"/>
                <w:sz w:val="18"/>
                <w:szCs w:val="18"/>
                <w:color w:val="auto"/>
              </w:rPr>
              <w:t>AHC M</w:t>
            </w:r>
            <w:r>
              <w:rPr>
                <w:rFonts w:ascii="Arial" w:cs="Arial" w:eastAsia="Arial" w:hAnsi="Arial"/>
                <w:sz w:val="14"/>
                <w:szCs w:val="14"/>
                <w:color w:val="auto"/>
              </w:rPr>
              <w:t>EZZANINE</w:t>
            </w:r>
            <w:r>
              <w:rPr>
                <w:rFonts w:ascii="Arial" w:cs="Arial" w:eastAsia="Arial" w:hAnsi="Arial"/>
                <w:sz w:val="18"/>
                <w:szCs w:val="18"/>
                <w:color w:val="auto"/>
              </w:rPr>
              <w:t xml:space="preserve"> (A</w:t>
            </w:r>
            <w:r>
              <w:rPr>
                <w:rFonts w:ascii="Arial" w:cs="Arial" w:eastAsia="Arial" w:hAnsi="Arial"/>
                <w:sz w:val="14"/>
                <w:szCs w:val="14"/>
                <w:color w:val="auto"/>
              </w:rPr>
              <w:t>DVANSTAR</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O</w:t>
            </w:r>
            <w:r>
              <w:rPr>
                <w:rFonts w:ascii="Arial" w:cs="Arial" w:eastAsia="Arial" w:hAnsi="Arial"/>
                <w:sz w:val="14"/>
                <w:szCs w:val="14"/>
                <w:color w:val="auto"/>
                <w:w w:val="99"/>
              </w:rPr>
              <w:t>THER</w:t>
            </w: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3,000</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3,000,000</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1,462,301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EDIA</w:t>
            </w: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5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CFHC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ONSOLIDATED</w:t>
            </w:r>
            <w:r>
              <w:rPr>
                <w:rFonts w:ascii="Arial" w:cs="Arial" w:eastAsia="Arial" w:hAnsi="Arial"/>
                <w:sz w:val="18"/>
                <w:szCs w:val="18"/>
                <w:color w:val="auto"/>
              </w:rPr>
              <w:t xml:space="preserve"> F</w:t>
            </w:r>
            <w:r>
              <w:rPr>
                <w:rFonts w:ascii="Arial" w:cs="Arial" w:eastAsia="Arial" w:hAnsi="Arial"/>
                <w:sz w:val="14"/>
                <w:szCs w:val="14"/>
                <w:color w:val="auto"/>
              </w:rPr>
              <w:t>OUNDRIES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tcPr>
          <w:p>
            <w:pPr>
              <w:jc w:val="center"/>
              <w:spacing w:after="0"/>
              <w:rPr>
                <w:sz w:val="20"/>
                <w:szCs w:val="20"/>
                <w:color w:val="auto"/>
              </w:rPr>
            </w:pPr>
            <w:r>
              <w:rPr>
                <w:rFonts w:ascii="Arial" w:cs="Arial" w:eastAsia="Arial" w:hAnsi="Arial"/>
                <w:sz w:val="18"/>
                <w:szCs w:val="18"/>
                <w:color w:val="auto"/>
                <w:w w:val="95"/>
              </w:rPr>
              <w:t>A</w:t>
            </w:r>
            <w:r>
              <w:rPr>
                <w:rFonts w:ascii="Arial" w:cs="Arial" w:eastAsia="Arial" w:hAnsi="Arial"/>
                <w:sz w:val="14"/>
                <w:szCs w:val="14"/>
                <w:color w:val="auto"/>
                <w:w w:val="95"/>
              </w:rPr>
              <w:t>EROSPACE</w:t>
            </w: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1,627</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16,271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103,992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4"/>
              </w:rPr>
              <w:t xml:space="preserve">AND </w:t>
            </w:r>
            <w:r>
              <w:rPr>
                <w:rFonts w:ascii="Arial" w:cs="Arial" w:eastAsia="Arial" w:hAnsi="Arial"/>
                <w:sz w:val="17"/>
                <w:szCs w:val="17"/>
                <w:color w:val="auto"/>
                <w:w w:val="94"/>
              </w:rPr>
              <w:t>D</w:t>
            </w:r>
            <w:r>
              <w:rPr>
                <w:rFonts w:ascii="Arial" w:cs="Arial" w:eastAsia="Arial" w:hAnsi="Arial"/>
                <w:sz w:val="15"/>
                <w:szCs w:val="15"/>
                <w:color w:val="auto"/>
                <w:w w:val="94"/>
              </w:rPr>
              <w:t>EFENSE</w:t>
            </w: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5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5"/>
                <w:szCs w:val="15"/>
                <w:color w:val="auto"/>
              </w:rPr>
              <w:t>I</w:t>
            </w:r>
            <w:r>
              <w:rPr>
                <w:rFonts w:ascii="Arial" w:cs="Arial" w:eastAsia="Arial" w:hAnsi="Arial"/>
                <w:sz w:val="17"/>
                <w:szCs w:val="17"/>
                <w:color w:val="auto"/>
              </w:rPr>
              <w:t>2 H</w:t>
            </w:r>
            <w:r>
              <w:rPr>
                <w:rFonts w:ascii="Arial" w:cs="Arial" w:eastAsia="Arial" w:hAnsi="Arial"/>
                <w:sz w:val="15"/>
                <w:szCs w:val="15"/>
                <w:color w:val="auto"/>
              </w:rPr>
              <w:t xml:space="preserve">OLDINGS </w:t>
            </w:r>
            <w:r>
              <w:rPr>
                <w:rFonts w:ascii="Arial" w:cs="Arial" w:eastAsia="Arial" w:hAnsi="Arial"/>
                <w:sz w:val="17"/>
                <w:szCs w:val="17"/>
                <w:color w:val="auto"/>
              </w:rPr>
              <w:t>L</w:t>
            </w:r>
            <w:r>
              <w:rPr>
                <w:rFonts w:ascii="Arial" w:cs="Arial" w:eastAsia="Arial" w:hAnsi="Arial"/>
                <w:sz w:val="15"/>
                <w:szCs w:val="15"/>
                <w:color w:val="auto"/>
              </w:rPr>
              <w:t>TD</w:t>
            </w:r>
            <w:r>
              <w:rPr>
                <w:rFonts w:ascii="Arial" w:cs="Arial" w:eastAsia="Arial" w:hAnsi="Arial"/>
                <w:sz w:val="17"/>
                <w:szCs w:val="17"/>
                <w:color w:val="auto"/>
              </w:rPr>
              <w:t>.</w:t>
            </w: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w:t>
            </w:r>
            <w:r>
              <w:rPr>
                <w:rFonts w:ascii="Arial" w:cs="Arial" w:eastAsia="Arial" w:hAnsi="Arial"/>
                <w:sz w:val="14"/>
                <w:szCs w:val="14"/>
                <w:color w:val="auto"/>
                <w:w w:val="95"/>
              </w:rPr>
              <w:t>EROSPACE</w:t>
            </w:r>
          </w:p>
        </w:tc>
        <w:tc>
          <w:tcPr>
            <w:tcW w:w="8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440,000</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 xml:space="preserve">AND </w:t>
            </w:r>
            <w:r>
              <w:rPr>
                <w:rFonts w:ascii="Arial" w:cs="Arial" w:eastAsia="Arial" w:hAnsi="Arial"/>
                <w:sz w:val="17"/>
                <w:szCs w:val="17"/>
                <w:color w:val="auto"/>
                <w:w w:val="94"/>
              </w:rPr>
              <w:t>D</w:t>
            </w:r>
            <w:r>
              <w:rPr>
                <w:rFonts w:ascii="Arial" w:cs="Arial" w:eastAsia="Arial" w:hAnsi="Arial"/>
                <w:sz w:val="15"/>
                <w:szCs w:val="15"/>
                <w:color w:val="auto"/>
                <w:w w:val="94"/>
              </w:rPr>
              <w:t>EFENSE</w:t>
            </w: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600" w:type="dxa"/>
            <w:vAlign w:val="bottom"/>
            <w:gridSpan w:val="2"/>
          </w:tcPr>
          <w:p>
            <w:pPr>
              <w:spacing w:after="0"/>
              <w:rPr>
                <w:sz w:val="20"/>
                <w:szCs w:val="20"/>
                <w:color w:val="auto"/>
              </w:rPr>
            </w:pPr>
            <w:r>
              <w:rPr>
                <w:rFonts w:ascii="Arial" w:cs="Arial" w:eastAsia="Arial" w:hAnsi="Arial"/>
                <w:sz w:val="18"/>
                <w:szCs w:val="18"/>
                <w:color w:val="auto"/>
              </w:rPr>
              <w:t>UP H</w:t>
            </w:r>
            <w:r>
              <w:rPr>
                <w:rFonts w:ascii="Arial" w:cs="Arial" w:eastAsia="Arial" w:hAnsi="Arial"/>
                <w:sz w:val="14"/>
                <w:szCs w:val="14"/>
                <w:color w:val="auto"/>
              </w:rPr>
              <w:t>OLDINGS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IL AND</w:t>
            </w:r>
            <w:r>
              <w:rPr>
                <w:rFonts w:ascii="Arial" w:cs="Arial" w:eastAsia="Arial" w:hAnsi="Arial"/>
                <w:sz w:val="18"/>
                <w:szCs w:val="18"/>
                <w:color w:val="auto"/>
              </w:rPr>
              <w:t xml:space="preserve"> G</w:t>
            </w:r>
            <w:r>
              <w:rPr>
                <w:rFonts w:ascii="Arial" w:cs="Arial" w:eastAsia="Arial" w:hAnsi="Arial"/>
                <w:sz w:val="14"/>
                <w:szCs w:val="14"/>
                <w:color w:val="auto"/>
              </w:rPr>
              <w:t>AS</w:t>
            </w: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91,608</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916</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2,131,990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Common Equity/Partnership Interests</w:t>
            </w:r>
          </w:p>
        </w:tc>
        <w:tc>
          <w:tcPr>
            <w:tcW w:w="1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536,235</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3,457,187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4,138,283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First Lien Secured Debt – 58.7%</w:t>
            </w: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5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ERRY</w:t>
            </w:r>
            <w:r>
              <w:rPr>
                <w:rFonts w:ascii="Arial" w:cs="Arial" w:eastAsia="Arial" w:hAnsi="Arial"/>
                <w:sz w:val="18"/>
                <w:szCs w:val="18"/>
                <w:color w:val="auto"/>
              </w:rPr>
              <w:t xml:space="preserve"> P</w:t>
            </w:r>
            <w:r>
              <w:rPr>
                <w:rFonts w:ascii="Arial" w:cs="Arial" w:eastAsia="Arial" w:hAnsi="Arial"/>
                <w:sz w:val="14"/>
                <w:szCs w:val="14"/>
                <w:color w:val="auto"/>
              </w:rPr>
              <w:t>LASTICS</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04/03/2015</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C</w:t>
            </w:r>
            <w:r>
              <w:rPr>
                <w:rFonts w:ascii="Arial" w:cs="Arial" w:eastAsia="Arial" w:hAnsi="Arial"/>
                <w:sz w:val="14"/>
                <w:szCs w:val="14"/>
                <w:color w:val="auto"/>
                <w:w w:val="98"/>
              </w:rPr>
              <w:t>ONTAINERS</w:t>
            </w:r>
            <w:r>
              <w:rPr>
                <w:rFonts w:ascii="Arial" w:cs="Arial" w:eastAsia="Arial" w:hAnsi="Arial"/>
                <w:sz w:val="18"/>
                <w:szCs w:val="18"/>
                <w:color w:val="auto"/>
                <w:w w:val="98"/>
              </w:rPr>
              <w:t>,</w:t>
            </w:r>
          </w:p>
        </w:tc>
        <w:tc>
          <w:tcPr>
            <w:tcW w:w="8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4.78%</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L+200</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6"/>
              </w:rPr>
              <w:t>$ 7,406,250</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6"/>
              </w:rPr>
              <w:t>$ 7,406,250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$ 6,686,785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ACKAGING</w:t>
            </w: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6"/>
              </w:rPr>
              <w:t xml:space="preserve">AND </w:t>
            </w:r>
            <w:r>
              <w:rPr>
                <w:rFonts w:ascii="Arial" w:cs="Arial" w:eastAsia="Arial" w:hAnsi="Arial"/>
                <w:sz w:val="17"/>
                <w:szCs w:val="17"/>
                <w:color w:val="auto"/>
                <w:w w:val="96"/>
              </w:rPr>
              <w:t>G</w:t>
            </w:r>
            <w:r>
              <w:rPr>
                <w:rFonts w:ascii="Arial" w:cs="Arial" w:eastAsia="Arial" w:hAnsi="Arial"/>
                <w:sz w:val="15"/>
                <w:szCs w:val="15"/>
                <w:color w:val="auto"/>
                <w:w w:val="96"/>
              </w:rPr>
              <w:t>LASS</w:t>
            </w: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4600" w:type="dxa"/>
            <w:vAlign w:val="bottom"/>
            <w:gridSpan w:val="2"/>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URLINGTON</w:t>
            </w:r>
            <w:r>
              <w:rPr>
                <w:rFonts w:ascii="Arial" w:cs="Arial" w:eastAsia="Arial" w:hAnsi="Arial"/>
                <w:sz w:val="18"/>
                <w:szCs w:val="18"/>
                <w:color w:val="auto"/>
              </w:rPr>
              <w:t xml:space="preserve"> C</w:t>
            </w:r>
            <w:r>
              <w:rPr>
                <w:rFonts w:ascii="Arial" w:cs="Arial" w:eastAsia="Arial" w:hAnsi="Arial"/>
                <w:sz w:val="14"/>
                <w:szCs w:val="14"/>
                <w:color w:val="auto"/>
              </w:rPr>
              <w:t>OAT</w:t>
            </w:r>
            <w:r>
              <w:rPr>
                <w:rFonts w:ascii="Arial" w:cs="Arial" w:eastAsia="Arial" w:hAnsi="Arial"/>
                <w:sz w:val="18"/>
                <w:szCs w:val="18"/>
                <w:color w:val="auto"/>
              </w:rPr>
              <w:t xml:space="preserve"> F</w:t>
            </w:r>
            <w:r>
              <w:rPr>
                <w:rFonts w:ascii="Arial" w:cs="Arial" w:eastAsia="Arial" w:hAnsi="Arial"/>
                <w:sz w:val="14"/>
                <w:szCs w:val="14"/>
                <w:color w:val="auto"/>
              </w:rPr>
              <w:t>ACTORY</w:t>
            </w:r>
            <w:r>
              <w:rPr>
                <w:rFonts w:ascii="Arial" w:cs="Arial" w:eastAsia="Arial" w:hAnsi="Arial"/>
                <w:sz w:val="18"/>
                <w:szCs w:val="18"/>
                <w:color w:val="auto"/>
              </w:rPr>
              <w:t xml:space="preserve"> W</w:t>
            </w:r>
            <w:r>
              <w:rPr>
                <w:rFonts w:ascii="Arial" w:cs="Arial" w:eastAsia="Arial" w:hAnsi="Arial"/>
                <w:sz w:val="14"/>
                <w:szCs w:val="14"/>
                <w:color w:val="auto"/>
              </w:rPr>
              <w:t>AREHOUSE</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132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ETAIL</w:t>
            </w:r>
          </w:p>
        </w:tc>
        <w:tc>
          <w:tcPr>
            <w:tcW w:w="8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05/28/2013</w:t>
            </w: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S</w:t>
            </w:r>
            <w:r>
              <w:rPr>
                <w:rFonts w:ascii="Arial" w:cs="Arial" w:eastAsia="Arial" w:hAnsi="Arial"/>
                <w:sz w:val="14"/>
                <w:szCs w:val="14"/>
                <w:color w:val="auto"/>
                <w:w w:val="94"/>
              </w:rPr>
              <w:t>TORE</w:t>
            </w: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4.90%</w:t>
            </w:r>
          </w:p>
        </w:tc>
        <w:tc>
          <w:tcPr>
            <w:tcW w:w="580" w:type="dxa"/>
            <w:vAlign w:val="bottom"/>
          </w:tcPr>
          <w:p>
            <w:pPr>
              <w:ind w:left="60"/>
              <w:spacing w:after="0"/>
              <w:rPr>
                <w:sz w:val="20"/>
                <w:szCs w:val="20"/>
                <w:color w:val="auto"/>
              </w:rPr>
            </w:pPr>
            <w:r>
              <w:rPr>
                <w:rFonts w:ascii="Arial" w:cs="Arial" w:eastAsia="Arial" w:hAnsi="Arial"/>
                <w:sz w:val="18"/>
                <w:szCs w:val="18"/>
                <w:color w:val="auto"/>
                <w:w w:val="98"/>
              </w:rPr>
              <w:t>L+225</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7,896,473</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7,888,723</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6,549,137</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5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HARTER</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L.L.C.</w:t>
            </w:r>
          </w:p>
        </w:tc>
        <w:tc>
          <w:tcPr>
            <w:tcW w:w="13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ABLE</w:t>
            </w: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03/06/2014</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ELEVISION</w:t>
            </w:r>
          </w:p>
        </w:tc>
        <w:tc>
          <w:tcPr>
            <w:tcW w:w="8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4.90%</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L+200</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14,925,000</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14,918,618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13,076,330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460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OHR</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01/31/2013</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H</w:t>
            </w:r>
            <w:r>
              <w:rPr>
                <w:rFonts w:ascii="Arial" w:cs="Arial" w:eastAsia="Arial" w:hAnsi="Arial"/>
                <w:sz w:val="14"/>
                <w:szCs w:val="14"/>
                <w:color w:val="auto"/>
                <w:w w:val="99"/>
              </w:rPr>
              <w:t>EALTHCARE</w:t>
            </w:r>
            <w:r>
              <w:rPr>
                <w:rFonts w:ascii="Arial" w:cs="Arial" w:eastAsia="Arial" w:hAnsi="Arial"/>
                <w:sz w:val="18"/>
                <w:szCs w:val="18"/>
                <w:color w:val="auto"/>
                <w:w w:val="99"/>
              </w:rPr>
              <w:t>,</w:t>
            </w: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5.35%</w:t>
            </w:r>
          </w:p>
        </w:tc>
        <w:tc>
          <w:tcPr>
            <w:tcW w:w="580" w:type="dxa"/>
            <w:vAlign w:val="bottom"/>
          </w:tcPr>
          <w:p>
            <w:pPr>
              <w:ind w:left="60"/>
              <w:spacing w:after="0"/>
              <w:rPr>
                <w:sz w:val="20"/>
                <w:szCs w:val="20"/>
                <w:color w:val="auto"/>
              </w:rPr>
            </w:pPr>
            <w:r>
              <w:rPr>
                <w:rFonts w:ascii="Arial" w:cs="Arial" w:eastAsia="Arial" w:hAnsi="Arial"/>
                <w:sz w:val="18"/>
                <w:szCs w:val="18"/>
                <w:color w:val="auto"/>
                <w:w w:val="98"/>
              </w:rPr>
              <w:t>L+250</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2,962,500</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2,962,500</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1,392,375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40" w:type="dxa"/>
            <w:vAlign w:val="bottom"/>
          </w:tcPr>
          <w:p>
            <w:pPr>
              <w:jc w:val="center"/>
              <w:spacing w:after="0" w:line="161" w:lineRule="exact"/>
              <w:rPr>
                <w:sz w:val="20"/>
                <w:szCs w:val="20"/>
                <w:color w:val="auto"/>
              </w:rPr>
            </w:pPr>
            <w:r>
              <w:rPr>
                <w:rFonts w:ascii="Arial" w:cs="Arial" w:eastAsia="Arial" w:hAnsi="Arial"/>
                <w:sz w:val="15"/>
                <w:szCs w:val="15"/>
                <w:color w:val="auto"/>
              </w:rPr>
              <w:t>AND</w:t>
            </w:r>
          </w:p>
        </w:tc>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5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ATEHOUSE</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08/28/2014</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EDIA</w:t>
            </w:r>
          </w:p>
        </w:tc>
        <w:tc>
          <w:tcPr>
            <w:tcW w:w="8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4.67%</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L+200</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7,000,000</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7,000,000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4,911,669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60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ENERAL</w:t>
            </w:r>
            <w:r>
              <w:rPr>
                <w:rFonts w:ascii="Arial" w:cs="Arial" w:eastAsia="Arial" w:hAnsi="Arial"/>
                <w:sz w:val="18"/>
                <w:szCs w:val="18"/>
                <w:color w:val="auto"/>
              </w:rPr>
              <w:t xml:space="preserve"> N</w:t>
            </w:r>
            <w:r>
              <w:rPr>
                <w:rFonts w:ascii="Arial" w:cs="Arial" w:eastAsia="Arial" w:hAnsi="Arial"/>
                <w:sz w:val="14"/>
                <w:szCs w:val="14"/>
                <w:color w:val="auto"/>
              </w:rPr>
              <w:t>UTRITION</w:t>
            </w:r>
            <w:r>
              <w:rPr>
                <w:rFonts w:ascii="Arial" w:cs="Arial" w:eastAsia="Arial" w:hAnsi="Arial"/>
                <w:sz w:val="18"/>
                <w:szCs w:val="18"/>
                <w:color w:val="auto"/>
              </w:rPr>
              <w:t xml:space="preserve"> C</w:t>
            </w:r>
            <w:r>
              <w:rPr>
                <w:rFonts w:ascii="Arial" w:cs="Arial" w:eastAsia="Arial" w:hAnsi="Arial"/>
                <w:sz w:val="14"/>
                <w:szCs w:val="14"/>
                <w:color w:val="auto"/>
              </w:rPr>
              <w:t>ENTERS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09/16/2013</w:t>
            </w:r>
          </w:p>
        </w:tc>
        <w:tc>
          <w:tcPr>
            <w:tcW w:w="1140" w:type="dxa"/>
            <w:vAlign w:val="bottom"/>
          </w:tcPr>
          <w:p>
            <w:pPr>
              <w:jc w:val="cente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ETAIL</w:t>
            </w: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5.01%</w:t>
            </w:r>
          </w:p>
        </w:tc>
        <w:tc>
          <w:tcPr>
            <w:tcW w:w="580" w:type="dxa"/>
            <w:vAlign w:val="bottom"/>
          </w:tcPr>
          <w:p>
            <w:pPr>
              <w:ind w:left="60"/>
              <w:spacing w:after="0"/>
              <w:rPr>
                <w:sz w:val="20"/>
                <w:szCs w:val="20"/>
                <w:color w:val="auto"/>
              </w:rPr>
            </w:pPr>
            <w:r>
              <w:rPr>
                <w:rFonts w:ascii="Arial" w:cs="Arial" w:eastAsia="Arial" w:hAnsi="Arial"/>
                <w:sz w:val="18"/>
                <w:szCs w:val="18"/>
                <w:color w:val="auto"/>
                <w:w w:val="98"/>
              </w:rPr>
              <w:t>L+225</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6,418,750</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6,422,282</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5,883,856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S</w:t>
            </w:r>
            <w:r>
              <w:rPr>
                <w:rFonts w:ascii="Arial" w:cs="Arial" w:eastAsia="Arial" w:hAnsi="Arial"/>
                <w:sz w:val="14"/>
                <w:szCs w:val="14"/>
                <w:color w:val="auto"/>
                <w:w w:val="94"/>
              </w:rPr>
              <w:t>TORE</w:t>
            </w: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5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REATWIDE</w:t>
            </w:r>
            <w:r>
              <w:rPr>
                <w:rFonts w:ascii="Arial" w:cs="Arial" w:eastAsia="Arial" w:hAnsi="Arial"/>
                <w:sz w:val="18"/>
                <w:szCs w:val="18"/>
                <w:color w:val="auto"/>
              </w:rPr>
              <w:t xml:space="preserve"> L</w:t>
            </w:r>
            <w:r>
              <w:rPr>
                <w:rFonts w:ascii="Arial" w:cs="Arial" w:eastAsia="Arial" w:hAnsi="Arial"/>
                <w:sz w:val="14"/>
                <w:szCs w:val="14"/>
                <w:color w:val="auto"/>
              </w:rPr>
              <w:t>OGISTICS</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12/19/2013</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w:t>
            </w:r>
            <w:r>
              <w:rPr>
                <w:rFonts w:ascii="Arial" w:cs="Arial" w:eastAsia="Arial" w:hAnsi="Arial"/>
                <w:sz w:val="14"/>
                <w:szCs w:val="14"/>
                <w:color w:val="auto"/>
                <w:w w:val="95"/>
              </w:rPr>
              <w:t>ARGO</w:t>
            </w:r>
          </w:p>
        </w:tc>
        <w:tc>
          <w:tcPr>
            <w:tcW w:w="8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6.20%</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L+350</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6,912,500</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6,912,500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5,478,156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T</w:t>
            </w:r>
            <w:r>
              <w:rPr>
                <w:rFonts w:ascii="Arial" w:cs="Arial" w:eastAsia="Arial" w:hAnsi="Arial"/>
                <w:sz w:val="14"/>
                <w:szCs w:val="14"/>
                <w:color w:val="auto"/>
                <w:w w:val="96"/>
              </w:rPr>
              <w:t>RANSPORT</w:t>
            </w: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460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ANLEY</w:t>
            </w:r>
            <w:r>
              <w:rPr>
                <w:rFonts w:ascii="Arial" w:cs="Arial" w:eastAsia="Arial" w:hAnsi="Arial"/>
                <w:sz w:val="18"/>
                <w:szCs w:val="18"/>
                <w:color w:val="auto"/>
              </w:rPr>
              <w:t>-W</w:t>
            </w:r>
            <w:r>
              <w:rPr>
                <w:rFonts w:ascii="Arial" w:cs="Arial" w:eastAsia="Arial" w:hAnsi="Arial"/>
                <w:sz w:val="14"/>
                <w:szCs w:val="14"/>
                <w:color w:val="auto"/>
              </w:rPr>
              <w:t>OOD</w:t>
            </w:r>
            <w:r>
              <w:rPr>
                <w:rFonts w:ascii="Arial" w:cs="Arial" w:eastAsia="Arial" w:hAnsi="Arial"/>
                <w:sz w:val="18"/>
                <w:szCs w:val="18"/>
                <w:color w:val="auto"/>
              </w:rPr>
              <w:t>, L.L.C.</w:t>
            </w:r>
          </w:p>
        </w:tc>
        <w:tc>
          <w:tcPr>
            <w:tcW w:w="1320" w:type="dxa"/>
            <w:vAlign w:val="bottom"/>
          </w:tcPr>
          <w:p>
            <w:pPr>
              <w:jc w:val="right"/>
              <w:spacing w:after="0"/>
              <w:rPr>
                <w:sz w:val="20"/>
                <w:szCs w:val="20"/>
                <w:color w:val="auto"/>
              </w:rPr>
            </w:pPr>
            <w:r>
              <w:rPr>
                <w:rFonts w:ascii="Arial" w:cs="Arial" w:eastAsia="Arial" w:hAnsi="Arial"/>
                <w:sz w:val="18"/>
                <w:szCs w:val="18"/>
                <w:color w:val="auto"/>
              </w:rPr>
              <w:t>03/08/2014</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O</w:t>
            </w:r>
            <w:r>
              <w:rPr>
                <w:rFonts w:ascii="Arial" w:cs="Arial" w:eastAsia="Arial" w:hAnsi="Arial"/>
                <w:sz w:val="14"/>
                <w:szCs w:val="14"/>
                <w:color w:val="auto"/>
                <w:w w:val="99"/>
              </w:rPr>
              <w:t>THER</w:t>
            </w: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4.95%</w:t>
            </w:r>
          </w:p>
        </w:tc>
        <w:tc>
          <w:tcPr>
            <w:tcW w:w="580" w:type="dxa"/>
            <w:vAlign w:val="bottom"/>
          </w:tcPr>
          <w:p>
            <w:pPr>
              <w:ind w:left="60"/>
              <w:spacing w:after="0"/>
              <w:rPr>
                <w:sz w:val="20"/>
                <w:szCs w:val="20"/>
                <w:color w:val="auto"/>
              </w:rPr>
            </w:pPr>
            <w:r>
              <w:rPr>
                <w:rFonts w:ascii="Arial" w:cs="Arial" w:eastAsia="Arial" w:hAnsi="Arial"/>
                <w:sz w:val="18"/>
                <w:szCs w:val="18"/>
                <w:color w:val="auto"/>
                <w:w w:val="98"/>
              </w:rPr>
              <w:t>L+225</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8,955,000</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8,955,000</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6,973,706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EDIA</w:t>
            </w: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5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AWKER</w:t>
            </w:r>
            <w:r>
              <w:rPr>
                <w:rFonts w:ascii="Arial" w:cs="Arial" w:eastAsia="Arial" w:hAnsi="Arial"/>
                <w:sz w:val="18"/>
                <w:szCs w:val="18"/>
                <w:color w:val="auto"/>
              </w:rPr>
              <w:t xml:space="preserve"> B</w:t>
            </w:r>
            <w:r>
              <w:rPr>
                <w:rFonts w:ascii="Arial" w:cs="Arial" w:eastAsia="Arial" w:hAnsi="Arial"/>
                <w:sz w:val="14"/>
                <w:szCs w:val="14"/>
                <w:color w:val="auto"/>
              </w:rPr>
              <w:t>EECHCRAFT</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03/26/2014</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w:t>
            </w:r>
            <w:r>
              <w:rPr>
                <w:rFonts w:ascii="Arial" w:cs="Arial" w:eastAsia="Arial" w:hAnsi="Arial"/>
                <w:sz w:val="14"/>
                <w:szCs w:val="14"/>
                <w:color w:val="auto"/>
                <w:w w:val="95"/>
              </w:rPr>
              <w:t>EROSPACE</w:t>
            </w:r>
          </w:p>
        </w:tc>
        <w:tc>
          <w:tcPr>
            <w:tcW w:w="8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4.80%</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L+200</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1,927,305</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1,927,305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1,805,644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 xml:space="preserve">AND </w:t>
            </w:r>
            <w:r>
              <w:rPr>
                <w:rFonts w:ascii="Arial" w:cs="Arial" w:eastAsia="Arial" w:hAnsi="Arial"/>
                <w:sz w:val="17"/>
                <w:szCs w:val="17"/>
                <w:color w:val="auto"/>
                <w:w w:val="94"/>
              </w:rPr>
              <w:t>D</w:t>
            </w:r>
            <w:r>
              <w:rPr>
                <w:rFonts w:ascii="Arial" w:cs="Arial" w:eastAsia="Arial" w:hAnsi="Arial"/>
                <w:sz w:val="15"/>
                <w:szCs w:val="15"/>
                <w:color w:val="auto"/>
                <w:w w:val="94"/>
              </w:rPr>
              <w:t>EFENSE</w:t>
            </w: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460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w:t>
            </w:r>
            <w:r>
              <w:rPr>
                <w:rFonts w:ascii="Arial" w:cs="Arial" w:eastAsia="Arial" w:hAnsi="Arial"/>
                <w:sz w:val="18"/>
                <w:szCs w:val="18"/>
                <w:color w:val="auto"/>
              </w:rPr>
              <w:t xml:space="preserve"> M</w:t>
            </w:r>
            <w:r>
              <w:rPr>
                <w:rFonts w:ascii="Arial" w:cs="Arial" w:eastAsia="Arial" w:hAnsi="Arial"/>
                <w:sz w:val="14"/>
                <w:szCs w:val="14"/>
                <w:color w:val="auto"/>
              </w:rPr>
              <w:t>ANAGEMENT</w:t>
            </w:r>
            <w:r>
              <w:rPr>
                <w:rFonts w:ascii="Arial" w:cs="Arial" w:eastAsia="Arial" w:hAnsi="Arial"/>
                <w:sz w:val="18"/>
                <w:szCs w:val="18"/>
                <w:color w:val="auto"/>
              </w:rPr>
              <w:t xml:space="preserve"> A</w:t>
            </w:r>
            <w:r>
              <w:rPr>
                <w:rFonts w:ascii="Arial" w:cs="Arial" w:eastAsia="Arial" w:hAnsi="Arial"/>
                <w:sz w:val="14"/>
                <w:szCs w:val="14"/>
                <w:color w:val="auto"/>
              </w:rPr>
              <w:t>SSOCIATES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02/28/2014</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H</w:t>
            </w:r>
            <w:r>
              <w:rPr>
                <w:rFonts w:ascii="Arial" w:cs="Arial" w:eastAsia="Arial" w:hAnsi="Arial"/>
                <w:sz w:val="14"/>
                <w:szCs w:val="14"/>
                <w:color w:val="auto"/>
                <w:w w:val="99"/>
              </w:rPr>
              <w:t>EALTHCARE</w:t>
            </w:r>
            <w:r>
              <w:rPr>
                <w:rFonts w:ascii="Arial" w:cs="Arial" w:eastAsia="Arial" w:hAnsi="Arial"/>
                <w:sz w:val="18"/>
                <w:szCs w:val="18"/>
                <w:color w:val="auto"/>
                <w:w w:val="99"/>
              </w:rPr>
              <w:t>,</w:t>
            </w: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4.55%</w:t>
            </w:r>
          </w:p>
        </w:tc>
        <w:tc>
          <w:tcPr>
            <w:tcW w:w="580" w:type="dxa"/>
            <w:vAlign w:val="bottom"/>
          </w:tcPr>
          <w:p>
            <w:pPr>
              <w:ind w:left="60"/>
              <w:spacing w:after="0"/>
              <w:rPr>
                <w:sz w:val="20"/>
                <w:szCs w:val="20"/>
                <w:color w:val="auto"/>
              </w:rPr>
            </w:pPr>
            <w:r>
              <w:rPr>
                <w:rFonts w:ascii="Arial" w:cs="Arial" w:eastAsia="Arial" w:hAnsi="Arial"/>
                <w:sz w:val="18"/>
                <w:szCs w:val="18"/>
                <w:color w:val="auto"/>
                <w:w w:val="98"/>
              </w:rPr>
              <w:t>L+175</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9,431,364</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9,431,364</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8,752,305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jc w:val="center"/>
        <w:ind w:left="1540"/>
        <w:spacing w:after="0" w:line="236" w:lineRule="auto"/>
        <w:rPr>
          <w:sz w:val="20"/>
          <w:szCs w:val="20"/>
          <w:color w:val="auto"/>
        </w:rPr>
      </w:pPr>
      <w:r>
        <w:rPr>
          <w:rFonts w:ascii="Arial" w:cs="Arial" w:eastAsia="Arial" w:hAnsi="Arial"/>
          <w:sz w:val="15"/>
          <w:szCs w:val="15"/>
          <w:color w:val="auto"/>
        </w:rPr>
        <w:t>AND</w:t>
      </w:r>
    </w:p>
    <w:p>
      <w:pPr>
        <w:jc w:val="center"/>
        <w:ind w:left="154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JUNE 30, 2008</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Point</w:t>
            </w: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w w:val="90"/>
              </w:rPr>
              <w:t>Current</w:t>
            </w:r>
          </w:p>
        </w:tc>
        <w:tc>
          <w:tcPr>
            <w:tcW w:w="42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8"/>
              </w:rPr>
              <w:t>Above</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176"/>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Issuer name</w:t>
            </w:r>
          </w:p>
        </w:tc>
        <w:tc>
          <w:tcPr>
            <w:tcW w:w="3160" w:type="dxa"/>
            <w:vAlign w:val="bottom"/>
          </w:tcPr>
          <w:p>
            <w:pPr>
              <w:spacing w:after="0"/>
              <w:rPr>
                <w:sz w:val="15"/>
                <w:szCs w:val="15"/>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Maturity</w:t>
            </w:r>
          </w:p>
        </w:tc>
        <w:tc>
          <w:tcPr>
            <w:tcW w:w="100" w:type="dxa"/>
            <w:vAlign w:val="bottom"/>
          </w:tcPr>
          <w:p>
            <w:pPr>
              <w:spacing w:after="0"/>
              <w:rPr>
                <w:sz w:val="15"/>
                <w:szCs w:val="15"/>
                <w:color w:val="auto"/>
              </w:rPr>
            </w:pPr>
          </w:p>
        </w:tc>
        <w:tc>
          <w:tcPr>
            <w:tcW w:w="172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Industry</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Coupon</w:t>
            </w:r>
          </w:p>
        </w:tc>
        <w:tc>
          <w:tcPr>
            <w:tcW w:w="420" w:type="dxa"/>
            <w:vAlign w:val="bottom"/>
          </w:tcPr>
          <w:p>
            <w:pPr>
              <w:spacing w:after="0"/>
              <w:rPr>
                <w:sz w:val="15"/>
                <w:szCs w:val="15"/>
                <w:color w:val="auto"/>
              </w:rPr>
            </w:pPr>
          </w:p>
        </w:tc>
        <w:tc>
          <w:tcPr>
            <w:tcW w:w="4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320" w:type="dxa"/>
            <w:vAlign w:val="bottom"/>
          </w:tcPr>
          <w:p>
            <w:pPr>
              <w:spacing w:after="0"/>
              <w:rPr>
                <w:sz w:val="15"/>
                <w:szCs w:val="15"/>
                <w:color w:val="auto"/>
              </w:rPr>
            </w:pPr>
          </w:p>
        </w:tc>
        <w:tc>
          <w:tcPr>
            <w:tcW w:w="9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5"/>
                <w:szCs w:val="15"/>
                <w:color w:val="auto"/>
              </w:rPr>
            </w:pPr>
          </w:p>
        </w:tc>
        <w:tc>
          <w:tcPr>
            <w:tcW w:w="9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First Lien Secured Debt—(Continued)</w:t>
            </w:r>
          </w:p>
        </w:tc>
        <w:tc>
          <w:tcPr>
            <w:tcW w:w="1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366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UGHES</w:t>
            </w:r>
            <w:r>
              <w:rPr>
                <w:rFonts w:ascii="Arial" w:cs="Arial" w:eastAsia="Arial" w:hAnsi="Arial"/>
                <w:sz w:val="18"/>
                <w:szCs w:val="18"/>
                <w:color w:val="auto"/>
              </w:rPr>
              <w:t xml:space="preserve"> N</w:t>
            </w:r>
            <w:r>
              <w:rPr>
                <w:rFonts w:ascii="Arial" w:cs="Arial" w:eastAsia="Arial" w:hAnsi="Arial"/>
                <w:sz w:val="14"/>
                <w:szCs w:val="14"/>
                <w:color w:val="auto"/>
              </w:rPr>
              <w:t>ETWORK</w:t>
            </w:r>
            <w:r>
              <w:rPr>
                <w:rFonts w:ascii="Arial" w:cs="Arial" w:eastAsia="Arial" w:hAnsi="Arial"/>
                <w:sz w:val="18"/>
                <w:szCs w:val="18"/>
                <w:color w:val="auto"/>
              </w:rPr>
              <w:t xml:space="preserve"> S</w:t>
            </w:r>
            <w:r>
              <w:rPr>
                <w:rFonts w:ascii="Arial" w:cs="Arial" w:eastAsia="Arial" w:hAnsi="Arial"/>
                <w:sz w:val="14"/>
                <w:szCs w:val="14"/>
                <w:color w:val="auto"/>
              </w:rPr>
              <w:t>YSTEMS</w:t>
            </w:r>
            <w:r>
              <w:rPr>
                <w:rFonts w:ascii="Arial" w:cs="Arial" w:eastAsia="Arial" w:hAnsi="Arial"/>
                <w:sz w:val="18"/>
                <w:szCs w:val="18"/>
                <w:color w:val="auto"/>
              </w:rPr>
              <w:t>, L.L.C.</w:t>
            </w:r>
          </w:p>
        </w:tc>
        <w:tc>
          <w:tcPr>
            <w:tcW w:w="1120" w:type="dxa"/>
            <w:vAlign w:val="bottom"/>
          </w:tcPr>
          <w:p>
            <w:pPr>
              <w:ind w:left="260"/>
              <w:spacing w:after="0"/>
              <w:rPr>
                <w:sz w:val="20"/>
                <w:szCs w:val="20"/>
                <w:color w:val="auto"/>
              </w:rPr>
            </w:pPr>
            <w:r>
              <w:rPr>
                <w:rFonts w:ascii="Arial" w:cs="Arial" w:eastAsia="Arial" w:hAnsi="Arial"/>
                <w:sz w:val="18"/>
                <w:szCs w:val="18"/>
                <w:color w:val="auto"/>
                <w:w w:val="93"/>
              </w:rPr>
              <w:t>04/15/2014</w:t>
            </w:r>
          </w:p>
        </w:tc>
        <w:tc>
          <w:tcPr>
            <w:tcW w:w="1900" w:type="dxa"/>
            <w:vAlign w:val="bottom"/>
            <w:gridSpan w:val="3"/>
          </w:tcPr>
          <w:p>
            <w:pPr>
              <w:jc w:val="center"/>
              <w:ind w:right="10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ELECOMMUNICATIONS</w:t>
            </w: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5.19%</w:t>
            </w:r>
          </w:p>
        </w:tc>
        <w:tc>
          <w:tcPr>
            <w:tcW w:w="840" w:type="dxa"/>
            <w:vAlign w:val="bottom"/>
          </w:tcPr>
          <w:p>
            <w:pPr>
              <w:jc w:val="right"/>
              <w:ind w:right="232"/>
              <w:spacing w:after="0"/>
              <w:rPr>
                <w:sz w:val="20"/>
                <w:szCs w:val="20"/>
                <w:color w:val="auto"/>
              </w:rPr>
            </w:pPr>
            <w:r>
              <w:rPr>
                <w:rFonts w:ascii="Arial" w:cs="Arial" w:eastAsia="Arial" w:hAnsi="Arial"/>
                <w:sz w:val="18"/>
                <w:szCs w:val="18"/>
                <w:color w:val="auto"/>
                <w:w w:val="98"/>
              </w:rPr>
              <w:t>L+250</w:t>
            </w:r>
          </w:p>
        </w:tc>
        <w:tc>
          <w:tcPr>
            <w:tcW w:w="8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5,000,000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5,000,000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4,512,500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ACUZZI</w:t>
            </w:r>
            <w:r>
              <w:rPr>
                <w:rFonts w:ascii="Arial" w:cs="Arial" w:eastAsia="Arial" w:hAnsi="Arial"/>
                <w:sz w:val="18"/>
                <w:szCs w:val="18"/>
                <w:color w:val="auto"/>
              </w:rPr>
              <w:t xml:space="preserve"> B</w:t>
            </w:r>
            <w:r>
              <w:rPr>
                <w:rFonts w:ascii="Arial" w:cs="Arial" w:eastAsia="Arial" w:hAnsi="Arial"/>
                <w:sz w:val="14"/>
                <w:szCs w:val="14"/>
                <w:color w:val="auto"/>
              </w:rPr>
              <w:t>RANDS</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11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3"/>
              </w:rPr>
              <w:t>02/07/2014</w:t>
            </w:r>
          </w:p>
        </w:tc>
        <w:tc>
          <w:tcPr>
            <w:tcW w:w="19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OME AND</w:t>
            </w:r>
            <w:r>
              <w:rPr>
                <w:rFonts w:ascii="Arial" w:cs="Arial" w:eastAsia="Arial" w:hAnsi="Arial"/>
                <w:sz w:val="18"/>
                <w:szCs w:val="18"/>
                <w:color w:val="auto"/>
              </w:rPr>
              <w:t xml:space="preserve"> O</w:t>
            </w:r>
            <w:r>
              <w:rPr>
                <w:rFonts w:ascii="Arial" w:cs="Arial" w:eastAsia="Arial" w:hAnsi="Arial"/>
                <w:sz w:val="14"/>
                <w:szCs w:val="14"/>
                <w:color w:val="auto"/>
              </w:rPr>
              <w:t>FFICE</w:t>
            </w: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5.26%</w:t>
            </w:r>
          </w:p>
        </w:tc>
        <w:tc>
          <w:tcPr>
            <w:tcW w:w="8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8"/>
              </w:rPr>
              <w:t>L+225</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9,908,784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9,908,784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7,840,325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URNISHINGS</w:t>
            </w: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7"/>
              </w:rPr>
              <w:t>H</w:t>
            </w:r>
            <w:r>
              <w:rPr>
                <w:rFonts w:ascii="Arial" w:cs="Arial" w:eastAsia="Arial" w:hAnsi="Arial"/>
                <w:sz w:val="14"/>
                <w:szCs w:val="14"/>
                <w:color w:val="auto"/>
                <w:w w:val="97"/>
              </w:rPr>
              <w:t>OUSEWARES</w:t>
            </w:r>
            <w:r>
              <w:rPr>
                <w:rFonts w:ascii="Arial" w:cs="Arial" w:eastAsia="Arial" w:hAnsi="Arial"/>
                <w:sz w:val="18"/>
                <w:szCs w:val="18"/>
                <w:color w:val="auto"/>
                <w:w w:val="97"/>
              </w:rPr>
              <w:t xml:space="preserve">, </w:t>
            </w:r>
            <w:r>
              <w:rPr>
                <w:rFonts w:ascii="Arial" w:cs="Arial" w:eastAsia="Arial" w:hAnsi="Arial"/>
                <w:sz w:val="14"/>
                <w:szCs w:val="14"/>
                <w:color w:val="auto"/>
                <w:w w:val="97"/>
              </w:rPr>
              <w:t>AND</w:t>
            </w: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URABLE</w:t>
            </w:r>
            <w:r>
              <w:rPr>
                <w:rFonts w:ascii="Arial" w:cs="Arial" w:eastAsia="Arial" w:hAnsi="Arial"/>
                <w:sz w:val="18"/>
                <w:szCs w:val="18"/>
                <w:color w:val="auto"/>
              </w:rPr>
              <w:t xml:space="preserve"> C</w:t>
            </w:r>
            <w:r>
              <w:rPr>
                <w:rFonts w:ascii="Arial" w:cs="Arial" w:eastAsia="Arial" w:hAnsi="Arial"/>
                <w:sz w:val="14"/>
                <w:szCs w:val="14"/>
                <w:color w:val="auto"/>
              </w:rPr>
              <w:t>ONSUMER</w:t>
            </w: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8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366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EVLAD</w:t>
            </w:r>
            <w:r>
              <w:rPr>
                <w:rFonts w:ascii="Arial" w:cs="Arial" w:eastAsia="Arial" w:hAnsi="Arial"/>
                <w:sz w:val="18"/>
                <w:szCs w:val="18"/>
                <w:color w:val="auto"/>
              </w:rPr>
              <w:t>, L.L.C.</w:t>
            </w:r>
          </w:p>
        </w:tc>
        <w:tc>
          <w:tcPr>
            <w:tcW w:w="1120" w:type="dxa"/>
            <w:vAlign w:val="bottom"/>
          </w:tcPr>
          <w:p>
            <w:pPr>
              <w:ind w:left="260"/>
              <w:spacing w:after="0"/>
              <w:rPr>
                <w:sz w:val="20"/>
                <w:szCs w:val="20"/>
                <w:color w:val="auto"/>
              </w:rPr>
            </w:pPr>
            <w:r>
              <w:rPr>
                <w:rFonts w:ascii="Arial" w:cs="Arial" w:eastAsia="Arial" w:hAnsi="Arial"/>
                <w:sz w:val="18"/>
                <w:szCs w:val="18"/>
                <w:color w:val="auto"/>
                <w:w w:val="93"/>
              </w:rPr>
              <w:t>03/08/2014</w:t>
            </w:r>
          </w:p>
        </w:tc>
        <w:tc>
          <w:tcPr>
            <w:tcW w:w="1900" w:type="dxa"/>
            <w:vAlign w:val="bottom"/>
            <w:gridSpan w:val="3"/>
          </w:tcPr>
          <w:p>
            <w:pPr>
              <w:jc w:val="center"/>
              <w:ind w:right="100"/>
              <w:spacing w:after="0"/>
              <w:rPr>
                <w:sz w:val="20"/>
                <w:szCs w:val="20"/>
                <w:color w:val="auto"/>
              </w:rPr>
            </w:pPr>
            <w:r>
              <w:rPr>
                <w:rFonts w:ascii="Arial" w:cs="Arial" w:eastAsia="Arial" w:hAnsi="Arial"/>
                <w:sz w:val="18"/>
                <w:szCs w:val="18"/>
                <w:color w:val="auto"/>
                <w:w w:val="96"/>
              </w:rPr>
              <w:t>C</w:t>
            </w:r>
            <w:r>
              <w:rPr>
                <w:rFonts w:ascii="Arial" w:cs="Arial" w:eastAsia="Arial" w:hAnsi="Arial"/>
                <w:sz w:val="14"/>
                <w:szCs w:val="14"/>
                <w:color w:val="auto"/>
                <w:w w:val="96"/>
              </w:rPr>
              <w:t>ONSUMER</w:t>
            </w:r>
            <w:r>
              <w:rPr>
                <w:rFonts w:ascii="Arial" w:cs="Arial" w:eastAsia="Arial" w:hAnsi="Arial"/>
                <w:sz w:val="18"/>
                <w:szCs w:val="18"/>
                <w:color w:val="auto"/>
                <w:w w:val="96"/>
              </w:rPr>
              <w:t xml:space="preserve"> P</w:t>
            </w:r>
            <w:r>
              <w:rPr>
                <w:rFonts w:ascii="Arial" w:cs="Arial" w:eastAsia="Arial" w:hAnsi="Arial"/>
                <w:sz w:val="14"/>
                <w:szCs w:val="14"/>
                <w:color w:val="auto"/>
                <w:w w:val="96"/>
              </w:rPr>
              <w:t>RODUCTS</w:t>
            </w: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5.04%</w:t>
            </w:r>
          </w:p>
        </w:tc>
        <w:tc>
          <w:tcPr>
            <w:tcW w:w="840" w:type="dxa"/>
            <w:vAlign w:val="bottom"/>
          </w:tcPr>
          <w:p>
            <w:pPr>
              <w:jc w:val="right"/>
              <w:ind w:right="232"/>
              <w:spacing w:after="0"/>
              <w:rPr>
                <w:sz w:val="20"/>
                <w:szCs w:val="20"/>
                <w:color w:val="auto"/>
              </w:rPr>
            </w:pPr>
            <w:r>
              <w:rPr>
                <w:rFonts w:ascii="Arial" w:cs="Arial" w:eastAsia="Arial" w:hAnsi="Arial"/>
                <w:sz w:val="18"/>
                <w:szCs w:val="18"/>
                <w:color w:val="auto"/>
                <w:w w:val="98"/>
              </w:rPr>
              <w:t>L+225</w:t>
            </w:r>
          </w:p>
        </w:tc>
        <w:tc>
          <w:tcPr>
            <w:tcW w:w="8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4,647,124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4,647,124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3,183,280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ONGVIEW</w:t>
            </w:r>
            <w:r>
              <w:rPr>
                <w:rFonts w:ascii="Arial" w:cs="Arial" w:eastAsia="Arial" w:hAnsi="Arial"/>
                <w:sz w:val="18"/>
                <w:szCs w:val="18"/>
                <w:color w:val="auto"/>
              </w:rPr>
              <w:t xml:space="preserve"> P</w:t>
            </w:r>
            <w:r>
              <w:rPr>
                <w:rFonts w:ascii="Arial" w:cs="Arial" w:eastAsia="Arial" w:hAnsi="Arial"/>
                <w:sz w:val="14"/>
                <w:szCs w:val="14"/>
                <w:color w:val="auto"/>
              </w:rPr>
              <w:t>OWER</w:t>
            </w:r>
            <w:r>
              <w:rPr>
                <w:rFonts w:ascii="Arial" w:cs="Arial" w:eastAsia="Arial" w:hAnsi="Arial"/>
                <w:sz w:val="18"/>
                <w:szCs w:val="18"/>
                <w:color w:val="auto"/>
              </w:rPr>
              <w:t>, L.L.C.</w:t>
            </w:r>
          </w:p>
        </w:tc>
        <w:tc>
          <w:tcPr>
            <w:tcW w:w="11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3"/>
              </w:rPr>
              <w:t>02/28/2014</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TILITIES</w:t>
            </w: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5.06%</w:t>
            </w:r>
          </w:p>
        </w:tc>
        <w:tc>
          <w:tcPr>
            <w:tcW w:w="8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8"/>
              </w:rPr>
              <w:t>L+225</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66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ATTRESS</w:t>
            </w:r>
            <w:r>
              <w:rPr>
                <w:rFonts w:ascii="Arial" w:cs="Arial" w:eastAsia="Arial" w:hAnsi="Arial"/>
                <w:sz w:val="18"/>
                <w:szCs w:val="18"/>
                <w:color w:val="auto"/>
              </w:rPr>
              <w:t xml:space="preserve"> H</w:t>
            </w:r>
            <w:r>
              <w:rPr>
                <w:rFonts w:ascii="Arial" w:cs="Arial" w:eastAsia="Arial" w:hAnsi="Arial"/>
                <w:sz w:val="14"/>
                <w:szCs w:val="14"/>
                <w:color w:val="auto"/>
              </w:rPr>
              <w:t>OLDING</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1120" w:type="dxa"/>
            <w:vAlign w:val="bottom"/>
          </w:tcPr>
          <w:p>
            <w:pPr>
              <w:ind w:left="260"/>
              <w:spacing w:after="0"/>
              <w:rPr>
                <w:sz w:val="20"/>
                <w:szCs w:val="20"/>
                <w:color w:val="auto"/>
              </w:rPr>
            </w:pPr>
            <w:r>
              <w:rPr>
                <w:rFonts w:ascii="Arial" w:cs="Arial" w:eastAsia="Arial" w:hAnsi="Arial"/>
                <w:sz w:val="18"/>
                <w:szCs w:val="18"/>
                <w:color w:val="auto"/>
                <w:w w:val="93"/>
              </w:rPr>
              <w:t>01/18/2014</w:t>
            </w:r>
          </w:p>
        </w:tc>
        <w:tc>
          <w:tcPr>
            <w:tcW w:w="1900" w:type="dxa"/>
            <w:vAlign w:val="bottom"/>
            <w:gridSpan w:val="3"/>
          </w:tcPr>
          <w:p>
            <w:pPr>
              <w:jc w:val="center"/>
              <w:ind w:right="100"/>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OME AND</w:t>
            </w:r>
            <w:r>
              <w:rPr>
                <w:rFonts w:ascii="Arial" w:cs="Arial" w:eastAsia="Arial" w:hAnsi="Arial"/>
                <w:sz w:val="18"/>
                <w:szCs w:val="18"/>
                <w:color w:val="auto"/>
              </w:rPr>
              <w:t xml:space="preserve"> O</w:t>
            </w:r>
            <w:r>
              <w:rPr>
                <w:rFonts w:ascii="Arial" w:cs="Arial" w:eastAsia="Arial" w:hAnsi="Arial"/>
                <w:sz w:val="14"/>
                <w:szCs w:val="14"/>
                <w:color w:val="auto"/>
              </w:rPr>
              <w:t>FFICE</w:t>
            </w: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5.15%</w:t>
            </w:r>
          </w:p>
        </w:tc>
        <w:tc>
          <w:tcPr>
            <w:tcW w:w="840" w:type="dxa"/>
            <w:vAlign w:val="bottom"/>
          </w:tcPr>
          <w:p>
            <w:pPr>
              <w:jc w:val="right"/>
              <w:ind w:right="232"/>
              <w:spacing w:after="0"/>
              <w:rPr>
                <w:sz w:val="20"/>
                <w:szCs w:val="20"/>
                <w:color w:val="auto"/>
              </w:rPr>
            </w:pPr>
            <w:r>
              <w:rPr>
                <w:rFonts w:ascii="Arial" w:cs="Arial" w:eastAsia="Arial" w:hAnsi="Arial"/>
                <w:sz w:val="18"/>
                <w:szCs w:val="18"/>
                <w:color w:val="auto"/>
                <w:w w:val="98"/>
              </w:rPr>
              <w:t>L+225</w:t>
            </w:r>
          </w:p>
        </w:tc>
        <w:tc>
          <w:tcPr>
            <w:tcW w:w="80" w:type="dxa"/>
            <w:vAlign w:val="bottom"/>
          </w:tcPr>
          <w:p>
            <w:pPr>
              <w:spacing w:after="0"/>
              <w:rPr>
                <w:sz w:val="23"/>
                <w:szCs w:val="2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3,960,075</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3,960,075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2,811,653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00" w:type="dxa"/>
            <w:vAlign w:val="bottom"/>
            <w:gridSpan w:val="3"/>
          </w:tcPr>
          <w:p>
            <w:pPr>
              <w:jc w:val="center"/>
              <w:ind w:right="10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URNISHINGS</w:t>
            </w: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00" w:type="dxa"/>
            <w:vAlign w:val="bottom"/>
            <w:gridSpan w:val="3"/>
          </w:tcPr>
          <w:p>
            <w:pPr>
              <w:jc w:val="center"/>
              <w:ind w:right="100"/>
              <w:spacing w:after="0"/>
              <w:rPr>
                <w:sz w:val="20"/>
                <w:szCs w:val="20"/>
                <w:color w:val="auto"/>
              </w:rPr>
            </w:pPr>
            <w:r>
              <w:rPr>
                <w:rFonts w:ascii="Arial" w:cs="Arial" w:eastAsia="Arial" w:hAnsi="Arial"/>
                <w:sz w:val="18"/>
                <w:szCs w:val="18"/>
                <w:color w:val="auto"/>
                <w:w w:val="97"/>
              </w:rPr>
              <w:t>H</w:t>
            </w:r>
            <w:r>
              <w:rPr>
                <w:rFonts w:ascii="Arial" w:cs="Arial" w:eastAsia="Arial" w:hAnsi="Arial"/>
                <w:sz w:val="14"/>
                <w:szCs w:val="14"/>
                <w:color w:val="auto"/>
                <w:w w:val="97"/>
              </w:rPr>
              <w:t>OUSEWARES</w:t>
            </w:r>
            <w:r>
              <w:rPr>
                <w:rFonts w:ascii="Arial" w:cs="Arial" w:eastAsia="Arial" w:hAnsi="Arial"/>
                <w:sz w:val="18"/>
                <w:szCs w:val="18"/>
                <w:color w:val="auto"/>
                <w:w w:val="97"/>
              </w:rPr>
              <w:t xml:space="preserve">, </w:t>
            </w:r>
            <w:r>
              <w:rPr>
                <w:rFonts w:ascii="Arial" w:cs="Arial" w:eastAsia="Arial" w:hAnsi="Arial"/>
                <w:sz w:val="14"/>
                <w:szCs w:val="14"/>
                <w:color w:val="auto"/>
                <w:w w:val="97"/>
              </w:rPr>
              <w:t>AND</w:t>
            </w: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00" w:type="dxa"/>
            <w:vAlign w:val="bottom"/>
            <w:gridSpan w:val="3"/>
          </w:tcPr>
          <w:p>
            <w:pPr>
              <w:jc w:val="center"/>
              <w:ind w:right="10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URABLE</w:t>
            </w:r>
            <w:r>
              <w:rPr>
                <w:rFonts w:ascii="Arial" w:cs="Arial" w:eastAsia="Arial" w:hAnsi="Arial"/>
                <w:sz w:val="18"/>
                <w:szCs w:val="18"/>
                <w:color w:val="auto"/>
              </w:rPr>
              <w:t xml:space="preserve"> C</w:t>
            </w:r>
            <w:r>
              <w:rPr>
                <w:rFonts w:ascii="Arial" w:cs="Arial" w:eastAsia="Arial" w:hAnsi="Arial"/>
                <w:sz w:val="14"/>
                <w:szCs w:val="14"/>
                <w:color w:val="auto"/>
              </w:rPr>
              <w:t>ONSUMER</w:t>
            </w: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gridSpan w:val="2"/>
          </w:tcPr>
          <w:p>
            <w:pPr>
              <w:jc w:val="center"/>
              <w:ind w:right="580"/>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ITCHELL</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1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3"/>
              </w:rPr>
              <w:t>03/28/2014</w:t>
            </w:r>
          </w:p>
        </w:tc>
        <w:tc>
          <w:tcPr>
            <w:tcW w:w="19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USINESS</w:t>
            </w:r>
            <w:r>
              <w:rPr>
                <w:rFonts w:ascii="Arial" w:cs="Arial" w:eastAsia="Arial" w:hAnsi="Arial"/>
                <w:sz w:val="18"/>
                <w:szCs w:val="18"/>
                <w:color w:val="auto"/>
                <w:w w:val="94"/>
              </w:rPr>
              <w:t xml:space="preserve"> S</w:t>
            </w:r>
            <w:r>
              <w:rPr>
                <w:rFonts w:ascii="Arial" w:cs="Arial" w:eastAsia="Arial" w:hAnsi="Arial"/>
                <w:sz w:val="14"/>
                <w:szCs w:val="14"/>
                <w:color w:val="auto"/>
                <w:w w:val="94"/>
              </w:rPr>
              <w:t>ERVICES</w:t>
            </w: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4.80%</w:t>
            </w:r>
          </w:p>
        </w:tc>
        <w:tc>
          <w:tcPr>
            <w:tcW w:w="8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8"/>
              </w:rPr>
              <w:t>L+200</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3,950,000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3,777,188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66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ATIONAL</w:t>
            </w:r>
            <w:r>
              <w:rPr>
                <w:rFonts w:ascii="Arial" w:cs="Arial" w:eastAsia="Arial" w:hAnsi="Arial"/>
                <w:sz w:val="18"/>
                <w:szCs w:val="18"/>
                <w:color w:val="auto"/>
              </w:rPr>
              <w:t xml:space="preserve"> B</w:t>
            </w:r>
            <w:r>
              <w:rPr>
                <w:rFonts w:ascii="Arial" w:cs="Arial" w:eastAsia="Arial" w:hAnsi="Arial"/>
                <w:sz w:val="14"/>
                <w:szCs w:val="14"/>
                <w:color w:val="auto"/>
              </w:rPr>
              <w:t>EDDING</w:t>
            </w:r>
            <w:r>
              <w:rPr>
                <w:rFonts w:ascii="Arial" w:cs="Arial" w:eastAsia="Arial" w:hAnsi="Arial"/>
                <w:sz w:val="18"/>
                <w:szCs w:val="18"/>
                <w:color w:val="auto"/>
              </w:rPr>
              <w:t xml:space="preserve"> C</w:t>
            </w:r>
            <w:r>
              <w:rPr>
                <w:rFonts w:ascii="Arial" w:cs="Arial" w:eastAsia="Arial" w:hAnsi="Arial"/>
                <w:sz w:val="14"/>
                <w:szCs w:val="14"/>
                <w:color w:val="auto"/>
              </w:rPr>
              <w:t>O</w:t>
            </w:r>
            <w:r>
              <w:rPr>
                <w:rFonts w:ascii="Arial" w:cs="Arial" w:eastAsia="Arial" w:hAnsi="Arial"/>
                <w:sz w:val="18"/>
                <w:szCs w:val="18"/>
                <w:color w:val="auto"/>
              </w:rPr>
              <w:t>., L.L.C.</w:t>
            </w:r>
          </w:p>
        </w:tc>
        <w:tc>
          <w:tcPr>
            <w:tcW w:w="1120" w:type="dxa"/>
            <w:vAlign w:val="bottom"/>
          </w:tcPr>
          <w:p>
            <w:pPr>
              <w:ind w:left="260"/>
              <w:spacing w:after="0"/>
              <w:rPr>
                <w:sz w:val="20"/>
                <w:szCs w:val="20"/>
                <w:color w:val="auto"/>
              </w:rPr>
            </w:pPr>
            <w:r>
              <w:rPr>
                <w:rFonts w:ascii="Arial" w:cs="Arial" w:eastAsia="Arial" w:hAnsi="Arial"/>
                <w:sz w:val="18"/>
                <w:szCs w:val="18"/>
                <w:color w:val="auto"/>
                <w:w w:val="93"/>
              </w:rPr>
              <w:t>02/28/2013</w:t>
            </w:r>
          </w:p>
        </w:tc>
        <w:tc>
          <w:tcPr>
            <w:tcW w:w="1900" w:type="dxa"/>
            <w:vAlign w:val="bottom"/>
            <w:gridSpan w:val="3"/>
          </w:tcPr>
          <w:p>
            <w:pPr>
              <w:jc w:val="center"/>
              <w:ind w:right="100"/>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OME AND</w:t>
            </w:r>
            <w:r>
              <w:rPr>
                <w:rFonts w:ascii="Arial" w:cs="Arial" w:eastAsia="Arial" w:hAnsi="Arial"/>
                <w:sz w:val="18"/>
                <w:szCs w:val="18"/>
                <w:color w:val="auto"/>
              </w:rPr>
              <w:t xml:space="preserve"> O</w:t>
            </w:r>
            <w:r>
              <w:rPr>
                <w:rFonts w:ascii="Arial" w:cs="Arial" w:eastAsia="Arial" w:hAnsi="Arial"/>
                <w:sz w:val="14"/>
                <w:szCs w:val="14"/>
                <w:color w:val="auto"/>
              </w:rPr>
              <w:t>FFICE</w:t>
            </w: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4.73%</w:t>
            </w:r>
          </w:p>
        </w:tc>
        <w:tc>
          <w:tcPr>
            <w:tcW w:w="840" w:type="dxa"/>
            <w:vAlign w:val="bottom"/>
          </w:tcPr>
          <w:p>
            <w:pPr>
              <w:jc w:val="right"/>
              <w:ind w:right="232"/>
              <w:spacing w:after="0"/>
              <w:rPr>
                <w:sz w:val="20"/>
                <w:szCs w:val="20"/>
                <w:color w:val="auto"/>
              </w:rPr>
            </w:pPr>
            <w:r>
              <w:rPr>
                <w:rFonts w:ascii="Arial" w:cs="Arial" w:eastAsia="Arial" w:hAnsi="Arial"/>
                <w:sz w:val="18"/>
                <w:szCs w:val="18"/>
                <w:color w:val="auto"/>
                <w:w w:val="98"/>
              </w:rPr>
              <w:t>L+200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6,912,500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6,918,403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5,530,000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00" w:type="dxa"/>
            <w:vAlign w:val="bottom"/>
            <w:gridSpan w:val="3"/>
          </w:tcPr>
          <w:p>
            <w:pPr>
              <w:jc w:val="center"/>
              <w:ind w:right="10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URNISHINGS</w:t>
            </w: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00" w:type="dxa"/>
            <w:vAlign w:val="bottom"/>
            <w:gridSpan w:val="3"/>
          </w:tcPr>
          <w:p>
            <w:pPr>
              <w:jc w:val="center"/>
              <w:ind w:right="100"/>
              <w:spacing w:after="0"/>
              <w:rPr>
                <w:sz w:val="20"/>
                <w:szCs w:val="20"/>
                <w:color w:val="auto"/>
              </w:rPr>
            </w:pPr>
            <w:r>
              <w:rPr>
                <w:rFonts w:ascii="Arial" w:cs="Arial" w:eastAsia="Arial" w:hAnsi="Arial"/>
                <w:sz w:val="18"/>
                <w:szCs w:val="18"/>
                <w:color w:val="auto"/>
                <w:w w:val="97"/>
              </w:rPr>
              <w:t>H</w:t>
            </w:r>
            <w:r>
              <w:rPr>
                <w:rFonts w:ascii="Arial" w:cs="Arial" w:eastAsia="Arial" w:hAnsi="Arial"/>
                <w:sz w:val="14"/>
                <w:szCs w:val="14"/>
                <w:color w:val="auto"/>
                <w:w w:val="97"/>
              </w:rPr>
              <w:t>OUSEWARES</w:t>
            </w:r>
            <w:r>
              <w:rPr>
                <w:rFonts w:ascii="Arial" w:cs="Arial" w:eastAsia="Arial" w:hAnsi="Arial"/>
                <w:sz w:val="18"/>
                <w:szCs w:val="18"/>
                <w:color w:val="auto"/>
                <w:w w:val="97"/>
              </w:rPr>
              <w:t xml:space="preserve">, </w:t>
            </w:r>
            <w:r>
              <w:rPr>
                <w:rFonts w:ascii="Arial" w:cs="Arial" w:eastAsia="Arial" w:hAnsi="Arial"/>
                <w:sz w:val="14"/>
                <w:szCs w:val="14"/>
                <w:color w:val="auto"/>
                <w:w w:val="97"/>
              </w:rPr>
              <w:t>AND</w:t>
            </w: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00" w:type="dxa"/>
            <w:vAlign w:val="bottom"/>
            <w:gridSpan w:val="3"/>
          </w:tcPr>
          <w:p>
            <w:pPr>
              <w:jc w:val="center"/>
              <w:ind w:right="10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URABLE</w:t>
            </w:r>
            <w:r>
              <w:rPr>
                <w:rFonts w:ascii="Arial" w:cs="Arial" w:eastAsia="Arial" w:hAnsi="Arial"/>
                <w:sz w:val="18"/>
                <w:szCs w:val="18"/>
                <w:color w:val="auto"/>
              </w:rPr>
              <w:t xml:space="preserve"> C</w:t>
            </w:r>
            <w:r>
              <w:rPr>
                <w:rFonts w:ascii="Arial" w:cs="Arial" w:eastAsia="Arial" w:hAnsi="Arial"/>
                <w:sz w:val="14"/>
                <w:szCs w:val="14"/>
                <w:color w:val="auto"/>
              </w:rPr>
              <w:t>ONSUMER</w:t>
            </w: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gridSpan w:val="2"/>
          </w:tcPr>
          <w:p>
            <w:pPr>
              <w:jc w:val="center"/>
              <w:ind w:right="580"/>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ENTON</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1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3"/>
              </w:rPr>
              <w:t>02/01/2013</w:t>
            </w:r>
          </w:p>
        </w:tc>
        <w:tc>
          <w:tcPr>
            <w:tcW w:w="19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9"/>
              </w:rPr>
              <w:t>O</w:t>
            </w:r>
            <w:r>
              <w:rPr>
                <w:rFonts w:ascii="Arial" w:cs="Arial" w:eastAsia="Arial" w:hAnsi="Arial"/>
                <w:sz w:val="14"/>
                <w:szCs w:val="14"/>
                <w:color w:val="auto"/>
                <w:w w:val="99"/>
              </w:rPr>
              <w:t>THER</w:t>
            </w:r>
            <w:r>
              <w:rPr>
                <w:rFonts w:ascii="Arial" w:cs="Arial" w:eastAsia="Arial" w:hAnsi="Arial"/>
                <w:sz w:val="18"/>
                <w:szCs w:val="18"/>
                <w:color w:val="auto"/>
                <w:w w:val="99"/>
              </w:rPr>
              <w:t xml:space="preserve"> M</w:t>
            </w:r>
            <w:r>
              <w:rPr>
                <w:rFonts w:ascii="Arial" w:cs="Arial" w:eastAsia="Arial" w:hAnsi="Arial"/>
                <w:sz w:val="14"/>
                <w:szCs w:val="14"/>
                <w:color w:val="auto"/>
                <w:w w:val="99"/>
              </w:rPr>
              <w:t>EDIA</w:t>
            </w: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5.10%</w:t>
            </w:r>
          </w:p>
        </w:tc>
        <w:tc>
          <w:tcPr>
            <w:tcW w:w="8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8"/>
              </w:rPr>
              <w:t>L+225</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4,937,500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4,937,500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4,122,813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366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HILOSOPHY</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120" w:type="dxa"/>
            <w:vAlign w:val="bottom"/>
          </w:tcPr>
          <w:p>
            <w:pPr>
              <w:ind w:left="260"/>
              <w:spacing w:after="0"/>
              <w:rPr>
                <w:sz w:val="20"/>
                <w:szCs w:val="20"/>
                <w:color w:val="auto"/>
              </w:rPr>
            </w:pPr>
            <w:r>
              <w:rPr>
                <w:rFonts w:ascii="Arial" w:cs="Arial" w:eastAsia="Arial" w:hAnsi="Arial"/>
                <w:sz w:val="18"/>
                <w:szCs w:val="18"/>
                <w:color w:val="auto"/>
                <w:w w:val="93"/>
              </w:rPr>
              <w:t>03/16/2014</w:t>
            </w:r>
          </w:p>
        </w:tc>
        <w:tc>
          <w:tcPr>
            <w:tcW w:w="1900" w:type="dxa"/>
            <w:vAlign w:val="bottom"/>
            <w:gridSpan w:val="3"/>
          </w:tcPr>
          <w:p>
            <w:pPr>
              <w:jc w:val="center"/>
              <w:ind w:right="100"/>
              <w:spacing w:after="0"/>
              <w:rPr>
                <w:sz w:val="20"/>
                <w:szCs w:val="20"/>
                <w:color w:val="auto"/>
              </w:rPr>
            </w:pPr>
            <w:r>
              <w:rPr>
                <w:rFonts w:ascii="Arial" w:cs="Arial" w:eastAsia="Arial" w:hAnsi="Arial"/>
                <w:sz w:val="18"/>
                <w:szCs w:val="18"/>
                <w:color w:val="auto"/>
                <w:w w:val="96"/>
              </w:rPr>
              <w:t>C</w:t>
            </w:r>
            <w:r>
              <w:rPr>
                <w:rFonts w:ascii="Arial" w:cs="Arial" w:eastAsia="Arial" w:hAnsi="Arial"/>
                <w:sz w:val="14"/>
                <w:szCs w:val="14"/>
                <w:color w:val="auto"/>
                <w:w w:val="96"/>
              </w:rPr>
              <w:t>ONSUMER</w:t>
            </w:r>
            <w:r>
              <w:rPr>
                <w:rFonts w:ascii="Arial" w:cs="Arial" w:eastAsia="Arial" w:hAnsi="Arial"/>
                <w:sz w:val="18"/>
                <w:szCs w:val="18"/>
                <w:color w:val="auto"/>
                <w:w w:val="96"/>
              </w:rPr>
              <w:t xml:space="preserve"> P</w:t>
            </w:r>
            <w:r>
              <w:rPr>
                <w:rFonts w:ascii="Arial" w:cs="Arial" w:eastAsia="Arial" w:hAnsi="Arial"/>
                <w:sz w:val="14"/>
                <w:szCs w:val="14"/>
                <w:color w:val="auto"/>
                <w:w w:val="96"/>
              </w:rPr>
              <w:t>RODUCTS</w:t>
            </w: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4.83%</w:t>
            </w:r>
          </w:p>
        </w:tc>
        <w:tc>
          <w:tcPr>
            <w:tcW w:w="840" w:type="dxa"/>
            <w:vAlign w:val="bottom"/>
          </w:tcPr>
          <w:p>
            <w:pPr>
              <w:jc w:val="right"/>
              <w:ind w:right="232"/>
              <w:spacing w:after="0"/>
              <w:rPr>
                <w:sz w:val="20"/>
                <w:szCs w:val="20"/>
                <w:color w:val="auto"/>
              </w:rPr>
            </w:pPr>
            <w:r>
              <w:rPr>
                <w:rFonts w:ascii="Arial" w:cs="Arial" w:eastAsia="Arial" w:hAnsi="Arial"/>
                <w:sz w:val="18"/>
                <w:szCs w:val="18"/>
                <w:color w:val="auto"/>
                <w:w w:val="98"/>
              </w:rPr>
              <w:t>L+200</w:t>
            </w:r>
          </w:p>
        </w:tc>
        <w:tc>
          <w:tcPr>
            <w:tcW w:w="8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1,478,400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1,478,400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1,286,208</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Q</w:t>
            </w:r>
            <w:r>
              <w:rPr>
                <w:rFonts w:ascii="Arial" w:cs="Arial" w:eastAsia="Arial" w:hAnsi="Arial"/>
                <w:sz w:val="14"/>
                <w:szCs w:val="14"/>
                <w:color w:val="auto"/>
              </w:rPr>
              <w:t>UESTEX</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1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3"/>
              </w:rPr>
              <w:t>05/04/2014</w:t>
            </w:r>
          </w:p>
        </w:tc>
        <w:tc>
          <w:tcPr>
            <w:tcW w:w="19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9"/>
              </w:rPr>
              <w:t>O</w:t>
            </w:r>
            <w:r>
              <w:rPr>
                <w:rFonts w:ascii="Arial" w:cs="Arial" w:eastAsia="Arial" w:hAnsi="Arial"/>
                <w:sz w:val="14"/>
                <w:szCs w:val="14"/>
                <w:color w:val="auto"/>
                <w:w w:val="99"/>
              </w:rPr>
              <w:t>THER</w:t>
            </w:r>
            <w:r>
              <w:rPr>
                <w:rFonts w:ascii="Arial" w:cs="Arial" w:eastAsia="Arial" w:hAnsi="Arial"/>
                <w:sz w:val="18"/>
                <w:szCs w:val="18"/>
                <w:color w:val="auto"/>
                <w:w w:val="99"/>
              </w:rPr>
              <w:t xml:space="preserve"> M</w:t>
            </w:r>
            <w:r>
              <w:rPr>
                <w:rFonts w:ascii="Arial" w:cs="Arial" w:eastAsia="Arial" w:hAnsi="Arial"/>
                <w:sz w:val="14"/>
                <w:szCs w:val="14"/>
                <w:color w:val="auto"/>
                <w:w w:val="99"/>
              </w:rPr>
              <w:t>EDIA</w:t>
            </w: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5.69%</w:t>
            </w:r>
          </w:p>
        </w:tc>
        <w:tc>
          <w:tcPr>
            <w:tcW w:w="8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8"/>
              </w:rPr>
              <w:t>L+300</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4,936,667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4,936,667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660" w:type="dxa"/>
            <w:vAlign w:val="bottom"/>
            <w:gridSpan w:val="2"/>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EADER</w:t>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ml:space="preserve"> D</w:t>
            </w:r>
            <w:r>
              <w:rPr>
                <w:rFonts w:ascii="Arial" w:cs="Arial" w:eastAsia="Arial" w:hAnsi="Arial"/>
                <w:sz w:val="14"/>
                <w:szCs w:val="14"/>
                <w:color w:val="auto"/>
              </w:rPr>
              <w:t>IGEST</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120" w:type="dxa"/>
            <w:vAlign w:val="bottom"/>
          </w:tcPr>
          <w:p>
            <w:pPr>
              <w:ind w:left="260"/>
              <w:spacing w:after="0"/>
              <w:rPr>
                <w:sz w:val="20"/>
                <w:szCs w:val="20"/>
                <w:color w:val="auto"/>
              </w:rPr>
            </w:pPr>
            <w:r>
              <w:rPr>
                <w:rFonts w:ascii="Arial" w:cs="Arial" w:eastAsia="Arial" w:hAnsi="Arial"/>
                <w:sz w:val="18"/>
                <w:szCs w:val="18"/>
                <w:color w:val="auto"/>
                <w:w w:val="93"/>
              </w:rPr>
              <w:t>03/02/2014</w:t>
            </w:r>
          </w:p>
        </w:tc>
        <w:tc>
          <w:tcPr>
            <w:tcW w:w="1900" w:type="dxa"/>
            <w:vAlign w:val="bottom"/>
            <w:gridSpan w:val="3"/>
          </w:tcPr>
          <w:p>
            <w:pPr>
              <w:jc w:val="center"/>
              <w:ind w:right="10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 AND</w:t>
            </w:r>
          </w:p>
        </w:tc>
        <w:tc>
          <w:tcPr>
            <w:tcW w:w="8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900" w:type="dxa"/>
            <w:vAlign w:val="bottom"/>
            <w:gridSpan w:val="3"/>
          </w:tcPr>
          <w:p>
            <w:pPr>
              <w:jc w:val="center"/>
              <w:ind w:right="10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UBLISHING</w:t>
            </w: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4.60%</w:t>
            </w:r>
          </w:p>
        </w:tc>
        <w:tc>
          <w:tcPr>
            <w:tcW w:w="840" w:type="dxa"/>
            <w:vAlign w:val="bottom"/>
          </w:tcPr>
          <w:p>
            <w:pPr>
              <w:jc w:val="right"/>
              <w:ind w:right="232"/>
              <w:spacing w:after="0"/>
              <w:rPr>
                <w:sz w:val="20"/>
                <w:szCs w:val="20"/>
                <w:color w:val="auto"/>
              </w:rPr>
            </w:pPr>
            <w:r>
              <w:rPr>
                <w:rFonts w:ascii="Arial" w:cs="Arial" w:eastAsia="Arial" w:hAnsi="Arial"/>
                <w:sz w:val="18"/>
                <w:szCs w:val="18"/>
                <w:color w:val="auto"/>
                <w:w w:val="98"/>
              </w:rPr>
              <w:t>L+200</w:t>
            </w:r>
          </w:p>
        </w:tc>
        <w:tc>
          <w:tcPr>
            <w:tcW w:w="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987,500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987,500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857,273</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EXNORD</w:t>
            </w:r>
            <w:r>
              <w:rPr>
                <w:rFonts w:ascii="Arial" w:cs="Arial" w:eastAsia="Arial" w:hAnsi="Arial"/>
                <w:sz w:val="18"/>
                <w:szCs w:val="18"/>
                <w:color w:val="auto"/>
              </w:rPr>
              <w:t xml:space="preserve"> , L.L.C.</w:t>
            </w:r>
          </w:p>
        </w:tc>
        <w:tc>
          <w:tcPr>
            <w:tcW w:w="11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3"/>
              </w:rPr>
              <w:t>07/19/2013</w:t>
            </w:r>
          </w:p>
        </w:tc>
        <w:tc>
          <w:tcPr>
            <w:tcW w:w="19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ANUFACTURING</w:t>
            </w:r>
            <w:r>
              <w:rPr>
                <w:rFonts w:ascii="Arial" w:cs="Arial" w:eastAsia="Arial" w:hAnsi="Arial"/>
                <w:sz w:val="18"/>
                <w:szCs w:val="18"/>
                <w:color w:val="auto"/>
              </w:rPr>
              <w:t>/</w:t>
            </w: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4.98%</w:t>
            </w:r>
          </w:p>
        </w:tc>
        <w:tc>
          <w:tcPr>
            <w:tcW w:w="8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8"/>
              </w:rPr>
              <w:t>L+200</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4,925,000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4,925,000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4,617,188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ASIC</w:t>
            </w:r>
            <w:r>
              <w:rPr>
                <w:rFonts w:ascii="Arial" w:cs="Arial" w:eastAsia="Arial" w:hAnsi="Arial"/>
                <w:sz w:val="18"/>
                <w:szCs w:val="18"/>
                <w:color w:val="auto"/>
              </w:rPr>
              <w:t xml:space="preserve"> I</w:t>
            </w:r>
            <w:r>
              <w:rPr>
                <w:rFonts w:ascii="Arial" w:cs="Arial" w:eastAsia="Arial" w:hAnsi="Arial"/>
                <w:sz w:val="14"/>
                <w:szCs w:val="14"/>
                <w:color w:val="auto"/>
              </w:rPr>
              <w:t>NDUSTRY</w:t>
            </w:r>
          </w:p>
        </w:tc>
        <w:tc>
          <w:tcPr>
            <w:tcW w:w="8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36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ITEL</w:t>
            </w:r>
            <w:r>
              <w:rPr>
                <w:rFonts w:ascii="Arial" w:cs="Arial" w:eastAsia="Arial" w:hAnsi="Arial"/>
                <w:sz w:val="18"/>
                <w:szCs w:val="18"/>
                <w:color w:val="auto"/>
              </w:rPr>
              <w:t>, L.L.C.</w:t>
            </w:r>
          </w:p>
        </w:tc>
        <w:tc>
          <w:tcPr>
            <w:tcW w:w="1120" w:type="dxa"/>
            <w:vAlign w:val="bottom"/>
          </w:tcPr>
          <w:p>
            <w:pPr>
              <w:ind w:left="260"/>
              <w:spacing w:after="0"/>
              <w:rPr>
                <w:sz w:val="20"/>
                <w:szCs w:val="20"/>
                <w:color w:val="auto"/>
              </w:rPr>
            </w:pPr>
            <w:r>
              <w:rPr>
                <w:rFonts w:ascii="Arial" w:cs="Arial" w:eastAsia="Arial" w:hAnsi="Arial"/>
                <w:sz w:val="18"/>
                <w:szCs w:val="18"/>
                <w:color w:val="auto"/>
                <w:w w:val="93"/>
              </w:rPr>
              <w:t>01/30/2014</w:t>
            </w:r>
          </w:p>
        </w:tc>
        <w:tc>
          <w:tcPr>
            <w:tcW w:w="1900" w:type="dxa"/>
            <w:vAlign w:val="bottom"/>
            <w:gridSpan w:val="3"/>
          </w:tcPr>
          <w:p>
            <w:pPr>
              <w:jc w:val="center"/>
              <w:ind w:right="100"/>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USINESS</w:t>
            </w:r>
            <w:r>
              <w:rPr>
                <w:rFonts w:ascii="Arial" w:cs="Arial" w:eastAsia="Arial" w:hAnsi="Arial"/>
                <w:sz w:val="18"/>
                <w:szCs w:val="18"/>
                <w:color w:val="auto"/>
                <w:w w:val="94"/>
              </w:rPr>
              <w:t xml:space="preserve"> S</w:t>
            </w:r>
            <w:r>
              <w:rPr>
                <w:rFonts w:ascii="Arial" w:cs="Arial" w:eastAsia="Arial" w:hAnsi="Arial"/>
                <w:sz w:val="14"/>
                <w:szCs w:val="14"/>
                <w:color w:val="auto"/>
                <w:w w:val="94"/>
              </w:rPr>
              <w:t>ERVICES</w:t>
            </w: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5.32%</w:t>
            </w:r>
          </w:p>
        </w:tc>
        <w:tc>
          <w:tcPr>
            <w:tcW w:w="840" w:type="dxa"/>
            <w:vAlign w:val="bottom"/>
          </w:tcPr>
          <w:p>
            <w:pPr>
              <w:jc w:val="right"/>
              <w:ind w:right="232"/>
              <w:spacing w:after="0"/>
              <w:rPr>
                <w:sz w:val="20"/>
                <w:szCs w:val="20"/>
                <w:color w:val="auto"/>
              </w:rPr>
            </w:pPr>
            <w:r>
              <w:rPr>
                <w:rFonts w:ascii="Arial" w:cs="Arial" w:eastAsia="Arial" w:hAnsi="Arial"/>
                <w:sz w:val="18"/>
                <w:szCs w:val="18"/>
                <w:color w:val="auto"/>
                <w:w w:val="98"/>
              </w:rPr>
              <w:t>L+250</w:t>
            </w:r>
          </w:p>
        </w:tc>
        <w:tc>
          <w:tcPr>
            <w:tcW w:w="8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708,860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708,860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552,911</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ITEL</w:t>
            </w:r>
            <w:r>
              <w:rPr>
                <w:rFonts w:ascii="Arial" w:cs="Arial" w:eastAsia="Arial" w:hAnsi="Arial"/>
                <w:sz w:val="18"/>
                <w:szCs w:val="18"/>
                <w:color w:val="auto"/>
              </w:rPr>
              <w:t>, L.L.C.</w:t>
            </w:r>
          </w:p>
        </w:tc>
        <w:tc>
          <w:tcPr>
            <w:tcW w:w="11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3"/>
              </w:rPr>
              <w:t>01/30/2014</w:t>
            </w:r>
          </w:p>
        </w:tc>
        <w:tc>
          <w:tcPr>
            <w:tcW w:w="19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USINESS</w:t>
            </w:r>
            <w:r>
              <w:rPr>
                <w:rFonts w:ascii="Arial" w:cs="Arial" w:eastAsia="Arial" w:hAnsi="Arial"/>
                <w:sz w:val="18"/>
                <w:szCs w:val="18"/>
                <w:color w:val="auto"/>
                <w:w w:val="94"/>
              </w:rPr>
              <w:t xml:space="preserve"> S</w:t>
            </w:r>
            <w:r>
              <w:rPr>
                <w:rFonts w:ascii="Arial" w:cs="Arial" w:eastAsia="Arial" w:hAnsi="Arial"/>
                <w:sz w:val="14"/>
                <w:szCs w:val="14"/>
                <w:color w:val="auto"/>
                <w:w w:val="94"/>
              </w:rPr>
              <w:t>ERVICES</w:t>
            </w: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6.50%</w:t>
            </w:r>
          </w:p>
        </w:tc>
        <w:tc>
          <w:tcPr>
            <w:tcW w:w="8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5"/>
              </w:rPr>
              <w:t>P+150</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2,142,163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2,142,163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1,670,887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660" w:type="dxa"/>
            <w:vAlign w:val="bottom"/>
            <w:gridSpan w:val="2"/>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NIVISION</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tc>
        <w:tc>
          <w:tcPr>
            <w:tcW w:w="1120" w:type="dxa"/>
            <w:vAlign w:val="bottom"/>
          </w:tcPr>
          <w:p>
            <w:pPr>
              <w:ind w:left="260"/>
              <w:spacing w:after="0"/>
              <w:rPr>
                <w:sz w:val="20"/>
                <w:szCs w:val="20"/>
                <w:color w:val="auto"/>
              </w:rPr>
            </w:pPr>
            <w:r>
              <w:rPr>
                <w:rFonts w:ascii="Arial" w:cs="Arial" w:eastAsia="Arial" w:hAnsi="Arial"/>
                <w:sz w:val="18"/>
                <w:szCs w:val="18"/>
                <w:color w:val="auto"/>
                <w:w w:val="93"/>
              </w:rPr>
              <w:t>09/29/2014</w:t>
            </w:r>
          </w:p>
        </w:tc>
        <w:tc>
          <w:tcPr>
            <w:tcW w:w="1900" w:type="dxa"/>
            <w:vAlign w:val="bottom"/>
            <w:gridSpan w:val="3"/>
          </w:tcPr>
          <w:p>
            <w:pPr>
              <w:jc w:val="center"/>
              <w:ind w:right="10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ROADCASTING AND</w:t>
            </w:r>
          </w:p>
        </w:tc>
        <w:tc>
          <w:tcPr>
            <w:tcW w:w="8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900" w:type="dxa"/>
            <w:vAlign w:val="bottom"/>
            <w:gridSpan w:val="3"/>
          </w:tcPr>
          <w:p>
            <w:pPr>
              <w:jc w:val="center"/>
              <w:ind w:right="10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5.12%</w:t>
            </w:r>
          </w:p>
        </w:tc>
        <w:tc>
          <w:tcPr>
            <w:tcW w:w="840" w:type="dxa"/>
            <w:vAlign w:val="bottom"/>
          </w:tcPr>
          <w:p>
            <w:pPr>
              <w:jc w:val="right"/>
              <w:ind w:right="232"/>
              <w:spacing w:after="0"/>
              <w:rPr>
                <w:sz w:val="20"/>
                <w:szCs w:val="20"/>
                <w:color w:val="auto"/>
              </w:rPr>
            </w:pPr>
            <w:r>
              <w:rPr>
                <w:rFonts w:ascii="Arial" w:cs="Arial" w:eastAsia="Arial" w:hAnsi="Arial"/>
                <w:sz w:val="18"/>
                <w:szCs w:val="18"/>
                <w:color w:val="auto"/>
                <w:w w:val="98"/>
              </w:rPr>
              <w:t>L+225</w:t>
            </w:r>
          </w:p>
        </w:tc>
        <w:tc>
          <w:tcPr>
            <w:tcW w:w="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15,000,000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15,000,000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12,296,250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ALASSIS</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1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3"/>
              </w:rPr>
              <w:t>03/02/2014</w:t>
            </w:r>
          </w:p>
        </w:tc>
        <w:tc>
          <w:tcPr>
            <w:tcW w:w="19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 AND</w:t>
            </w: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UBLISHING</w:t>
            </w: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4.56%</w:t>
            </w:r>
          </w:p>
        </w:tc>
        <w:tc>
          <w:tcPr>
            <w:tcW w:w="8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8"/>
              </w:rPr>
              <w:t>L+175</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8,450,149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8,450,149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8,034,681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66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ESTERN</w:t>
            </w:r>
            <w:r>
              <w:rPr>
                <w:rFonts w:ascii="Arial" w:cs="Arial" w:eastAsia="Arial" w:hAnsi="Arial"/>
                <w:sz w:val="18"/>
                <w:szCs w:val="18"/>
                <w:color w:val="auto"/>
              </w:rPr>
              <w:t xml:space="preserve"> R</w:t>
            </w:r>
            <w:r>
              <w:rPr>
                <w:rFonts w:ascii="Arial" w:cs="Arial" w:eastAsia="Arial" w:hAnsi="Arial"/>
                <w:sz w:val="14"/>
                <w:szCs w:val="14"/>
                <w:color w:val="auto"/>
              </w:rPr>
              <w:t>EFINING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120" w:type="dxa"/>
            <w:vAlign w:val="bottom"/>
          </w:tcPr>
          <w:p>
            <w:pPr>
              <w:ind w:left="260"/>
              <w:spacing w:after="0"/>
              <w:rPr>
                <w:sz w:val="20"/>
                <w:szCs w:val="20"/>
                <w:color w:val="auto"/>
              </w:rPr>
            </w:pPr>
            <w:r>
              <w:rPr>
                <w:rFonts w:ascii="Arial" w:cs="Arial" w:eastAsia="Arial" w:hAnsi="Arial"/>
                <w:sz w:val="18"/>
                <w:szCs w:val="18"/>
                <w:color w:val="auto"/>
                <w:w w:val="93"/>
              </w:rPr>
              <w:t>05/30/2014</w:t>
            </w:r>
          </w:p>
        </w:tc>
        <w:tc>
          <w:tcPr>
            <w:tcW w:w="1900" w:type="dxa"/>
            <w:vAlign w:val="bottom"/>
            <w:gridSpan w:val="3"/>
          </w:tcPr>
          <w:p>
            <w:pPr>
              <w:jc w:val="center"/>
              <w:ind w:right="100"/>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IL AND</w:t>
            </w:r>
            <w:r>
              <w:rPr>
                <w:rFonts w:ascii="Arial" w:cs="Arial" w:eastAsia="Arial" w:hAnsi="Arial"/>
                <w:sz w:val="18"/>
                <w:szCs w:val="18"/>
                <w:color w:val="auto"/>
              </w:rPr>
              <w:t xml:space="preserve"> G</w:t>
            </w:r>
            <w:r>
              <w:rPr>
                <w:rFonts w:ascii="Arial" w:cs="Arial" w:eastAsia="Arial" w:hAnsi="Arial"/>
                <w:sz w:val="14"/>
                <w:szCs w:val="14"/>
                <w:color w:val="auto"/>
              </w:rPr>
              <w:t>AS</w:t>
            </w: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7.75%</w:t>
            </w:r>
          </w:p>
        </w:tc>
        <w:tc>
          <w:tcPr>
            <w:tcW w:w="840" w:type="dxa"/>
            <w:vAlign w:val="bottom"/>
          </w:tcPr>
          <w:p>
            <w:pPr>
              <w:jc w:val="right"/>
              <w:ind w:right="52"/>
              <w:spacing w:after="0" w:line="284" w:lineRule="exact"/>
              <w:rPr>
                <w:sz w:val="20"/>
                <w:szCs w:val="20"/>
                <w:color w:val="auto"/>
              </w:rPr>
            </w:pPr>
            <w:r>
              <w:rPr>
                <w:rFonts w:ascii="Arial" w:cs="Arial" w:eastAsia="Arial" w:hAnsi="Arial"/>
                <w:sz w:val="18"/>
                <w:szCs w:val="18"/>
                <w:color w:val="auto"/>
                <w:w w:val="91"/>
              </w:rPr>
              <w:t>L+450</w:t>
            </w:r>
            <w:r>
              <w:rPr>
                <w:rFonts w:ascii="Arial" w:cs="Arial" w:eastAsia="Arial" w:hAnsi="Arial"/>
                <w:sz w:val="29"/>
                <w:szCs w:val="29"/>
                <w:color w:val="auto"/>
                <w:w w:val="91"/>
                <w:vertAlign w:val="superscript"/>
              </w:rPr>
              <w:t>(8)</w:t>
            </w:r>
          </w:p>
        </w:tc>
        <w:tc>
          <w:tcPr>
            <w:tcW w:w="8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3,677,143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3,677,143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3,419,744</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First Lien Secured Debt</w:t>
            </w:r>
          </w:p>
        </w:tc>
        <w:tc>
          <w:tcPr>
            <w:tcW w:w="1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158,457,007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158,452,310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133,180,864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80" w:type="dxa"/>
            <w:vAlign w:val="bottom"/>
            <w:gridSpan w:val="6"/>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OTAL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NVESTMENTS IN</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ON</w:t>
            </w:r>
            <w:r>
              <w:rPr>
                <w:rFonts w:ascii="Arial" w:cs="Arial" w:eastAsia="Arial" w:hAnsi="Arial"/>
                <w:sz w:val="18"/>
                <w:szCs w:val="18"/>
                <w:b w:val="1"/>
                <w:bCs w:val="1"/>
                <w:color w:val="auto"/>
              </w:rPr>
              <w:t>-C</w:t>
            </w:r>
            <w:r>
              <w:rPr>
                <w:rFonts w:ascii="Arial" w:cs="Arial" w:eastAsia="Arial" w:hAnsi="Arial"/>
                <w:sz w:val="14"/>
                <w:szCs w:val="14"/>
                <w:b w:val="1"/>
                <w:bCs w:val="1"/>
                <w:color w:val="auto"/>
              </w:rPr>
              <w:t>ONTROLLED</w:t>
            </w:r>
            <w:r>
              <w:rPr>
                <w:rFonts w:ascii="Arial" w:cs="Arial" w:eastAsia="Arial" w:hAnsi="Arial"/>
                <w:sz w:val="18"/>
                <w:szCs w:val="18"/>
                <w:b w:val="1"/>
                <w:bCs w:val="1"/>
                <w:color w:val="auto"/>
              </w:rPr>
              <w:t>, N</w:t>
            </w:r>
            <w:r>
              <w:rPr>
                <w:rFonts w:ascii="Arial" w:cs="Arial" w:eastAsia="Arial" w:hAnsi="Arial"/>
                <w:sz w:val="14"/>
                <w:szCs w:val="14"/>
                <w:b w:val="1"/>
                <w:bCs w:val="1"/>
                <w:color w:val="auto"/>
              </w:rPr>
              <w:t>ON</w:t>
            </w:r>
            <w:r>
              <w:rPr>
                <w:rFonts w:ascii="Arial" w:cs="Arial" w:eastAsia="Arial" w:hAnsi="Arial"/>
                <w:sz w:val="18"/>
                <w:szCs w:val="18"/>
                <w:b w:val="1"/>
                <w:bCs w:val="1"/>
                <w:color w:val="auto"/>
              </w:rPr>
              <w:t>-A</w:t>
            </w:r>
            <w:r>
              <w:rPr>
                <w:rFonts w:ascii="Arial" w:cs="Arial" w:eastAsia="Arial" w:hAnsi="Arial"/>
                <w:sz w:val="14"/>
                <w:szCs w:val="14"/>
                <w:b w:val="1"/>
                <w:bCs w:val="1"/>
                <w:color w:val="auto"/>
              </w:rPr>
              <w:t>FFILIATED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ORTFOLIO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OMPANIES</w:t>
            </w: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435,256,061</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369,991,408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tcBorders>
              <w:bottom w:val="single" w:sz="8" w:color="CCEEFF"/>
            </w:tcBorders>
            <w:gridSpan w:val="3"/>
            <w:vMerge w:val="restart"/>
            <w:shd w:val="clear" w:color="auto" w:fill="CCEEFF"/>
          </w:tcPr>
          <w:p>
            <w:pPr>
              <w:spacing w:after="0"/>
              <w:rPr>
                <w:sz w:val="20"/>
                <w:szCs w:val="20"/>
                <w:color w:val="auto"/>
              </w:rPr>
            </w:pPr>
            <w:r>
              <w:rPr>
                <w:rFonts w:ascii="Arial" w:cs="Arial" w:eastAsia="Arial" w:hAnsi="Arial"/>
                <w:sz w:val="18"/>
                <w:szCs w:val="18"/>
                <w:b w:val="1"/>
                <w:bCs w:val="1"/>
                <w:color w:val="auto"/>
                <w:w w:val="88"/>
              </w:rPr>
              <w:t>Investments in Non-Controlled, Affiliated Portfolio Companies – 6.9%</w:t>
            </w:r>
          </w:p>
        </w:tc>
        <w:tc>
          <w:tcPr>
            <w:tcW w:w="1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w w:val="93"/>
              </w:rPr>
              <w:t>(2)</w:t>
            </w:r>
          </w:p>
        </w:tc>
        <w:tc>
          <w:tcPr>
            <w:tcW w:w="1220" w:type="dxa"/>
            <w:vAlign w:val="bottom"/>
            <w:tcBorders>
              <w:bottom w:val="single" w:sz="8" w:color="CCEEFF"/>
            </w:tcBorders>
            <w:vMerge w:val="restart"/>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60" w:type="dxa"/>
            <w:vAlign w:val="bottom"/>
            <w:tcBorders>
              <w:bottom w:val="single" w:sz="8" w:color="auto"/>
            </w:tcBorders>
            <w:gridSpan w:val="3"/>
            <w:vMerge w:val="continue"/>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1220" w:type="dxa"/>
            <w:vAlign w:val="bottom"/>
            <w:tcBorders>
              <w:bottom w:val="single" w:sz="8" w:color="CCEEFF"/>
            </w:tcBorders>
            <w:vMerge w:val="continue"/>
            <w:shd w:val="clear" w:color="auto" w:fill="CCEEFF"/>
          </w:tcPr>
          <w:p>
            <w:pPr>
              <w:spacing w:after="0"/>
              <w:rPr>
                <w:sz w:val="4"/>
                <w:szCs w:val="4"/>
                <w:color w:val="auto"/>
              </w:rPr>
            </w:pPr>
          </w:p>
        </w:tc>
        <w:tc>
          <w:tcPr>
            <w:tcW w:w="800" w:type="dxa"/>
            <w:vAlign w:val="bottom"/>
            <w:tcBorders>
              <w:bottom w:val="single" w:sz="8" w:color="CCEEFF"/>
            </w:tcBorders>
            <w:shd w:val="clear" w:color="auto" w:fill="CCEEFF"/>
          </w:tcPr>
          <w:p>
            <w:pPr>
              <w:spacing w:after="0"/>
              <w:rPr>
                <w:sz w:val="4"/>
                <w:szCs w:val="4"/>
                <w:color w:val="auto"/>
              </w:rPr>
            </w:pPr>
          </w:p>
        </w:tc>
        <w:tc>
          <w:tcPr>
            <w:tcW w:w="84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w w:val="96"/>
              </w:rPr>
              <w:t>Subordinated Debt / Corporate Notes – 1.9%</w:t>
            </w: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66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20" w:type="dxa"/>
            <w:vAlign w:val="bottom"/>
            <w:gridSpan w:val="4"/>
          </w:tcPr>
          <w:p>
            <w:pPr>
              <w:ind w:left="260"/>
              <w:spacing w:after="0"/>
              <w:rPr>
                <w:sz w:val="20"/>
                <w:szCs w:val="20"/>
                <w:color w:val="auto"/>
              </w:rPr>
            </w:pPr>
            <w:r>
              <w:rPr>
                <w:rFonts w:ascii="Arial" w:cs="Arial" w:eastAsia="Arial" w:hAnsi="Arial"/>
                <w:sz w:val="18"/>
                <w:szCs w:val="18"/>
                <w:color w:val="auto"/>
              </w:rPr>
              <w:t>07/02/2014 L</w:t>
            </w:r>
            <w:r>
              <w:rPr>
                <w:rFonts w:ascii="Arial" w:cs="Arial" w:eastAsia="Arial" w:hAnsi="Arial"/>
                <w:sz w:val="14"/>
                <w:szCs w:val="14"/>
                <w:color w:val="auto"/>
              </w:rPr>
              <w:t>EISURE</w:t>
            </w:r>
            <w:r>
              <w:rPr>
                <w:rFonts w:ascii="Arial" w:cs="Arial" w:eastAsia="Arial" w:hAnsi="Arial"/>
                <w:sz w:val="18"/>
                <w:szCs w:val="18"/>
                <w:color w:val="auto"/>
              </w:rPr>
              <w:t>, A</w:t>
            </w:r>
            <w:r>
              <w:rPr>
                <w:rFonts w:ascii="Arial" w:cs="Arial" w:eastAsia="Arial" w:hAnsi="Arial"/>
                <w:sz w:val="14"/>
                <w:szCs w:val="14"/>
                <w:color w:val="auto"/>
              </w:rPr>
              <w:t>MUSEMENT</w:t>
            </w:r>
            <w:r>
              <w:rPr>
                <w:rFonts w:ascii="Arial" w:cs="Arial" w:eastAsia="Arial" w:hAnsi="Arial"/>
                <w:sz w:val="18"/>
                <w:szCs w:val="18"/>
                <w:color w:val="auto"/>
              </w:rPr>
              <w:t>,</w:t>
            </w:r>
          </w:p>
        </w:tc>
        <w:tc>
          <w:tcPr>
            <w:tcW w:w="800" w:type="dxa"/>
            <w:vAlign w:val="bottom"/>
          </w:tcPr>
          <w:p>
            <w:pPr>
              <w:jc w:val="right"/>
              <w:spacing w:after="0" w:line="276" w:lineRule="exact"/>
              <w:rPr>
                <w:sz w:val="20"/>
                <w:szCs w:val="20"/>
                <w:color w:val="auto"/>
              </w:rPr>
            </w:pPr>
            <w:r>
              <w:rPr>
                <w:rFonts w:ascii="Arial" w:cs="Arial" w:eastAsia="Arial" w:hAnsi="Arial"/>
                <w:sz w:val="16"/>
                <w:szCs w:val="16"/>
                <w:color w:val="auto"/>
                <w:w w:val="88"/>
              </w:rPr>
              <w:t>14.25</w:t>
            </w:r>
            <w:r>
              <w:rPr>
                <w:rFonts w:ascii="Arial" w:cs="Arial" w:eastAsia="Arial" w:hAnsi="Arial"/>
                <w:sz w:val="32"/>
                <w:szCs w:val="32"/>
                <w:color w:val="auto"/>
                <w:w w:val="88"/>
                <w:vertAlign w:val="subscript"/>
              </w:rPr>
              <w:t>%</w:t>
            </w:r>
            <w:r>
              <w:rPr>
                <w:rFonts w:ascii="Arial" w:cs="Arial" w:eastAsia="Arial" w:hAnsi="Arial"/>
                <w:sz w:val="27"/>
                <w:szCs w:val="27"/>
                <w:color w:val="auto"/>
                <w:w w:val="88"/>
                <w:vertAlign w:val="superscript"/>
              </w:rPr>
              <w:t>(6)</w:t>
            </w:r>
          </w:p>
        </w:tc>
        <w:tc>
          <w:tcPr>
            <w:tcW w:w="84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4,262,504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4,034,481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4,262,504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900" w:type="dxa"/>
            <w:vAlign w:val="bottom"/>
            <w:gridSpan w:val="3"/>
          </w:tcPr>
          <w:p>
            <w:pPr>
              <w:jc w:val="center"/>
              <w:ind w:right="100"/>
              <w:spacing w:after="0"/>
              <w:rPr>
                <w:sz w:val="20"/>
                <w:szCs w:val="20"/>
                <w:color w:val="auto"/>
              </w:rPr>
            </w:pPr>
            <w:r>
              <w:rPr>
                <w:rFonts w:ascii="Arial" w:cs="Arial" w:eastAsia="Arial" w:hAnsi="Arial"/>
                <w:sz w:val="18"/>
                <w:szCs w:val="18"/>
                <w:color w:val="auto"/>
                <w:w w:val="98"/>
              </w:rPr>
              <w:t>M</w:t>
            </w:r>
            <w:r>
              <w:rPr>
                <w:rFonts w:ascii="Arial" w:cs="Arial" w:eastAsia="Arial" w:hAnsi="Arial"/>
                <w:sz w:val="14"/>
                <w:szCs w:val="14"/>
                <w:color w:val="auto"/>
                <w:w w:val="98"/>
              </w:rPr>
              <w:t>OTION</w:t>
            </w:r>
            <w:r>
              <w:rPr>
                <w:rFonts w:ascii="Arial" w:cs="Arial" w:eastAsia="Arial" w:hAnsi="Arial"/>
                <w:sz w:val="18"/>
                <w:szCs w:val="18"/>
                <w:color w:val="auto"/>
                <w:w w:val="98"/>
              </w:rPr>
              <w:t xml:space="preserve"> P</w:t>
            </w:r>
            <w:r>
              <w:rPr>
                <w:rFonts w:ascii="Arial" w:cs="Arial" w:eastAsia="Arial" w:hAnsi="Arial"/>
                <w:sz w:val="14"/>
                <w:szCs w:val="14"/>
                <w:color w:val="auto"/>
                <w:w w:val="98"/>
              </w:rPr>
              <w:t>ICTURES</w:t>
            </w:r>
            <w:r>
              <w:rPr>
                <w:rFonts w:ascii="Arial" w:cs="Arial" w:eastAsia="Arial" w:hAnsi="Arial"/>
                <w:sz w:val="18"/>
                <w:szCs w:val="18"/>
                <w:color w:val="auto"/>
                <w:w w:val="98"/>
              </w:rPr>
              <w:t>,</w:t>
            </w: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4114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JUNE 30, 2008</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Point</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w w:val="86"/>
              </w:rPr>
              <w:t>Current</w:t>
            </w:r>
          </w:p>
        </w:tc>
        <w:tc>
          <w:tcPr>
            <w:tcW w:w="1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4"/>
              </w:rPr>
              <w:t>Above</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176"/>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Issuer name</w:t>
            </w:r>
          </w:p>
        </w:tc>
        <w:tc>
          <w:tcPr>
            <w:tcW w:w="3920" w:type="dxa"/>
            <w:vAlign w:val="bottom"/>
          </w:tcPr>
          <w:p>
            <w:pPr>
              <w:spacing w:after="0"/>
              <w:rPr>
                <w:sz w:val="15"/>
                <w:szCs w:val="15"/>
                <w:color w:val="auto"/>
              </w:rPr>
            </w:pPr>
          </w:p>
        </w:tc>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Maturity</w:t>
            </w:r>
          </w:p>
        </w:tc>
        <w:tc>
          <w:tcPr>
            <w:tcW w:w="120" w:type="dxa"/>
            <w:vAlign w:val="bottom"/>
          </w:tcPr>
          <w:p>
            <w:pPr>
              <w:spacing w:after="0"/>
              <w:rPr>
                <w:sz w:val="15"/>
                <w:szCs w:val="15"/>
                <w:color w:val="auto"/>
              </w:rPr>
            </w:pPr>
          </w:p>
        </w:tc>
        <w:tc>
          <w:tcPr>
            <w:tcW w:w="12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Coupon</w:t>
            </w:r>
          </w:p>
        </w:tc>
        <w:tc>
          <w:tcPr>
            <w:tcW w:w="120" w:type="dxa"/>
            <w:vAlign w:val="bottom"/>
          </w:tcPr>
          <w:p>
            <w:pPr>
              <w:spacing w:after="0"/>
              <w:rPr>
                <w:sz w:val="15"/>
                <w:szCs w:val="15"/>
                <w:color w:val="auto"/>
              </w:rPr>
            </w:pPr>
          </w:p>
        </w:tc>
        <w:tc>
          <w:tcPr>
            <w:tcW w:w="4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00" w:type="dxa"/>
            <w:vAlign w:val="bottom"/>
          </w:tcPr>
          <w:p>
            <w:pPr>
              <w:spacing w:after="0"/>
              <w:rPr>
                <w:sz w:val="15"/>
                <w:szCs w:val="15"/>
                <w:color w:val="auto"/>
              </w:rPr>
            </w:pPr>
          </w:p>
        </w:tc>
        <w:tc>
          <w:tcPr>
            <w:tcW w:w="9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Par</w:t>
            </w:r>
          </w:p>
        </w:tc>
        <w:tc>
          <w:tcPr>
            <w:tcW w:w="120" w:type="dxa"/>
            <w:vAlign w:val="bottom"/>
          </w:tcPr>
          <w:p>
            <w:pPr>
              <w:spacing w:after="0"/>
              <w:rPr>
                <w:sz w:val="15"/>
                <w:szCs w:val="15"/>
                <w:color w:val="auto"/>
              </w:rPr>
            </w:pPr>
          </w:p>
        </w:tc>
        <w:tc>
          <w:tcPr>
            <w:tcW w:w="10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Second Lien Secured Debt – 3.4%</w:t>
            </w:r>
          </w:p>
        </w:tc>
        <w:tc>
          <w:tcPr>
            <w:tcW w:w="1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420" w:type="dxa"/>
            <w:vAlign w:val="bottom"/>
            <w:gridSpan w:val="3"/>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07/02/2013</w:t>
            </w:r>
          </w:p>
        </w:tc>
        <w:tc>
          <w:tcPr>
            <w:tcW w:w="1360" w:type="dxa"/>
            <w:vAlign w:val="bottom"/>
          </w:tcPr>
          <w:p>
            <w:pPr>
              <w:jc w:val="cente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EISURE</w:t>
            </w: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7"/>
              </w:rPr>
              <w:t>8.65%</w:t>
            </w:r>
          </w:p>
        </w:tc>
        <w:tc>
          <w:tcPr>
            <w:tcW w:w="640" w:type="dxa"/>
            <w:vAlign w:val="bottom"/>
          </w:tcPr>
          <w:p>
            <w:pPr>
              <w:ind w:left="60"/>
              <w:spacing w:after="0"/>
              <w:rPr>
                <w:sz w:val="20"/>
                <w:szCs w:val="20"/>
                <w:color w:val="auto"/>
              </w:rPr>
            </w:pPr>
            <w:r>
              <w:rPr>
                <w:rFonts w:ascii="Arial" w:cs="Arial" w:eastAsia="Arial" w:hAnsi="Arial"/>
                <w:sz w:val="18"/>
                <w:szCs w:val="18"/>
                <w:color w:val="auto"/>
              </w:rPr>
              <w:t>L+575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8,750,000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8,750,000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7,918,750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MUSEMENT</w:t>
            </w: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OTION</w:t>
            </w: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6"/>
              </w:rPr>
              <w:t>P</w:t>
            </w:r>
            <w:r>
              <w:rPr>
                <w:rFonts w:ascii="Arial" w:cs="Arial" w:eastAsia="Arial" w:hAnsi="Arial"/>
                <w:sz w:val="14"/>
                <w:szCs w:val="14"/>
                <w:color w:val="auto"/>
                <w:w w:val="96"/>
              </w:rPr>
              <w:t>ICTURES</w:t>
            </w:r>
            <w:r>
              <w:rPr>
                <w:rFonts w:ascii="Arial" w:cs="Arial" w:eastAsia="Arial" w:hAnsi="Arial"/>
                <w:sz w:val="18"/>
                <w:szCs w:val="18"/>
                <w:color w:val="auto"/>
                <w:w w:val="96"/>
              </w:rPr>
              <w:t>,</w:t>
            </w: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00" w:type="dxa"/>
            <w:vAlign w:val="bottom"/>
            <w:tcBorders>
              <w:bottom w:val="single" w:sz="8" w:color="CCEEFF"/>
            </w:tcBorders>
            <w:gridSpan w:val="2"/>
            <w:shd w:val="clear" w:color="auto" w:fill="CCEEFF"/>
          </w:tcPr>
          <w:p>
            <w:pPr>
              <w:spacing w:after="0" w:line="243" w:lineRule="exact"/>
              <w:rPr>
                <w:sz w:val="20"/>
                <w:szCs w:val="20"/>
                <w:color w:val="auto"/>
              </w:rPr>
            </w:pPr>
            <w:r>
              <w:rPr>
                <w:rFonts w:ascii="Arial" w:cs="Arial" w:eastAsia="Arial" w:hAnsi="Arial"/>
                <w:sz w:val="17"/>
                <w:szCs w:val="17"/>
                <w:b w:val="1"/>
                <w:bCs w:val="1"/>
                <w:color w:val="auto"/>
              </w:rPr>
              <w:t>C</w:t>
            </w:r>
            <w:r>
              <w:rPr>
                <w:rFonts w:ascii="Arial" w:cs="Arial" w:eastAsia="Arial" w:hAnsi="Arial"/>
                <w:sz w:val="14"/>
                <w:szCs w:val="14"/>
                <w:b w:val="1"/>
                <w:bCs w:val="1"/>
                <w:color w:val="auto"/>
              </w:rPr>
              <w:t>OMMON</w:t>
            </w:r>
            <w:r>
              <w:rPr>
                <w:rFonts w:ascii="Arial" w:cs="Arial" w:eastAsia="Arial" w:hAnsi="Arial"/>
                <w:sz w:val="17"/>
                <w:szCs w:val="17"/>
                <w:b w:val="1"/>
                <w:bCs w:val="1"/>
                <w:color w:val="auto"/>
              </w:rPr>
              <w:t xml:space="preserve"> E</w:t>
            </w:r>
            <w:r>
              <w:rPr>
                <w:rFonts w:ascii="Arial" w:cs="Arial" w:eastAsia="Arial" w:hAnsi="Arial"/>
                <w:sz w:val="14"/>
                <w:szCs w:val="14"/>
                <w:b w:val="1"/>
                <w:bCs w:val="1"/>
                <w:color w:val="auto"/>
              </w:rPr>
              <w:t>QUITY</w:t>
            </w:r>
            <w:r>
              <w:rPr>
                <w:rFonts w:ascii="Arial" w:cs="Arial" w:eastAsia="Arial" w:hAnsi="Arial"/>
                <w:sz w:val="17"/>
                <w:szCs w:val="17"/>
                <w:b w:val="1"/>
                <w:bCs w:val="1"/>
                <w:color w:val="auto"/>
              </w:rPr>
              <w:t>/P</w:t>
            </w:r>
            <w:r>
              <w:rPr>
                <w:rFonts w:ascii="Arial" w:cs="Arial" w:eastAsia="Arial" w:hAnsi="Arial"/>
                <w:sz w:val="14"/>
                <w:szCs w:val="14"/>
                <w:b w:val="1"/>
                <w:bCs w:val="1"/>
                <w:color w:val="auto"/>
              </w:rPr>
              <w:t>ARTNERSHIP</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NTERESTS</w:t>
            </w:r>
            <w:r>
              <w:rPr>
                <w:rFonts w:ascii="Arial" w:cs="Arial" w:eastAsia="Arial" w:hAnsi="Arial"/>
                <w:sz w:val="17"/>
                <w:szCs w:val="17"/>
                <w:b w:val="1"/>
                <w:bCs w:val="1"/>
                <w:color w:val="auto"/>
              </w:rPr>
              <w:t xml:space="preserve"> </w:t>
            </w:r>
            <w:r>
              <w:rPr>
                <w:rFonts w:ascii="Arial" w:cs="Arial" w:eastAsia="Arial" w:hAnsi="Arial"/>
                <w:sz w:val="28"/>
                <w:szCs w:val="28"/>
                <w:b w:val="1"/>
                <w:bCs w:val="1"/>
                <w:color w:val="auto"/>
                <w:vertAlign w:val="superscript"/>
              </w:rPr>
              <w:t>(7)</w:t>
            </w:r>
            <w:r>
              <w:rPr>
                <w:rFonts w:ascii="Arial" w:cs="Arial" w:eastAsia="Arial" w:hAnsi="Arial"/>
                <w:sz w:val="17"/>
                <w:szCs w:val="17"/>
                <w:b w:val="1"/>
                <w:bCs w:val="1"/>
                <w:color w:val="auto"/>
              </w:rPr>
              <w:t xml:space="preserve"> – 1.6%</w:t>
            </w:r>
          </w:p>
        </w:tc>
        <w:tc>
          <w:tcPr>
            <w:tcW w:w="1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NCP-P</w:t>
            </w:r>
            <w:r>
              <w:rPr>
                <w:rFonts w:ascii="Arial" w:cs="Arial" w:eastAsia="Arial" w:hAnsi="Arial"/>
                <w:sz w:val="14"/>
                <w:szCs w:val="14"/>
                <w:color w:val="auto"/>
              </w:rPr>
              <w:t>ERFORMANCE</w:t>
            </w: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EISURE</w:t>
            </w:r>
            <w:r>
              <w:rPr>
                <w:rFonts w:ascii="Arial" w:cs="Arial" w:eastAsia="Arial" w:hAnsi="Arial"/>
                <w:sz w:val="18"/>
                <w:szCs w:val="18"/>
                <w:color w:val="auto"/>
              </w:rPr>
              <w:t>,</w:t>
            </w:r>
          </w:p>
        </w:tc>
        <w:tc>
          <w:tcPr>
            <w:tcW w:w="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3,534,141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MUSEMENT</w:t>
            </w: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OTION</w:t>
            </w: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P</w:t>
            </w:r>
            <w:r>
              <w:rPr>
                <w:rFonts w:ascii="Arial" w:cs="Arial" w:eastAsia="Arial" w:hAnsi="Arial"/>
                <w:sz w:val="14"/>
                <w:szCs w:val="14"/>
                <w:color w:val="auto"/>
                <w:w w:val="96"/>
              </w:rPr>
              <w:t>ICTURES</w:t>
            </w:r>
            <w:r>
              <w:rPr>
                <w:rFonts w:ascii="Arial" w:cs="Arial" w:eastAsia="Arial" w:hAnsi="Arial"/>
                <w:sz w:val="18"/>
                <w:szCs w:val="18"/>
                <w:color w:val="auto"/>
                <w:w w:val="96"/>
              </w:rPr>
              <w:t>,</w:t>
            </w: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3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5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00" w:type="dxa"/>
            <w:vAlign w:val="bottom"/>
            <w:gridSpan w:val="4"/>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OTAL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NVESTMENTS IN</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ON</w:t>
            </w:r>
            <w:r>
              <w:rPr>
                <w:rFonts w:ascii="Arial" w:cs="Arial" w:eastAsia="Arial" w:hAnsi="Arial"/>
                <w:sz w:val="18"/>
                <w:szCs w:val="18"/>
                <w:b w:val="1"/>
                <w:bCs w:val="1"/>
                <w:color w:val="auto"/>
              </w:rPr>
              <w:t>-C</w:t>
            </w:r>
            <w:r>
              <w:rPr>
                <w:rFonts w:ascii="Arial" w:cs="Arial" w:eastAsia="Arial" w:hAnsi="Arial"/>
                <w:sz w:val="14"/>
                <w:szCs w:val="14"/>
                <w:b w:val="1"/>
                <w:bCs w:val="1"/>
                <w:color w:val="auto"/>
              </w:rPr>
              <w:t>ONTROLLED</w:t>
            </w:r>
            <w:r>
              <w:rPr>
                <w:rFonts w:ascii="Arial" w:cs="Arial" w:eastAsia="Arial" w:hAnsi="Arial"/>
                <w:sz w:val="18"/>
                <w:szCs w:val="18"/>
                <w:b w:val="1"/>
                <w:bCs w:val="1"/>
                <w:color w:val="auto"/>
              </w:rPr>
              <w:t>, A</w:t>
            </w:r>
            <w:r>
              <w:rPr>
                <w:rFonts w:ascii="Arial" w:cs="Arial" w:eastAsia="Arial" w:hAnsi="Arial"/>
                <w:sz w:val="14"/>
                <w:szCs w:val="14"/>
                <w:b w:val="1"/>
                <w:bCs w:val="1"/>
                <w:color w:val="auto"/>
              </w:rPr>
              <w:t>FFILIATED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ORTFOLIO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OMPANIES</w:t>
            </w: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16,534,481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15,715,395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OTAL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NVESTMENTS</w:t>
            </w:r>
            <w:r>
              <w:rPr>
                <w:rFonts w:ascii="Arial" w:cs="Arial" w:eastAsia="Arial" w:hAnsi="Arial"/>
                <w:sz w:val="18"/>
                <w:szCs w:val="18"/>
                <w:b w:val="1"/>
                <w:bCs w:val="1"/>
                <w:color w:val="auto"/>
              </w:rPr>
              <w:t xml:space="preserve"> – 170.0%</w:t>
            </w:r>
          </w:p>
        </w:tc>
        <w:tc>
          <w:tcPr>
            <w:tcW w:w="1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451,790,542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385,706,803</w:t>
            </w:r>
          </w:p>
        </w:tc>
        <w:tc>
          <w:tcPr>
            <w:tcW w:w="0" w:type="dxa"/>
            <w:vAlign w:val="bottom"/>
          </w:tcPr>
          <w:p>
            <w:pPr>
              <w:spacing w:after="0"/>
              <w:rPr>
                <w:sz w:val="1"/>
                <w:szCs w:val="1"/>
                <w:color w:val="auto"/>
              </w:rPr>
            </w:pPr>
          </w:p>
        </w:tc>
      </w:tr>
      <w:tr>
        <w:trPr>
          <w:trHeight w:val="20"/>
        </w:trPr>
        <w:tc>
          <w:tcPr>
            <w:tcW w:w="44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Cash Equivalents – 18.1%</w:t>
            </w: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vMerge w:val="restart"/>
          </w:tcPr>
          <w:p>
            <w:pPr>
              <w:jc w:val="right"/>
              <w:ind w:right="172"/>
              <w:spacing w:after="0"/>
              <w:rPr>
                <w:sz w:val="20"/>
                <w:szCs w:val="20"/>
                <w:color w:val="auto"/>
              </w:rPr>
            </w:pPr>
            <w:r>
              <w:rPr>
                <w:rFonts w:ascii="Arial" w:cs="Arial" w:eastAsia="Arial" w:hAnsi="Arial"/>
                <w:sz w:val="18"/>
                <w:szCs w:val="18"/>
                <w:b w:val="1"/>
                <w:bCs w:val="1"/>
                <w:color w:val="auto"/>
              </w:rPr>
              <w:t>Par</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420" w:type="dxa"/>
            <w:vAlign w:val="bottom"/>
            <w:gridSpan w:val="3"/>
            <w:vMerge w:val="continue"/>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3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ONEY</w:t>
            </w:r>
            <w:r>
              <w:rPr>
                <w:rFonts w:ascii="Arial" w:cs="Arial" w:eastAsia="Arial" w:hAnsi="Arial"/>
                <w:sz w:val="18"/>
                <w:szCs w:val="18"/>
                <w:color w:val="auto"/>
              </w:rPr>
              <w:t xml:space="preserve"> M</w:t>
            </w:r>
            <w:r>
              <w:rPr>
                <w:rFonts w:ascii="Arial" w:cs="Arial" w:eastAsia="Arial" w:hAnsi="Arial"/>
                <w:sz w:val="14"/>
                <w:szCs w:val="14"/>
                <w:color w:val="auto"/>
              </w:rPr>
              <w:t>ARKET</w:t>
            </w:r>
            <w:r>
              <w:rPr>
                <w:rFonts w:ascii="Arial" w:cs="Arial" w:eastAsia="Arial" w:hAnsi="Arial"/>
                <w:sz w:val="18"/>
                <w:szCs w:val="18"/>
                <w:color w:val="auto"/>
              </w:rPr>
              <w:t xml:space="preserve"> – M</w:t>
            </w:r>
            <w:r>
              <w:rPr>
                <w:rFonts w:ascii="Arial" w:cs="Arial" w:eastAsia="Arial" w:hAnsi="Arial"/>
                <w:sz w:val="14"/>
                <w:szCs w:val="14"/>
                <w:color w:val="auto"/>
              </w:rPr>
              <w:t>UTUAL</w:t>
            </w:r>
            <w:r>
              <w:rPr>
                <w:rFonts w:ascii="Arial" w:cs="Arial" w:eastAsia="Arial" w:hAnsi="Arial"/>
                <w:sz w:val="18"/>
                <w:szCs w:val="18"/>
                <w:color w:val="auto"/>
              </w:rPr>
              <w:t xml:space="preserve"> F</w:t>
            </w:r>
            <w:r>
              <w:rPr>
                <w:rFonts w:ascii="Arial" w:cs="Arial" w:eastAsia="Arial" w:hAnsi="Arial"/>
                <w:sz w:val="14"/>
                <w:szCs w:val="14"/>
                <w:color w:val="auto"/>
              </w:rPr>
              <w:t>UNDS</w:t>
            </w:r>
          </w:p>
        </w:tc>
        <w:tc>
          <w:tcPr>
            <w:tcW w:w="1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41,030,236</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41,030,236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41,030,236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3"/>
          </w:tcPr>
          <w:p>
            <w:pPr>
              <w:spacing w:after="0"/>
              <w:rPr>
                <w:sz w:val="20"/>
                <w:szCs w:val="20"/>
                <w:color w:val="auto"/>
              </w:rPr>
            </w:pPr>
            <w:r>
              <w:rPr>
                <w:rFonts w:ascii="Arial" w:cs="Arial" w:eastAsia="Arial" w:hAnsi="Arial"/>
                <w:sz w:val="18"/>
                <w:szCs w:val="18"/>
                <w:b w:val="1"/>
                <w:bCs w:val="1"/>
                <w:color w:val="auto"/>
              </w:rPr>
              <w:t>Total Cash Equivalents</w:t>
            </w:r>
          </w:p>
        </w:tc>
        <w:tc>
          <w:tcPr>
            <w:tcW w:w="1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41,030,236</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41,030,236</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41,030,236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Investments and Cash Equivalents – 188.1%</w:t>
            </w:r>
          </w:p>
        </w:tc>
        <w:tc>
          <w:tcPr>
            <w:tcW w:w="1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492,820,778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426,737,039</w:t>
            </w:r>
          </w:p>
        </w:tc>
        <w:tc>
          <w:tcPr>
            <w:tcW w:w="0" w:type="dxa"/>
            <w:vAlign w:val="bottom"/>
          </w:tcPr>
          <w:p>
            <w:pPr>
              <w:spacing w:after="0"/>
              <w:rPr>
                <w:sz w:val="1"/>
                <w:szCs w:val="1"/>
                <w:color w:val="auto"/>
              </w:rPr>
            </w:pPr>
          </w:p>
        </w:tc>
      </w:tr>
      <w:tr>
        <w:trPr>
          <w:trHeight w:val="20"/>
        </w:trPr>
        <w:tc>
          <w:tcPr>
            <w:tcW w:w="44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in Excess of Other Assets – (88.1%)</w:t>
            </w: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20" w:type="dxa"/>
            <w:vAlign w:val="bottom"/>
            <w:gridSpan w:val="3"/>
            <w:vMerge w:val="continue"/>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(199,910,200)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Assets – 100.0%</w:t>
            </w:r>
          </w:p>
        </w:tc>
        <w:tc>
          <w:tcPr>
            <w:tcW w:w="1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226,826,839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40" w:right="60" w:hanging="332"/>
        <w:spacing w:after="0" w:line="268"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As used in this Schedule of Investments and in accordance with the Investment Company Act of 1940 (the “1940 Act”) “non-controlled” means we own less than 25% of a portfolio company’s voting securities.</w:t>
      </w:r>
    </w:p>
    <w:p>
      <w:pPr>
        <w:spacing w:after="0" w:line="50" w:lineRule="exact"/>
        <w:rPr>
          <w:rFonts w:ascii="Arial" w:cs="Arial" w:eastAsia="Arial" w:hAnsi="Arial"/>
          <w:sz w:val="18"/>
          <w:szCs w:val="18"/>
          <w:color w:val="auto"/>
        </w:rPr>
      </w:pPr>
    </w:p>
    <w:p>
      <w:pPr>
        <w:ind w:left="340" w:right="200" w:hanging="332"/>
        <w:spacing w:after="0" w:line="268"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As used in this Schedule of Investments and in accordance with the 1940 Act “non-affiliated” means we own less than 5% of a portfolio company’s voting securities and “affiliated” means that we own more than 5% of a portfolio company’s voting securities.</w:t>
      </w:r>
    </w:p>
    <w:p>
      <w:pPr>
        <w:spacing w:after="0" w:line="50" w:lineRule="exact"/>
        <w:rPr>
          <w:rFonts w:ascii="Arial" w:cs="Arial" w:eastAsia="Arial" w:hAnsi="Arial"/>
          <w:sz w:val="18"/>
          <w:szCs w:val="18"/>
          <w:color w:val="auto"/>
        </w:rPr>
      </w:pPr>
    </w:p>
    <w:p>
      <w:pPr>
        <w:ind w:left="340" w:hanging="332"/>
        <w:spacing w:after="0"/>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Valued based on our accounting policy (see note 2 to our financial statements).</w:t>
      </w:r>
    </w:p>
    <w:p>
      <w:pPr>
        <w:spacing w:after="0" w:line="90" w:lineRule="exact"/>
        <w:rPr>
          <w:rFonts w:ascii="Arial" w:cs="Arial" w:eastAsia="Arial" w:hAnsi="Arial"/>
          <w:sz w:val="18"/>
          <w:szCs w:val="18"/>
          <w:color w:val="auto"/>
        </w:rPr>
      </w:pPr>
    </w:p>
    <w:p>
      <w:pPr>
        <w:ind w:left="340" w:right="100" w:hanging="332"/>
        <w:spacing w:after="0" w:line="268"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Represents floating rate instruments that accrue interest at a predetermined spread relative to an index, typically the applicable London Interbank Offer Rate (LIBOR or “L”) or Prime Rate (Prime or “P”).</w:t>
      </w:r>
    </w:p>
    <w:p>
      <w:pPr>
        <w:spacing w:after="0" w:line="50" w:lineRule="exact"/>
        <w:rPr>
          <w:rFonts w:ascii="Arial" w:cs="Arial" w:eastAsia="Arial" w:hAnsi="Arial"/>
          <w:sz w:val="18"/>
          <w:szCs w:val="18"/>
          <w:color w:val="auto"/>
        </w:rPr>
      </w:pPr>
    </w:p>
    <w:p>
      <w:pPr>
        <w:ind w:left="340" w:right="420" w:hanging="332"/>
        <w:spacing w:after="0" w:line="268"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Security is exempt from registration under Rule 144A promulgated under the Securities Act of 1933. The security may be resold in transactions that are exempt from registration, normally to qualified institutional buyers.</w:t>
      </w:r>
    </w:p>
    <w:p>
      <w:pPr>
        <w:spacing w:after="0" w:line="50" w:lineRule="exact"/>
        <w:rPr>
          <w:rFonts w:ascii="Arial" w:cs="Arial" w:eastAsia="Arial" w:hAnsi="Arial"/>
          <w:sz w:val="18"/>
          <w:szCs w:val="18"/>
          <w:color w:val="auto"/>
        </w:rPr>
      </w:pPr>
    </w:p>
    <w:p>
      <w:pPr>
        <w:ind w:left="340" w:hanging="332"/>
        <w:spacing w:after="0"/>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Coupon payable in cash and/or payment-in-kind (“PIK”).</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Non-income producing.</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LIBOR floor applies.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Point</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w w:val="98"/>
              </w:rPr>
              <w:t>Current</w:t>
            </w:r>
          </w:p>
        </w:tc>
        <w:tc>
          <w:tcPr>
            <w:tcW w:w="3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8"/>
              </w:rPr>
              <w:t>Above</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176"/>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Issuer name</w:t>
            </w:r>
          </w:p>
        </w:tc>
        <w:tc>
          <w:tcPr>
            <w:tcW w:w="3800" w:type="dxa"/>
            <w:vAlign w:val="bottom"/>
          </w:tcPr>
          <w:p>
            <w:pPr>
              <w:spacing w:after="0"/>
              <w:rPr>
                <w:sz w:val="15"/>
                <w:szCs w:val="15"/>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Maturity</w:t>
            </w:r>
          </w:p>
        </w:tc>
        <w:tc>
          <w:tcPr>
            <w:tcW w:w="120" w:type="dxa"/>
            <w:vAlign w:val="bottom"/>
          </w:tcPr>
          <w:p>
            <w:pPr>
              <w:spacing w:after="0"/>
              <w:rPr>
                <w:sz w:val="15"/>
                <w:szCs w:val="15"/>
                <w:color w:val="auto"/>
              </w:rPr>
            </w:pPr>
          </w:p>
        </w:tc>
        <w:tc>
          <w:tcPr>
            <w:tcW w:w="13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5"/>
                <w:szCs w:val="15"/>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0"/>
              </w:rPr>
              <w:t>Coupon</w:t>
            </w:r>
          </w:p>
        </w:tc>
        <w:tc>
          <w:tcPr>
            <w:tcW w:w="320" w:type="dxa"/>
            <w:vAlign w:val="bottom"/>
          </w:tcPr>
          <w:p>
            <w:pPr>
              <w:spacing w:after="0"/>
              <w:rPr>
                <w:sz w:val="15"/>
                <w:szCs w:val="15"/>
                <w:color w:val="auto"/>
              </w:rPr>
            </w:pPr>
          </w:p>
        </w:tc>
        <w:tc>
          <w:tcPr>
            <w:tcW w:w="5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00" w:type="dxa"/>
            <w:vAlign w:val="bottom"/>
          </w:tcPr>
          <w:p>
            <w:pPr>
              <w:spacing w:after="0"/>
              <w:rPr>
                <w:sz w:val="15"/>
                <w:szCs w:val="15"/>
                <w:color w:val="auto"/>
              </w:rPr>
            </w:pPr>
          </w:p>
        </w:tc>
        <w:tc>
          <w:tcPr>
            <w:tcW w:w="9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5"/>
                <w:szCs w:val="15"/>
                <w:color w:val="auto"/>
              </w:rPr>
            </w:pPr>
          </w:p>
        </w:tc>
        <w:tc>
          <w:tcPr>
            <w:tcW w:w="9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 in Non-Controlled, Non-Affiliated Portfolio Companies – 101.6%</w:t>
      </w:r>
      <w:r>
        <w:rPr>
          <w:rFonts w:ascii="Arial" w:cs="Arial" w:eastAsia="Arial" w:hAnsi="Arial"/>
          <w:sz w:val="29"/>
          <w:szCs w:val="29"/>
          <w:b w:val="1"/>
          <w:bCs w:val="1"/>
          <w:u w:val="single" w:color="auto"/>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631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Subordinated Debt / Corporate Notes – 19.8%</w:t>
            </w:r>
          </w:p>
        </w:tc>
        <w:tc>
          <w:tcPr>
            <w:tcW w:w="1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20" w:type="dxa"/>
            <w:vAlign w:val="bottom"/>
            <w:vMerge w:val="restart"/>
          </w:tcPr>
          <w:p>
            <w:pPr>
              <w:spacing w:after="0"/>
              <w:rPr>
                <w:sz w:val="4"/>
                <w:szCs w:val="4"/>
                <w:color w:val="auto"/>
              </w:rPr>
            </w:pPr>
          </w:p>
        </w:tc>
        <w:tc>
          <w:tcPr>
            <w:tcW w:w="4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DVANSTAR</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1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0"/>
              </w:rPr>
              <w:t>11/30/2015</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O</w:t>
            </w:r>
            <w:r>
              <w:rPr>
                <w:rFonts w:ascii="Arial" w:cs="Arial" w:eastAsia="Arial" w:hAnsi="Arial"/>
                <w:sz w:val="14"/>
                <w:szCs w:val="14"/>
                <w:color w:val="auto"/>
                <w:w w:val="99"/>
              </w:rPr>
              <w:t>THER</w:t>
            </w:r>
            <w:r>
              <w:rPr>
                <w:rFonts w:ascii="Arial" w:cs="Arial" w:eastAsia="Arial" w:hAnsi="Arial"/>
                <w:sz w:val="18"/>
                <w:szCs w:val="18"/>
                <w:color w:val="auto"/>
                <w:w w:val="99"/>
              </w:rPr>
              <w:t xml:space="preserve"> M</w:t>
            </w:r>
            <w:r>
              <w:rPr>
                <w:rFonts w:ascii="Arial" w:cs="Arial" w:eastAsia="Arial" w:hAnsi="Arial"/>
                <w:sz w:val="14"/>
                <w:szCs w:val="14"/>
                <w:color w:val="auto"/>
                <w:w w:val="99"/>
              </w:rPr>
              <w:t>EDIA</w:t>
            </w: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12.20%*</w:t>
            </w:r>
          </w:p>
        </w:tc>
        <w:tc>
          <w:tcPr>
            <w:tcW w:w="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L+700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$ 14,580,690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$ 14,580,690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$ 14,580,690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300" w:type="dxa"/>
            <w:vAlign w:val="bottom"/>
            <w:gridSpan w:val="2"/>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FFINION</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140" w:type="dxa"/>
            <w:vAlign w:val="bottom"/>
          </w:tcPr>
          <w:p>
            <w:pPr>
              <w:ind w:left="280"/>
              <w:spacing w:after="0"/>
              <w:rPr>
                <w:sz w:val="20"/>
                <w:szCs w:val="20"/>
                <w:color w:val="auto"/>
              </w:rPr>
            </w:pPr>
            <w:r>
              <w:rPr>
                <w:rFonts w:ascii="Arial" w:cs="Arial" w:eastAsia="Arial" w:hAnsi="Arial"/>
                <w:sz w:val="18"/>
                <w:szCs w:val="18"/>
                <w:color w:val="auto"/>
                <w:w w:val="93"/>
              </w:rPr>
              <w:t>03/01/2012</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ONSUMER</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11.68%*</w:t>
            </w:r>
          </w:p>
        </w:tc>
        <w:tc>
          <w:tcPr>
            <w:tcW w:w="700" w:type="dxa"/>
            <w:vAlign w:val="bottom"/>
          </w:tcPr>
          <w:p>
            <w:pPr>
              <w:ind w:left="120"/>
              <w:spacing w:after="0"/>
              <w:rPr>
                <w:sz w:val="20"/>
                <w:szCs w:val="20"/>
                <w:color w:val="auto"/>
              </w:rPr>
            </w:pPr>
            <w:r>
              <w:rPr>
                <w:rFonts w:ascii="Arial" w:cs="Arial" w:eastAsia="Arial" w:hAnsi="Arial"/>
                <w:sz w:val="18"/>
                <w:szCs w:val="18"/>
                <w:color w:val="auto"/>
              </w:rPr>
              <w:t>L+625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18,500,000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18,106,103</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17,760,000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2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40" w:type="dxa"/>
            <w:vAlign w:val="bottom"/>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line="207" w:lineRule="exact"/>
              <w:rPr>
                <w:sz w:val="20"/>
                <w:szCs w:val="20"/>
                <w:color w:val="auto"/>
              </w:rPr>
            </w:pPr>
            <w:r>
              <w:rPr>
                <w:rFonts w:ascii="Arial" w:cs="Arial" w:eastAsia="Arial" w:hAnsi="Arial"/>
                <w:sz w:val="15"/>
                <w:szCs w:val="15"/>
                <w:color w:val="auto"/>
              </w:rPr>
              <w:t>R</w:t>
            </w:r>
            <w:r>
              <w:rPr>
                <w:rFonts w:ascii="Arial" w:cs="Arial" w:eastAsia="Arial" w:hAnsi="Arial"/>
                <w:sz w:val="12"/>
                <w:szCs w:val="12"/>
                <w:color w:val="auto"/>
              </w:rPr>
              <w:t>EALOGY</w:t>
            </w:r>
            <w:r>
              <w:rPr>
                <w:rFonts w:ascii="Arial" w:cs="Arial" w:eastAsia="Arial" w:hAnsi="Arial"/>
                <w:sz w:val="15"/>
                <w:szCs w:val="15"/>
                <w:color w:val="auto"/>
              </w:rPr>
              <w:t xml:space="preserve"> C</w:t>
            </w:r>
            <w:r>
              <w:rPr>
                <w:rFonts w:ascii="Arial" w:cs="Arial" w:eastAsia="Arial" w:hAnsi="Arial"/>
                <w:sz w:val="12"/>
                <w:szCs w:val="12"/>
                <w:color w:val="auto"/>
              </w:rPr>
              <w:t>ORP</w:t>
            </w:r>
            <w:r>
              <w:rPr>
                <w:rFonts w:ascii="Arial" w:cs="Arial" w:eastAsia="Arial" w:hAnsi="Arial"/>
                <w:sz w:val="15"/>
                <w:szCs w:val="15"/>
                <w:color w:val="auto"/>
              </w:rPr>
              <w:t>.</w:t>
            </w:r>
            <w:r>
              <w:rPr>
                <w:rFonts w:ascii="Arial" w:cs="Arial" w:eastAsia="Arial" w:hAnsi="Arial"/>
                <w:sz w:val="24"/>
                <w:szCs w:val="24"/>
                <w:color w:val="auto"/>
                <w:vertAlign w:val="superscript"/>
              </w:rPr>
              <w:t>(6)</w:t>
            </w:r>
          </w:p>
        </w:tc>
        <w:tc>
          <w:tcPr>
            <w:tcW w:w="11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04/15/2015</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UILDINGS AND</w:t>
            </w:r>
          </w:p>
        </w:tc>
        <w:tc>
          <w:tcPr>
            <w:tcW w:w="8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8"/>
              </w:rPr>
              <w:t>12.38%</w:t>
            </w:r>
          </w:p>
        </w:tc>
        <w:tc>
          <w:tcPr>
            <w:tcW w:w="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28,000,000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26,117,780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R</w:t>
            </w:r>
            <w:r>
              <w:rPr>
                <w:rFonts w:ascii="Arial" w:cs="Arial" w:eastAsia="Arial" w:hAnsi="Arial"/>
                <w:sz w:val="14"/>
                <w:szCs w:val="14"/>
                <w:color w:val="auto"/>
                <w:w w:val="94"/>
              </w:rPr>
              <w:t>EAL</w:t>
            </w:r>
            <w:r>
              <w:rPr>
                <w:rFonts w:ascii="Arial" w:cs="Arial" w:eastAsia="Arial" w:hAnsi="Arial"/>
                <w:sz w:val="18"/>
                <w:szCs w:val="18"/>
                <w:color w:val="auto"/>
                <w:w w:val="94"/>
              </w:rPr>
              <w:t xml:space="preserve"> E</w:t>
            </w:r>
            <w:r>
              <w:rPr>
                <w:rFonts w:ascii="Arial" w:cs="Arial" w:eastAsia="Arial" w:hAnsi="Arial"/>
                <w:sz w:val="14"/>
                <w:szCs w:val="14"/>
                <w:color w:val="auto"/>
                <w:w w:val="94"/>
              </w:rPr>
              <w:t>STATE</w:t>
            </w:r>
          </w:p>
        </w:tc>
        <w:tc>
          <w:tcPr>
            <w:tcW w:w="8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Total Subordinated Debt / Corporate Notes</w:t>
            </w: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61,080,690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58,804,573</w:t>
            </w:r>
          </w:p>
        </w:tc>
        <w:tc>
          <w:tcPr>
            <w:tcW w:w="940" w:type="dxa"/>
            <w:vAlign w:val="bottom"/>
          </w:tcPr>
          <w:p>
            <w:pPr>
              <w:jc w:val="right"/>
              <w:spacing w:after="0"/>
              <w:rPr>
                <w:sz w:val="20"/>
                <w:szCs w:val="20"/>
                <w:color w:val="auto"/>
              </w:rPr>
            </w:pPr>
            <w:r>
              <w:rPr>
                <w:rFonts w:ascii="Arial" w:cs="Arial" w:eastAsia="Arial" w:hAnsi="Arial"/>
                <w:sz w:val="18"/>
                <w:szCs w:val="18"/>
                <w:color w:val="auto"/>
              </w:rPr>
              <w:t>53,480,690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Second Lien Secured Debt – 21.8%</w:t>
            </w:r>
          </w:p>
        </w:tc>
        <w:tc>
          <w:tcPr>
            <w:tcW w:w="1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300" w:type="dxa"/>
            <w:vAlign w:val="bottom"/>
            <w:gridSpan w:val="2"/>
          </w:tcPr>
          <w:p>
            <w:pPr>
              <w:spacing w:after="0"/>
              <w:rPr>
                <w:sz w:val="20"/>
                <w:szCs w:val="20"/>
                <w:color w:val="auto"/>
              </w:rPr>
            </w:pPr>
            <w:r>
              <w:rPr>
                <w:rFonts w:ascii="Arial" w:cs="Arial" w:eastAsia="Arial" w:hAnsi="Arial"/>
                <w:sz w:val="18"/>
                <w:szCs w:val="18"/>
                <w:color w:val="auto"/>
              </w:rPr>
              <w:t>Q</w:t>
            </w:r>
            <w:r>
              <w:rPr>
                <w:rFonts w:ascii="Arial" w:cs="Arial" w:eastAsia="Arial" w:hAnsi="Arial"/>
                <w:sz w:val="14"/>
                <w:szCs w:val="14"/>
                <w:color w:val="auto"/>
              </w:rPr>
              <w:t>UESTEX</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140" w:type="dxa"/>
            <w:vAlign w:val="bottom"/>
          </w:tcPr>
          <w:p>
            <w:pPr>
              <w:ind w:left="300"/>
              <w:spacing w:after="0"/>
              <w:rPr>
                <w:sz w:val="20"/>
                <w:szCs w:val="20"/>
                <w:color w:val="auto"/>
              </w:rPr>
            </w:pPr>
            <w:r>
              <w:rPr>
                <w:rFonts w:ascii="Arial" w:cs="Arial" w:eastAsia="Arial" w:hAnsi="Arial"/>
                <w:sz w:val="18"/>
                <w:szCs w:val="18"/>
                <w:color w:val="auto"/>
                <w:w w:val="90"/>
              </w:rPr>
              <w:t>11/04/2014</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O</w:t>
            </w:r>
            <w:r>
              <w:rPr>
                <w:rFonts w:ascii="Arial" w:cs="Arial" w:eastAsia="Arial" w:hAnsi="Arial"/>
                <w:sz w:val="14"/>
                <w:szCs w:val="14"/>
                <w:color w:val="auto"/>
                <w:w w:val="99"/>
              </w:rPr>
              <w:t>THER</w:t>
            </w:r>
            <w:r>
              <w:rPr>
                <w:rFonts w:ascii="Arial" w:cs="Arial" w:eastAsia="Arial" w:hAnsi="Arial"/>
                <w:sz w:val="18"/>
                <w:szCs w:val="18"/>
                <w:color w:val="auto"/>
                <w:w w:val="99"/>
              </w:rPr>
              <w:t xml:space="preserve"> M</w:t>
            </w:r>
            <w:r>
              <w:rPr>
                <w:rFonts w:ascii="Arial" w:cs="Arial" w:eastAsia="Arial" w:hAnsi="Arial"/>
                <w:sz w:val="14"/>
                <w:szCs w:val="14"/>
                <w:color w:val="auto"/>
                <w:w w:val="99"/>
              </w:rPr>
              <w:t>EDIA</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w w:val="98"/>
              </w:rPr>
              <w:t>12.08%</w:t>
            </w:r>
          </w:p>
        </w:tc>
        <w:tc>
          <w:tcPr>
            <w:tcW w:w="700" w:type="dxa"/>
            <w:vAlign w:val="bottom"/>
          </w:tcPr>
          <w:p>
            <w:pPr>
              <w:ind w:left="120"/>
              <w:spacing w:after="0"/>
              <w:rPr>
                <w:sz w:val="20"/>
                <w:szCs w:val="20"/>
                <w:color w:val="auto"/>
              </w:rPr>
            </w:pPr>
            <w:r>
              <w:rPr>
                <w:rFonts w:ascii="Arial" w:cs="Arial" w:eastAsia="Arial" w:hAnsi="Arial"/>
                <w:sz w:val="18"/>
                <w:szCs w:val="18"/>
                <w:color w:val="auto"/>
              </w:rPr>
              <w:t>L+650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10,000,000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10,000,000</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9,800,000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280" w:type="dxa"/>
            <w:vAlign w:val="bottom"/>
          </w:tcPr>
          <w:p>
            <w:pPr>
              <w:spacing w:after="0"/>
              <w:rPr>
                <w:sz w:val="6"/>
                <w:szCs w:val="6"/>
                <w:color w:val="auto"/>
              </w:rPr>
            </w:pPr>
          </w:p>
        </w:tc>
        <w:tc>
          <w:tcPr>
            <w:tcW w:w="3420" w:type="dxa"/>
            <w:vAlign w:val="bottom"/>
            <w:gridSpan w:val="3"/>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2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AINT</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r>
              <w:rPr>
                <w:rFonts w:ascii="Arial" w:cs="Arial" w:eastAsia="Arial" w:hAnsi="Arial"/>
                <w:sz w:val="29"/>
                <w:szCs w:val="29"/>
                <w:color w:val="auto"/>
                <w:vertAlign w:val="superscript"/>
              </w:rPr>
              <w:t>(6)</w:t>
            </w:r>
          </w:p>
        </w:tc>
        <w:tc>
          <w:tcPr>
            <w:tcW w:w="3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05/15/2015  T</w:t>
            </w:r>
            <w:r>
              <w:rPr>
                <w:rFonts w:ascii="Arial" w:cs="Arial" w:eastAsia="Arial" w:hAnsi="Arial"/>
                <w:sz w:val="14"/>
                <w:szCs w:val="14"/>
                <w:color w:val="auto"/>
              </w:rPr>
              <w:t>RANSPORTATION</w:t>
            </w:r>
            <w:r>
              <w:rPr>
                <w:rFonts w:ascii="Arial" w:cs="Arial" w:eastAsia="Arial" w:hAnsi="Arial"/>
                <w:sz w:val="18"/>
                <w:szCs w:val="18"/>
                <w:color w:val="auto"/>
              </w:rPr>
              <w:t xml:space="preserve">  13.31%</w:t>
            </w:r>
          </w:p>
        </w:tc>
        <w:tc>
          <w:tcPr>
            <w:tcW w:w="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L+775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10,000,000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9,932,321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6,800,000</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430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AINT</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r>
              <w:rPr>
                <w:rFonts w:ascii="Arial" w:cs="Arial" w:eastAsia="Arial" w:hAnsi="Arial"/>
                <w:sz w:val="29"/>
                <w:szCs w:val="29"/>
                <w:color w:val="auto"/>
                <w:vertAlign w:val="superscript"/>
              </w:rPr>
              <w:t>(6)</w:t>
            </w:r>
          </w:p>
        </w:tc>
        <w:tc>
          <w:tcPr>
            <w:tcW w:w="1140" w:type="dxa"/>
            <w:vAlign w:val="bottom"/>
          </w:tcPr>
          <w:p>
            <w:pPr>
              <w:ind w:left="280"/>
              <w:spacing w:after="0"/>
              <w:rPr>
                <w:sz w:val="20"/>
                <w:szCs w:val="20"/>
                <w:color w:val="auto"/>
              </w:rPr>
            </w:pPr>
            <w:r>
              <w:rPr>
                <w:rFonts w:ascii="Arial" w:cs="Arial" w:eastAsia="Arial" w:hAnsi="Arial"/>
                <w:sz w:val="18"/>
                <w:szCs w:val="18"/>
                <w:color w:val="auto"/>
                <w:w w:val="93"/>
              </w:rPr>
              <w:t>05/15/2017</w:t>
            </w: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RANSPORTATION</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w w:val="98"/>
              </w:rPr>
              <w:t>12.50%</w:t>
            </w:r>
          </w:p>
        </w:tc>
        <w:tc>
          <w:tcPr>
            <w:tcW w:w="700" w:type="dxa"/>
            <w:vAlign w:val="bottom"/>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19,000,000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16,198,167</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12,730,000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PECIALIZED</w:t>
            </w:r>
            <w:r>
              <w:rPr>
                <w:rFonts w:ascii="Arial" w:cs="Arial" w:eastAsia="Arial" w:hAnsi="Arial"/>
                <w:sz w:val="18"/>
                <w:szCs w:val="18"/>
                <w:color w:val="auto"/>
              </w:rPr>
              <w:t xml:space="preserve"> T</w:t>
            </w:r>
            <w:r>
              <w:rPr>
                <w:rFonts w:ascii="Arial" w:cs="Arial" w:eastAsia="Arial" w:hAnsi="Arial"/>
                <w:sz w:val="14"/>
                <w:szCs w:val="14"/>
                <w:color w:val="auto"/>
              </w:rPr>
              <w:t>ECHNOLOGY</w:t>
            </w:r>
          </w:p>
        </w:tc>
        <w:tc>
          <w:tcPr>
            <w:tcW w:w="1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ESOURCES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140" w:type="dxa"/>
            <w:vAlign w:val="bottom"/>
          </w:tcPr>
          <w:p>
            <w:pPr>
              <w:ind w:left="280"/>
              <w:spacing w:after="0"/>
              <w:rPr>
                <w:sz w:val="20"/>
                <w:szCs w:val="20"/>
                <w:color w:val="auto"/>
              </w:rPr>
            </w:pPr>
            <w:r>
              <w:rPr>
                <w:rFonts w:ascii="Arial" w:cs="Arial" w:eastAsia="Arial" w:hAnsi="Arial"/>
                <w:sz w:val="18"/>
                <w:szCs w:val="18"/>
                <w:color w:val="auto"/>
                <w:w w:val="93"/>
              </w:rPr>
              <w:t>12/15/2014</w:t>
            </w:r>
          </w:p>
        </w:tc>
        <w:tc>
          <w:tcPr>
            <w:tcW w:w="144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HEMICAL</w:t>
            </w:r>
            <w:r>
              <w:rPr>
                <w:rFonts w:ascii="Arial" w:cs="Arial" w:eastAsia="Arial" w:hAnsi="Arial"/>
                <w:sz w:val="18"/>
                <w:szCs w:val="18"/>
                <w:color w:val="auto"/>
              </w:rPr>
              <w:t>,</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w w:val="98"/>
              </w:rPr>
              <w:t>12.13%</w:t>
            </w:r>
          </w:p>
        </w:tc>
        <w:tc>
          <w:tcPr>
            <w:tcW w:w="700" w:type="dxa"/>
            <w:vAlign w:val="bottom"/>
          </w:tcPr>
          <w:p>
            <w:pPr>
              <w:ind w:left="120"/>
              <w:spacing w:after="0"/>
              <w:rPr>
                <w:sz w:val="20"/>
                <w:szCs w:val="20"/>
                <w:color w:val="auto"/>
              </w:rPr>
            </w:pPr>
            <w:r>
              <w:rPr>
                <w:rFonts w:ascii="Arial" w:cs="Arial" w:eastAsia="Arial" w:hAnsi="Arial"/>
                <w:sz w:val="18"/>
                <w:szCs w:val="18"/>
                <w:color w:val="auto"/>
              </w:rPr>
              <w:t>L+700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17,500,000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17,493,750</w:t>
            </w:r>
          </w:p>
        </w:tc>
        <w:tc>
          <w:tcPr>
            <w:tcW w:w="940" w:type="dxa"/>
            <w:vAlign w:val="bottom"/>
          </w:tcPr>
          <w:p>
            <w:pPr>
              <w:jc w:val="right"/>
              <w:spacing w:after="0"/>
              <w:rPr>
                <w:sz w:val="20"/>
                <w:szCs w:val="20"/>
                <w:color w:val="auto"/>
              </w:rPr>
            </w:pPr>
            <w:r>
              <w:rPr>
                <w:rFonts w:ascii="Arial" w:cs="Arial" w:eastAsia="Arial" w:hAnsi="Arial"/>
                <w:sz w:val="18"/>
                <w:szCs w:val="18"/>
                <w:color w:val="auto"/>
              </w:rPr>
              <w:t>17,237,500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LASTICS AND</w:t>
            </w: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UBBER</w:t>
            </w: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2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40" w:type="dxa"/>
            <w:vAlign w:val="bottom"/>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RANS</w:t>
            </w:r>
            <w:r>
              <w:rPr>
                <w:rFonts w:ascii="Arial" w:cs="Arial" w:eastAsia="Arial" w:hAnsi="Arial"/>
                <w:sz w:val="18"/>
                <w:szCs w:val="18"/>
                <w:color w:val="auto"/>
              </w:rPr>
              <w:t>F</w:t>
            </w:r>
            <w:r>
              <w:rPr>
                <w:rFonts w:ascii="Arial" w:cs="Arial" w:eastAsia="Arial" w:hAnsi="Arial"/>
                <w:sz w:val="14"/>
                <w:szCs w:val="14"/>
                <w:color w:val="auto"/>
              </w:rPr>
              <w:t>IRST</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1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06/15/2015</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B</w:t>
            </w:r>
            <w:r>
              <w:rPr>
                <w:rFonts w:ascii="Arial" w:cs="Arial" w:eastAsia="Arial" w:hAnsi="Arial"/>
                <w:sz w:val="14"/>
                <w:szCs w:val="14"/>
                <w:color w:val="auto"/>
                <w:w w:val="97"/>
              </w:rPr>
              <w:t>USINESS</w:t>
            </w: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11.30%*</w:t>
            </w:r>
          </w:p>
        </w:tc>
        <w:tc>
          <w:tcPr>
            <w:tcW w:w="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L+600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13,000,000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12,886,250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12,431,250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S</w:t>
            </w:r>
            <w:r>
              <w:rPr>
                <w:rFonts w:ascii="Arial" w:cs="Arial" w:eastAsia="Arial" w:hAnsi="Arial"/>
                <w:sz w:val="14"/>
                <w:szCs w:val="14"/>
                <w:color w:val="auto"/>
                <w:w w:val="92"/>
              </w:rPr>
              <w:t>ERVICES</w:t>
            </w:r>
          </w:p>
        </w:tc>
        <w:tc>
          <w:tcPr>
            <w:tcW w:w="8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Total Second Lien Secured Debt</w:t>
            </w: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69,500,000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66,510,488</w:t>
            </w:r>
          </w:p>
        </w:tc>
        <w:tc>
          <w:tcPr>
            <w:tcW w:w="940" w:type="dxa"/>
            <w:vAlign w:val="bottom"/>
          </w:tcPr>
          <w:p>
            <w:pPr>
              <w:jc w:val="right"/>
              <w:spacing w:after="0"/>
              <w:rPr>
                <w:sz w:val="20"/>
                <w:szCs w:val="20"/>
                <w:color w:val="auto"/>
              </w:rPr>
            </w:pPr>
            <w:r>
              <w:rPr>
                <w:rFonts w:ascii="Arial" w:cs="Arial" w:eastAsia="Arial" w:hAnsi="Arial"/>
                <w:sz w:val="18"/>
                <w:szCs w:val="18"/>
                <w:color w:val="auto"/>
              </w:rPr>
              <w:t>58,998,750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280" w:type="dxa"/>
            <w:vAlign w:val="bottom"/>
            <w:tcBorders>
              <w:bottom w:val="single" w:sz="8" w:color="CCEEFF"/>
            </w:tcBorders>
            <w:shd w:val="clear" w:color="auto" w:fill="CCEEFF"/>
          </w:tcPr>
          <w:p>
            <w:pPr>
              <w:spacing w:after="0" w:line="243" w:lineRule="exact"/>
              <w:rPr>
                <w:sz w:val="20"/>
                <w:szCs w:val="20"/>
                <w:color w:val="auto"/>
              </w:rPr>
            </w:pPr>
            <w:r>
              <w:rPr>
                <w:rFonts w:ascii="Arial" w:cs="Arial" w:eastAsia="Arial" w:hAnsi="Arial"/>
                <w:sz w:val="17"/>
                <w:szCs w:val="17"/>
                <w:b w:val="1"/>
                <w:bCs w:val="1"/>
                <w:color w:val="auto"/>
              </w:rPr>
              <w:t>C</w:t>
            </w:r>
            <w:r>
              <w:rPr>
                <w:rFonts w:ascii="Arial" w:cs="Arial" w:eastAsia="Arial" w:hAnsi="Arial"/>
                <w:sz w:val="14"/>
                <w:szCs w:val="14"/>
                <w:b w:val="1"/>
                <w:bCs w:val="1"/>
                <w:color w:val="auto"/>
              </w:rPr>
              <w:t>OMMON</w:t>
            </w:r>
            <w:r>
              <w:rPr>
                <w:rFonts w:ascii="Arial" w:cs="Arial" w:eastAsia="Arial" w:hAnsi="Arial"/>
                <w:sz w:val="17"/>
                <w:szCs w:val="17"/>
                <w:b w:val="1"/>
                <w:bCs w:val="1"/>
                <w:color w:val="auto"/>
              </w:rPr>
              <w:t xml:space="preserve"> E</w:t>
            </w:r>
            <w:r>
              <w:rPr>
                <w:rFonts w:ascii="Arial" w:cs="Arial" w:eastAsia="Arial" w:hAnsi="Arial"/>
                <w:sz w:val="14"/>
                <w:szCs w:val="14"/>
                <w:b w:val="1"/>
                <w:bCs w:val="1"/>
                <w:color w:val="auto"/>
              </w:rPr>
              <w:t>QUITY</w:t>
            </w:r>
            <w:r>
              <w:rPr>
                <w:rFonts w:ascii="Arial" w:cs="Arial" w:eastAsia="Arial" w:hAnsi="Arial"/>
                <w:sz w:val="17"/>
                <w:szCs w:val="17"/>
                <w:b w:val="1"/>
                <w:bCs w:val="1"/>
                <w:color w:val="auto"/>
              </w:rPr>
              <w:t>/P</w:t>
            </w:r>
            <w:r>
              <w:rPr>
                <w:rFonts w:ascii="Arial" w:cs="Arial" w:eastAsia="Arial" w:hAnsi="Arial"/>
                <w:sz w:val="14"/>
                <w:szCs w:val="14"/>
                <w:b w:val="1"/>
                <w:bCs w:val="1"/>
                <w:color w:val="auto"/>
              </w:rPr>
              <w:t>ARTNERSHIP</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NTEREST</w:t>
            </w:r>
            <w:r>
              <w:rPr>
                <w:rFonts w:ascii="Arial" w:cs="Arial" w:eastAsia="Arial" w:hAnsi="Arial"/>
                <w:sz w:val="28"/>
                <w:szCs w:val="28"/>
                <w:b w:val="1"/>
                <w:bCs w:val="1"/>
                <w:color w:val="auto"/>
                <w:vertAlign w:val="superscript"/>
              </w:rPr>
              <w:t>**</w:t>
            </w:r>
            <w:r>
              <w:rPr>
                <w:rFonts w:ascii="Arial" w:cs="Arial" w:eastAsia="Arial" w:hAnsi="Arial"/>
                <w:sz w:val="17"/>
                <w:szCs w:val="17"/>
                <w:b w:val="1"/>
                <w:bCs w:val="1"/>
                <w:color w:val="auto"/>
              </w:rPr>
              <w:t xml:space="preserve"> – 1.2%</w:t>
            </w:r>
          </w:p>
        </w:tc>
        <w:tc>
          <w:tcPr>
            <w:tcW w:w="1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b w:val="1"/>
                <w:bCs w:val="1"/>
                <w:color w:val="auto"/>
                <w:w w:val="83"/>
              </w:rPr>
              <w:t>Shares</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AHC M</w:t>
            </w:r>
            <w:r>
              <w:rPr>
                <w:rFonts w:ascii="Arial" w:cs="Arial" w:eastAsia="Arial" w:hAnsi="Arial"/>
                <w:sz w:val="14"/>
                <w:szCs w:val="14"/>
                <w:color w:val="auto"/>
              </w:rPr>
              <w:t>EZZANINE</w:t>
            </w:r>
            <w:r>
              <w:rPr>
                <w:rFonts w:ascii="Arial" w:cs="Arial" w:eastAsia="Arial" w:hAnsi="Arial"/>
                <w:sz w:val="18"/>
                <w:szCs w:val="18"/>
                <w:color w:val="auto"/>
              </w:rPr>
              <w:t xml:space="preserve"> (A</w:t>
            </w:r>
            <w:r>
              <w:rPr>
                <w:rFonts w:ascii="Arial" w:cs="Arial" w:eastAsia="Arial" w:hAnsi="Arial"/>
                <w:sz w:val="14"/>
                <w:szCs w:val="14"/>
                <w:color w:val="auto"/>
              </w:rPr>
              <w:t>DVANSTAR</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140" w:type="dxa"/>
            <w:vAlign w:val="bottom"/>
          </w:tcPr>
          <w:p>
            <w:pPr>
              <w:ind w:left="820"/>
              <w:spacing w:after="0"/>
              <w:rPr>
                <w:sz w:val="20"/>
                <w:szCs w:val="20"/>
                <w:color w:val="auto"/>
              </w:rPr>
            </w:pPr>
            <w:r>
              <w:rPr>
                <w:rFonts w:ascii="Arial" w:cs="Arial" w:eastAsia="Arial" w:hAnsi="Arial"/>
                <w:sz w:val="18"/>
                <w:szCs w:val="18"/>
                <w:color w:val="auto"/>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O</w:t>
            </w:r>
            <w:r>
              <w:rPr>
                <w:rFonts w:ascii="Arial" w:cs="Arial" w:eastAsia="Arial" w:hAnsi="Arial"/>
                <w:sz w:val="14"/>
                <w:szCs w:val="14"/>
                <w:color w:val="auto"/>
                <w:w w:val="99"/>
              </w:rPr>
              <w:t>THER</w:t>
            </w:r>
            <w:r>
              <w:rPr>
                <w:rFonts w:ascii="Arial" w:cs="Arial" w:eastAsia="Arial" w:hAnsi="Arial"/>
                <w:sz w:val="18"/>
                <w:szCs w:val="18"/>
                <w:color w:val="auto"/>
                <w:w w:val="99"/>
              </w:rPr>
              <w:t xml:space="preserve"> M</w:t>
            </w:r>
            <w:r>
              <w:rPr>
                <w:rFonts w:ascii="Arial" w:cs="Arial" w:eastAsia="Arial" w:hAnsi="Arial"/>
                <w:sz w:val="14"/>
                <w:szCs w:val="14"/>
                <w:color w:val="auto"/>
                <w:w w:val="99"/>
              </w:rPr>
              <w:t>EDIA</w:t>
            </w:r>
          </w:p>
        </w:tc>
        <w:tc>
          <w:tcPr>
            <w:tcW w:w="8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700" w:type="dxa"/>
            <w:vAlign w:val="bottom"/>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3,000,000</w:t>
            </w:r>
          </w:p>
        </w:tc>
        <w:tc>
          <w:tcPr>
            <w:tcW w:w="940" w:type="dxa"/>
            <w:vAlign w:val="bottom"/>
          </w:tcPr>
          <w:p>
            <w:pPr>
              <w:jc w:val="right"/>
              <w:spacing w:after="0"/>
              <w:rPr>
                <w:sz w:val="20"/>
                <w:szCs w:val="20"/>
                <w:color w:val="auto"/>
              </w:rPr>
            </w:pPr>
            <w:r>
              <w:rPr>
                <w:rFonts w:ascii="Arial" w:cs="Arial" w:eastAsia="Arial" w:hAnsi="Arial"/>
                <w:sz w:val="18"/>
                <w:szCs w:val="18"/>
                <w:color w:val="auto"/>
              </w:rPr>
              <w:t>3,269,685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First Lien Secured Debt – 58.8%</w:t>
            </w:r>
          </w:p>
        </w:tc>
        <w:tc>
          <w:tcPr>
            <w:tcW w:w="11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b w:val="1"/>
                <w:bCs w:val="1"/>
                <w:color w:val="auto"/>
                <w:w w:val="89"/>
              </w:rPr>
              <w:t>Par</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4300" w:type="dxa"/>
            <w:vAlign w:val="bottom"/>
            <w:gridSpan w:val="2"/>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ERRY</w:t>
            </w:r>
            <w:r>
              <w:rPr>
                <w:rFonts w:ascii="Arial" w:cs="Arial" w:eastAsia="Arial" w:hAnsi="Arial"/>
                <w:sz w:val="18"/>
                <w:szCs w:val="18"/>
                <w:color w:val="auto"/>
              </w:rPr>
              <w:t xml:space="preserve"> P</w:t>
            </w:r>
            <w:r>
              <w:rPr>
                <w:rFonts w:ascii="Arial" w:cs="Arial" w:eastAsia="Arial" w:hAnsi="Arial"/>
                <w:sz w:val="14"/>
                <w:szCs w:val="14"/>
                <w:color w:val="auto"/>
              </w:rPr>
              <w:t>LASTICS</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140" w:type="dxa"/>
            <w:vAlign w:val="bottom"/>
          </w:tcPr>
          <w:p>
            <w:pPr>
              <w:ind w:left="280"/>
              <w:spacing w:after="0"/>
              <w:rPr>
                <w:sz w:val="20"/>
                <w:szCs w:val="20"/>
                <w:color w:val="auto"/>
              </w:rPr>
            </w:pPr>
            <w:r>
              <w:rPr>
                <w:rFonts w:ascii="Arial" w:cs="Arial" w:eastAsia="Arial" w:hAnsi="Arial"/>
                <w:sz w:val="18"/>
                <w:szCs w:val="18"/>
                <w:color w:val="auto"/>
                <w:w w:val="93"/>
              </w:rPr>
              <w:t>04/03/2015</w:t>
            </w:r>
          </w:p>
        </w:tc>
        <w:tc>
          <w:tcPr>
            <w:tcW w:w="1440" w:type="dxa"/>
            <w:vAlign w:val="bottom"/>
          </w:tcPr>
          <w:p>
            <w:pPr>
              <w:jc w:val="center"/>
              <w:spacing w:after="0"/>
              <w:rPr>
                <w:sz w:val="20"/>
                <w:szCs w:val="20"/>
                <w:color w:val="auto"/>
              </w:rPr>
            </w:pPr>
            <w:r>
              <w:rPr>
                <w:rFonts w:ascii="Arial" w:cs="Arial" w:eastAsia="Arial" w:hAnsi="Arial"/>
                <w:sz w:val="18"/>
                <w:szCs w:val="18"/>
                <w:color w:val="auto"/>
                <w:w w:val="96"/>
              </w:rPr>
              <w:t>C</w:t>
            </w:r>
            <w:r>
              <w:rPr>
                <w:rFonts w:ascii="Arial" w:cs="Arial" w:eastAsia="Arial" w:hAnsi="Arial"/>
                <w:sz w:val="14"/>
                <w:szCs w:val="14"/>
                <w:color w:val="auto"/>
                <w:w w:val="96"/>
              </w:rPr>
              <w:t>ONTAINERS</w:t>
            </w:r>
            <w:r>
              <w:rPr>
                <w:rFonts w:ascii="Arial" w:cs="Arial" w:eastAsia="Arial" w:hAnsi="Arial"/>
                <w:sz w:val="18"/>
                <w:szCs w:val="18"/>
                <w:color w:val="auto"/>
                <w:w w:val="96"/>
              </w:rPr>
              <w:t>,</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7.34%</w:t>
            </w:r>
          </w:p>
        </w:tc>
        <w:tc>
          <w:tcPr>
            <w:tcW w:w="700" w:type="dxa"/>
            <w:vAlign w:val="bottom"/>
          </w:tcPr>
          <w:p>
            <w:pPr>
              <w:ind w:left="120"/>
              <w:spacing w:after="0"/>
              <w:rPr>
                <w:sz w:val="20"/>
                <w:szCs w:val="20"/>
                <w:color w:val="auto"/>
              </w:rPr>
            </w:pPr>
            <w:r>
              <w:rPr>
                <w:rFonts w:ascii="Arial" w:cs="Arial" w:eastAsia="Arial" w:hAnsi="Arial"/>
                <w:sz w:val="18"/>
                <w:szCs w:val="18"/>
                <w:color w:val="auto"/>
              </w:rPr>
              <w:t>L+200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7,462,500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7,462,500</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7,274,602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ACKAGING AND</w:t>
            </w: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6"/>
              </w:rPr>
              <w:t>G</w:t>
            </w:r>
            <w:r>
              <w:rPr>
                <w:rFonts w:ascii="Arial" w:cs="Arial" w:eastAsia="Arial" w:hAnsi="Arial"/>
                <w:sz w:val="14"/>
                <w:szCs w:val="14"/>
                <w:color w:val="auto"/>
                <w:w w:val="96"/>
              </w:rPr>
              <w:t>LASS</w:t>
            </w: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2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40" w:type="dxa"/>
            <w:vAlign w:val="bottom"/>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URLINGTON</w:t>
            </w:r>
            <w:r>
              <w:rPr>
                <w:rFonts w:ascii="Arial" w:cs="Arial" w:eastAsia="Arial" w:hAnsi="Arial"/>
                <w:sz w:val="18"/>
                <w:szCs w:val="18"/>
                <w:color w:val="auto"/>
              </w:rPr>
              <w:t xml:space="preserve"> C</w:t>
            </w:r>
            <w:r>
              <w:rPr>
                <w:rFonts w:ascii="Arial" w:cs="Arial" w:eastAsia="Arial" w:hAnsi="Arial"/>
                <w:sz w:val="14"/>
                <w:szCs w:val="14"/>
                <w:color w:val="auto"/>
              </w:rPr>
              <w:t>OAT</w:t>
            </w:r>
            <w:r>
              <w:rPr>
                <w:rFonts w:ascii="Arial" w:cs="Arial" w:eastAsia="Arial" w:hAnsi="Arial"/>
                <w:sz w:val="18"/>
                <w:szCs w:val="18"/>
                <w:color w:val="auto"/>
              </w:rPr>
              <w:t xml:space="preserve"> F</w:t>
            </w:r>
            <w:r>
              <w:rPr>
                <w:rFonts w:ascii="Arial" w:cs="Arial" w:eastAsia="Arial" w:hAnsi="Arial"/>
                <w:sz w:val="14"/>
                <w:szCs w:val="14"/>
                <w:color w:val="auto"/>
              </w:rPr>
              <w:t>ACTORY</w:t>
            </w:r>
          </w:p>
        </w:tc>
        <w:tc>
          <w:tcPr>
            <w:tcW w:w="1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AREHOUSE</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1140" w:type="dxa"/>
            <w:vAlign w:val="bottom"/>
          </w:tcPr>
          <w:p>
            <w:pPr>
              <w:ind w:left="280"/>
              <w:spacing w:after="0"/>
              <w:rPr>
                <w:sz w:val="20"/>
                <w:szCs w:val="20"/>
                <w:color w:val="auto"/>
              </w:rPr>
            </w:pPr>
            <w:r>
              <w:rPr>
                <w:rFonts w:ascii="Arial" w:cs="Arial" w:eastAsia="Arial" w:hAnsi="Arial"/>
                <w:sz w:val="18"/>
                <w:szCs w:val="18"/>
                <w:color w:val="auto"/>
                <w:w w:val="93"/>
              </w:rPr>
              <w:t>05/28/2013</w:t>
            </w:r>
          </w:p>
        </w:tc>
        <w:tc>
          <w:tcPr>
            <w:tcW w:w="1440" w:type="dxa"/>
            <w:vAlign w:val="bottom"/>
          </w:tcPr>
          <w:p>
            <w:pPr>
              <w:jc w:val="center"/>
              <w:spacing w:after="0"/>
              <w:rPr>
                <w:sz w:val="20"/>
                <w:szCs w:val="20"/>
                <w:color w:val="auto"/>
              </w:rPr>
            </w:pPr>
            <w:r>
              <w:rPr>
                <w:rFonts w:ascii="Arial" w:cs="Arial" w:eastAsia="Arial" w:hAnsi="Arial"/>
                <w:sz w:val="18"/>
                <w:szCs w:val="18"/>
                <w:color w:val="auto"/>
                <w:w w:val="96"/>
              </w:rPr>
              <w:t>R</w:t>
            </w:r>
            <w:r>
              <w:rPr>
                <w:rFonts w:ascii="Arial" w:cs="Arial" w:eastAsia="Arial" w:hAnsi="Arial"/>
                <w:sz w:val="14"/>
                <w:szCs w:val="14"/>
                <w:color w:val="auto"/>
                <w:w w:val="96"/>
              </w:rPr>
              <w:t>ETAIL</w:t>
            </w:r>
            <w:r>
              <w:rPr>
                <w:rFonts w:ascii="Arial" w:cs="Arial" w:eastAsia="Arial" w:hAnsi="Arial"/>
                <w:sz w:val="18"/>
                <w:szCs w:val="18"/>
                <w:color w:val="auto"/>
                <w:w w:val="96"/>
              </w:rPr>
              <w:t xml:space="preserve"> S</w:t>
            </w:r>
            <w:r>
              <w:rPr>
                <w:rFonts w:ascii="Arial" w:cs="Arial" w:eastAsia="Arial" w:hAnsi="Arial"/>
                <w:sz w:val="14"/>
                <w:szCs w:val="14"/>
                <w:color w:val="auto"/>
                <w:w w:val="96"/>
              </w:rPr>
              <w:t>TORE</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7.76%</w:t>
            </w:r>
          </w:p>
        </w:tc>
        <w:tc>
          <w:tcPr>
            <w:tcW w:w="700" w:type="dxa"/>
            <w:vAlign w:val="bottom"/>
          </w:tcPr>
          <w:p>
            <w:pPr>
              <w:ind w:left="120"/>
              <w:spacing w:after="0"/>
              <w:rPr>
                <w:sz w:val="20"/>
                <w:szCs w:val="20"/>
                <w:color w:val="auto"/>
              </w:rPr>
            </w:pPr>
            <w:r>
              <w:rPr>
                <w:rFonts w:ascii="Arial" w:cs="Arial" w:eastAsia="Arial" w:hAnsi="Arial"/>
                <w:sz w:val="18"/>
                <w:szCs w:val="18"/>
                <w:color w:val="auto"/>
              </w:rPr>
              <w:t>L+225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7,896,473</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7,887,537</w:t>
            </w:r>
          </w:p>
        </w:tc>
        <w:tc>
          <w:tcPr>
            <w:tcW w:w="940" w:type="dxa"/>
            <w:vAlign w:val="bottom"/>
          </w:tcPr>
          <w:p>
            <w:pPr>
              <w:jc w:val="right"/>
              <w:spacing w:after="0"/>
              <w:rPr>
                <w:sz w:val="20"/>
                <w:szCs w:val="20"/>
                <w:color w:val="auto"/>
              </w:rPr>
            </w:pPr>
            <w:r>
              <w:rPr>
                <w:rFonts w:ascii="Arial" w:cs="Arial" w:eastAsia="Arial" w:hAnsi="Arial"/>
                <w:sz w:val="18"/>
                <w:szCs w:val="18"/>
                <w:color w:val="auto"/>
              </w:rPr>
              <w:t>7,571,975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HARTER</w:t>
            </w:r>
            <w:r>
              <w:rPr>
                <w:rFonts w:ascii="Arial" w:cs="Arial" w:eastAsia="Arial" w:hAnsi="Arial"/>
                <w:sz w:val="18"/>
                <w:szCs w:val="18"/>
                <w:color w:val="auto"/>
              </w:rPr>
              <w:t xml:space="preserve"> C</w:t>
            </w:r>
            <w:r>
              <w:rPr>
                <w:rFonts w:ascii="Arial" w:cs="Arial" w:eastAsia="Arial" w:hAnsi="Arial"/>
                <w:sz w:val="14"/>
                <w:szCs w:val="14"/>
                <w:color w:val="auto"/>
              </w:rPr>
              <w:t>OMMUNICATIONS</w:t>
            </w:r>
          </w:p>
        </w:tc>
        <w:tc>
          <w:tcPr>
            <w:tcW w:w="1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PERATING</w:t>
            </w:r>
            <w:r>
              <w:rPr>
                <w:rFonts w:ascii="Arial" w:cs="Arial" w:eastAsia="Arial" w:hAnsi="Arial"/>
                <w:sz w:val="18"/>
                <w:szCs w:val="18"/>
                <w:color w:val="auto"/>
              </w:rPr>
              <w:t>, L.L.C.</w:t>
            </w:r>
          </w:p>
        </w:tc>
        <w:tc>
          <w:tcPr>
            <w:tcW w:w="1140" w:type="dxa"/>
            <w:vAlign w:val="bottom"/>
          </w:tcPr>
          <w:p>
            <w:pPr>
              <w:ind w:left="280"/>
              <w:spacing w:after="0"/>
              <w:rPr>
                <w:sz w:val="20"/>
                <w:szCs w:val="20"/>
                <w:color w:val="auto"/>
              </w:rPr>
            </w:pPr>
            <w:r>
              <w:rPr>
                <w:rFonts w:ascii="Arial" w:cs="Arial" w:eastAsia="Arial" w:hAnsi="Arial"/>
                <w:sz w:val="18"/>
                <w:szCs w:val="18"/>
                <w:color w:val="auto"/>
                <w:w w:val="93"/>
              </w:rPr>
              <w:t>03/06/2014</w:t>
            </w:r>
          </w:p>
        </w:tc>
        <w:tc>
          <w:tcPr>
            <w:tcW w:w="1440" w:type="dxa"/>
            <w:vAlign w:val="bottom"/>
          </w:tcPr>
          <w:p>
            <w:pPr>
              <w:jc w:val="center"/>
              <w:spacing w:after="0"/>
              <w:rPr>
                <w:sz w:val="20"/>
                <w:szCs w:val="20"/>
                <w:color w:val="auto"/>
              </w:rPr>
            </w:pPr>
            <w:r>
              <w:rPr>
                <w:rFonts w:ascii="Arial" w:cs="Arial" w:eastAsia="Arial" w:hAnsi="Arial"/>
                <w:sz w:val="18"/>
                <w:szCs w:val="18"/>
                <w:color w:val="auto"/>
                <w:w w:val="98"/>
              </w:rPr>
              <w:t>C</w:t>
            </w:r>
            <w:r>
              <w:rPr>
                <w:rFonts w:ascii="Arial" w:cs="Arial" w:eastAsia="Arial" w:hAnsi="Arial"/>
                <w:sz w:val="14"/>
                <w:szCs w:val="14"/>
                <w:color w:val="auto"/>
                <w:w w:val="98"/>
              </w:rPr>
              <w:t>ABLE</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7.13%</w:t>
            </w:r>
          </w:p>
        </w:tc>
        <w:tc>
          <w:tcPr>
            <w:tcW w:w="700" w:type="dxa"/>
            <w:vAlign w:val="bottom"/>
          </w:tcPr>
          <w:p>
            <w:pPr>
              <w:ind w:left="120"/>
              <w:spacing w:after="0"/>
              <w:rPr>
                <w:sz w:val="20"/>
                <w:szCs w:val="20"/>
                <w:color w:val="auto"/>
              </w:rPr>
            </w:pPr>
            <w:r>
              <w:rPr>
                <w:rFonts w:ascii="Arial" w:cs="Arial" w:eastAsia="Arial" w:hAnsi="Arial"/>
                <w:sz w:val="18"/>
                <w:szCs w:val="18"/>
                <w:color w:val="auto"/>
              </w:rPr>
              <w:t>L+200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15,000,000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14,992,740</w:t>
            </w:r>
          </w:p>
        </w:tc>
        <w:tc>
          <w:tcPr>
            <w:tcW w:w="940" w:type="dxa"/>
            <w:vAlign w:val="bottom"/>
          </w:tcPr>
          <w:p>
            <w:pPr>
              <w:jc w:val="right"/>
              <w:spacing w:after="0"/>
              <w:rPr>
                <w:sz w:val="20"/>
                <w:szCs w:val="20"/>
                <w:color w:val="auto"/>
              </w:rPr>
            </w:pPr>
            <w:r>
              <w:rPr>
                <w:rFonts w:ascii="Arial" w:cs="Arial" w:eastAsia="Arial" w:hAnsi="Arial"/>
                <w:sz w:val="18"/>
                <w:szCs w:val="18"/>
                <w:color w:val="auto"/>
              </w:rPr>
              <w:t>14,468,310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ELEVISION</w:t>
            </w: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2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40" w:type="dxa"/>
            <w:vAlign w:val="bottom"/>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OHR</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1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01/31/2013</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w:t>
            </w:r>
          </w:p>
        </w:tc>
        <w:tc>
          <w:tcPr>
            <w:tcW w:w="8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8.04%</w:t>
            </w:r>
          </w:p>
        </w:tc>
        <w:tc>
          <w:tcPr>
            <w:tcW w:w="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L+250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2,985,000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2,985,000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 AND</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tc>
        <w:tc>
          <w:tcPr>
            <w:tcW w:w="8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4300" w:type="dxa"/>
            <w:vAlign w:val="bottom"/>
            <w:gridSpan w:val="2"/>
          </w:tcPr>
          <w:p>
            <w:pPr>
              <w:spacing w:after="0"/>
              <w:rPr>
                <w:sz w:val="20"/>
                <w:szCs w:val="20"/>
                <w:color w:val="auto"/>
              </w:rPr>
            </w:pPr>
            <w:r>
              <w:rPr>
                <w:rFonts w:ascii="Arial" w:cs="Arial" w:eastAsia="Arial" w:hAnsi="Arial"/>
                <w:sz w:val="18"/>
                <w:szCs w:val="18"/>
                <w:color w:val="auto"/>
              </w:rPr>
              <w:t>FR B</w:t>
            </w:r>
            <w:r>
              <w:rPr>
                <w:rFonts w:ascii="Arial" w:cs="Arial" w:eastAsia="Arial" w:hAnsi="Arial"/>
                <w:sz w:val="14"/>
                <w:szCs w:val="14"/>
                <w:color w:val="auto"/>
              </w:rPr>
              <w:t>RAND</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1140" w:type="dxa"/>
            <w:vAlign w:val="bottom"/>
          </w:tcPr>
          <w:p>
            <w:pPr>
              <w:ind w:left="280"/>
              <w:spacing w:after="0"/>
              <w:rPr>
                <w:sz w:val="20"/>
                <w:szCs w:val="20"/>
                <w:color w:val="auto"/>
              </w:rPr>
            </w:pPr>
            <w:r>
              <w:rPr>
                <w:rFonts w:ascii="Arial" w:cs="Arial" w:eastAsia="Arial" w:hAnsi="Arial"/>
                <w:sz w:val="18"/>
                <w:szCs w:val="18"/>
                <w:color w:val="auto"/>
                <w:w w:val="93"/>
              </w:rPr>
              <w:t>02/07/2014</w:t>
            </w:r>
          </w:p>
        </w:tc>
        <w:tc>
          <w:tcPr>
            <w:tcW w:w="144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NERGY</w:t>
            </w:r>
            <w:r>
              <w:rPr>
                <w:rFonts w:ascii="Arial" w:cs="Arial" w:eastAsia="Arial" w:hAnsi="Arial"/>
                <w:sz w:val="18"/>
                <w:szCs w:val="18"/>
                <w:color w:val="auto"/>
              </w:rPr>
              <w:t xml:space="preserve"> /</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7.53%</w:t>
            </w:r>
          </w:p>
        </w:tc>
        <w:tc>
          <w:tcPr>
            <w:tcW w:w="700" w:type="dxa"/>
            <w:vAlign w:val="bottom"/>
          </w:tcPr>
          <w:p>
            <w:pPr>
              <w:ind w:left="120"/>
              <w:spacing w:after="0"/>
              <w:rPr>
                <w:sz w:val="20"/>
                <w:szCs w:val="20"/>
                <w:color w:val="auto"/>
              </w:rPr>
            </w:pPr>
            <w:r>
              <w:rPr>
                <w:rFonts w:ascii="Arial" w:cs="Arial" w:eastAsia="Arial" w:hAnsi="Arial"/>
                <w:sz w:val="18"/>
                <w:szCs w:val="18"/>
                <w:color w:val="auto"/>
              </w:rPr>
              <w:t>L+225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1,990,000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1,990,000</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1,887,183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TILITIES</w:t>
            </w: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2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40" w:type="dxa"/>
            <w:vAlign w:val="bottom"/>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ATEHOUSE</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1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08/28/2014</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EDIA</w:t>
            </w:r>
          </w:p>
        </w:tc>
        <w:tc>
          <w:tcPr>
            <w:tcW w:w="8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7.47%</w:t>
            </w:r>
          </w:p>
        </w:tc>
        <w:tc>
          <w:tcPr>
            <w:tcW w:w="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L+200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7,000,000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30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ENERAL</w:t>
            </w:r>
            <w:r>
              <w:rPr>
                <w:rFonts w:ascii="Arial" w:cs="Arial" w:eastAsia="Arial" w:hAnsi="Arial"/>
                <w:sz w:val="18"/>
                <w:szCs w:val="18"/>
                <w:color w:val="auto"/>
              </w:rPr>
              <w:t xml:space="preserve"> N</w:t>
            </w:r>
            <w:r>
              <w:rPr>
                <w:rFonts w:ascii="Arial" w:cs="Arial" w:eastAsia="Arial" w:hAnsi="Arial"/>
                <w:sz w:val="14"/>
                <w:szCs w:val="14"/>
                <w:color w:val="auto"/>
              </w:rPr>
              <w:t>UTRITION</w:t>
            </w:r>
            <w:r>
              <w:rPr>
                <w:rFonts w:ascii="Arial" w:cs="Arial" w:eastAsia="Arial" w:hAnsi="Arial"/>
                <w:sz w:val="18"/>
                <w:szCs w:val="18"/>
                <w:color w:val="auto"/>
              </w:rPr>
              <w:t xml:space="preserve"> C</w:t>
            </w:r>
            <w:r>
              <w:rPr>
                <w:rFonts w:ascii="Arial" w:cs="Arial" w:eastAsia="Arial" w:hAnsi="Arial"/>
                <w:sz w:val="14"/>
                <w:szCs w:val="14"/>
                <w:color w:val="auto"/>
              </w:rPr>
              <w:t>ENTERS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140" w:type="dxa"/>
            <w:vAlign w:val="bottom"/>
          </w:tcPr>
          <w:p>
            <w:pPr>
              <w:ind w:left="280"/>
              <w:spacing w:after="0"/>
              <w:rPr>
                <w:sz w:val="20"/>
                <w:szCs w:val="20"/>
                <w:color w:val="auto"/>
              </w:rPr>
            </w:pPr>
            <w:r>
              <w:rPr>
                <w:rFonts w:ascii="Arial" w:cs="Arial" w:eastAsia="Arial" w:hAnsi="Arial"/>
                <w:sz w:val="18"/>
                <w:szCs w:val="18"/>
                <w:color w:val="auto"/>
                <w:w w:val="93"/>
              </w:rPr>
              <w:t>09/16/2013</w:t>
            </w:r>
          </w:p>
        </w:tc>
        <w:tc>
          <w:tcPr>
            <w:tcW w:w="1440" w:type="dxa"/>
            <w:vAlign w:val="bottom"/>
          </w:tcPr>
          <w:p>
            <w:pPr>
              <w:jc w:val="center"/>
              <w:spacing w:after="0"/>
              <w:rPr>
                <w:sz w:val="20"/>
                <w:szCs w:val="20"/>
                <w:color w:val="auto"/>
              </w:rPr>
            </w:pPr>
            <w:r>
              <w:rPr>
                <w:rFonts w:ascii="Arial" w:cs="Arial" w:eastAsia="Arial" w:hAnsi="Arial"/>
                <w:sz w:val="18"/>
                <w:szCs w:val="18"/>
                <w:color w:val="auto"/>
                <w:w w:val="96"/>
              </w:rPr>
              <w:t>R</w:t>
            </w:r>
            <w:r>
              <w:rPr>
                <w:rFonts w:ascii="Arial" w:cs="Arial" w:eastAsia="Arial" w:hAnsi="Arial"/>
                <w:sz w:val="14"/>
                <w:szCs w:val="14"/>
                <w:color w:val="auto"/>
                <w:w w:val="96"/>
              </w:rPr>
              <w:t>ETAIL</w:t>
            </w:r>
            <w:r>
              <w:rPr>
                <w:rFonts w:ascii="Arial" w:cs="Arial" w:eastAsia="Arial" w:hAnsi="Arial"/>
                <w:sz w:val="18"/>
                <w:szCs w:val="18"/>
                <w:color w:val="auto"/>
                <w:w w:val="96"/>
              </w:rPr>
              <w:t xml:space="preserve"> S</w:t>
            </w:r>
            <w:r>
              <w:rPr>
                <w:rFonts w:ascii="Arial" w:cs="Arial" w:eastAsia="Arial" w:hAnsi="Arial"/>
                <w:sz w:val="14"/>
                <w:szCs w:val="14"/>
                <w:color w:val="auto"/>
                <w:w w:val="96"/>
              </w:rPr>
              <w:t>TORE</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7.61%</w:t>
            </w:r>
          </w:p>
        </w:tc>
        <w:tc>
          <w:tcPr>
            <w:tcW w:w="700" w:type="dxa"/>
            <w:vAlign w:val="bottom"/>
          </w:tcPr>
          <w:p>
            <w:pPr>
              <w:ind w:left="120"/>
              <w:spacing w:after="0"/>
              <w:rPr>
                <w:sz w:val="20"/>
                <w:szCs w:val="20"/>
                <w:color w:val="auto"/>
              </w:rPr>
            </w:pPr>
            <w:r>
              <w:rPr>
                <w:rFonts w:ascii="Arial" w:cs="Arial" w:eastAsia="Arial" w:hAnsi="Arial"/>
                <w:sz w:val="18"/>
                <w:szCs w:val="18"/>
                <w:color w:val="auto"/>
              </w:rPr>
              <w:t>L+225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6,483,750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6,487,788</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6,147,405</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2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40" w:type="dxa"/>
            <w:vAlign w:val="bottom"/>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REATWIDE</w:t>
            </w:r>
            <w:r>
              <w:rPr>
                <w:rFonts w:ascii="Arial" w:cs="Arial" w:eastAsia="Arial" w:hAnsi="Arial"/>
                <w:sz w:val="18"/>
                <w:szCs w:val="18"/>
                <w:color w:val="auto"/>
              </w:rPr>
              <w:t xml:space="preserve"> L</w:t>
            </w:r>
            <w:r>
              <w:rPr>
                <w:rFonts w:ascii="Arial" w:cs="Arial" w:eastAsia="Arial" w:hAnsi="Arial"/>
                <w:sz w:val="14"/>
                <w:szCs w:val="14"/>
                <w:color w:val="auto"/>
              </w:rPr>
              <w:t>OGISTICS</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1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12/19/2013</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w:t>
            </w:r>
            <w:r>
              <w:rPr>
                <w:rFonts w:ascii="Arial" w:cs="Arial" w:eastAsia="Arial" w:hAnsi="Arial"/>
                <w:sz w:val="14"/>
                <w:szCs w:val="14"/>
                <w:color w:val="auto"/>
                <w:w w:val="95"/>
              </w:rPr>
              <w:t>ARGO</w:t>
            </w:r>
          </w:p>
        </w:tc>
        <w:tc>
          <w:tcPr>
            <w:tcW w:w="8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8.70%</w:t>
            </w:r>
          </w:p>
        </w:tc>
        <w:tc>
          <w:tcPr>
            <w:tcW w:w="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L+350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6,947,500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6,947,500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6,079,062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T</w:t>
            </w:r>
            <w:r>
              <w:rPr>
                <w:rFonts w:ascii="Arial" w:cs="Arial" w:eastAsia="Arial" w:hAnsi="Arial"/>
                <w:sz w:val="14"/>
                <w:szCs w:val="14"/>
                <w:color w:val="auto"/>
                <w:w w:val="99"/>
              </w:rPr>
              <w:t>RANSPORT</w:t>
            </w:r>
          </w:p>
        </w:tc>
        <w:tc>
          <w:tcPr>
            <w:tcW w:w="8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430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ANLEY</w:t>
            </w:r>
            <w:r>
              <w:rPr>
                <w:rFonts w:ascii="Arial" w:cs="Arial" w:eastAsia="Arial" w:hAnsi="Arial"/>
                <w:sz w:val="18"/>
                <w:szCs w:val="18"/>
                <w:color w:val="auto"/>
              </w:rPr>
              <w:t>-W</w:t>
            </w:r>
            <w:r>
              <w:rPr>
                <w:rFonts w:ascii="Arial" w:cs="Arial" w:eastAsia="Arial" w:hAnsi="Arial"/>
                <w:sz w:val="14"/>
                <w:szCs w:val="14"/>
                <w:color w:val="auto"/>
              </w:rPr>
              <w:t>OOD</w:t>
            </w:r>
            <w:r>
              <w:rPr>
                <w:rFonts w:ascii="Arial" w:cs="Arial" w:eastAsia="Arial" w:hAnsi="Arial"/>
                <w:sz w:val="18"/>
                <w:szCs w:val="18"/>
                <w:color w:val="auto"/>
              </w:rPr>
              <w:t>, L.L.C.</w:t>
            </w:r>
          </w:p>
        </w:tc>
        <w:tc>
          <w:tcPr>
            <w:tcW w:w="1140" w:type="dxa"/>
            <w:vAlign w:val="bottom"/>
          </w:tcPr>
          <w:p>
            <w:pPr>
              <w:ind w:left="280"/>
              <w:spacing w:after="0"/>
              <w:rPr>
                <w:sz w:val="20"/>
                <w:szCs w:val="20"/>
                <w:color w:val="auto"/>
              </w:rPr>
            </w:pPr>
            <w:r>
              <w:rPr>
                <w:rFonts w:ascii="Arial" w:cs="Arial" w:eastAsia="Arial" w:hAnsi="Arial"/>
                <w:sz w:val="18"/>
                <w:szCs w:val="18"/>
                <w:color w:val="auto"/>
                <w:w w:val="93"/>
              </w:rPr>
              <w:t>03/08/2014</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O</w:t>
            </w:r>
            <w:r>
              <w:rPr>
                <w:rFonts w:ascii="Arial" w:cs="Arial" w:eastAsia="Arial" w:hAnsi="Arial"/>
                <w:sz w:val="14"/>
                <w:szCs w:val="14"/>
                <w:color w:val="auto"/>
                <w:w w:val="99"/>
              </w:rPr>
              <w:t>THER</w:t>
            </w:r>
            <w:r>
              <w:rPr>
                <w:rFonts w:ascii="Arial" w:cs="Arial" w:eastAsia="Arial" w:hAnsi="Arial"/>
                <w:sz w:val="18"/>
                <w:szCs w:val="18"/>
                <w:color w:val="auto"/>
                <w:w w:val="99"/>
              </w:rPr>
              <w:t xml:space="preserve"> M</w:t>
            </w:r>
            <w:r>
              <w:rPr>
                <w:rFonts w:ascii="Arial" w:cs="Arial" w:eastAsia="Arial" w:hAnsi="Arial"/>
                <w:sz w:val="14"/>
                <w:szCs w:val="14"/>
                <w:color w:val="auto"/>
                <w:w w:val="99"/>
              </w:rPr>
              <w:t>EDIA</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7.60%</w:t>
            </w:r>
          </w:p>
        </w:tc>
        <w:tc>
          <w:tcPr>
            <w:tcW w:w="700" w:type="dxa"/>
            <w:vAlign w:val="bottom"/>
          </w:tcPr>
          <w:p>
            <w:pPr>
              <w:ind w:left="120"/>
              <w:spacing w:after="0"/>
              <w:rPr>
                <w:sz w:val="20"/>
                <w:szCs w:val="20"/>
                <w:color w:val="auto"/>
              </w:rPr>
            </w:pPr>
            <w:r>
              <w:rPr>
                <w:rFonts w:ascii="Arial" w:cs="Arial" w:eastAsia="Arial" w:hAnsi="Arial"/>
                <w:sz w:val="18"/>
                <w:szCs w:val="18"/>
                <w:color w:val="auto"/>
              </w:rPr>
              <w:t>L+225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9,000,000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9,000,000</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7,845,003</w:t>
            </w:r>
          </w:p>
        </w:tc>
        <w:tc>
          <w:tcPr>
            <w:tcW w:w="0" w:type="dxa"/>
            <w:vAlign w:val="bottom"/>
          </w:tcPr>
          <w:p>
            <w:pPr>
              <w:spacing w:after="0"/>
              <w:rPr>
                <w:sz w:val="1"/>
                <w:szCs w:val="1"/>
                <w:color w:val="auto"/>
              </w:rPr>
            </w:pPr>
          </w:p>
        </w:tc>
      </w:tr>
    </w:tbl>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0"/>
              </w:rPr>
              <w:t>Basis</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Point</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Spread</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Current</w:t>
            </w:r>
          </w:p>
        </w:tc>
        <w:tc>
          <w:tcPr>
            <w:tcW w:w="10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Above</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0"/>
              </w:rPr>
              <w:t>Value</w:t>
            </w:r>
            <w:r>
              <w:rPr>
                <w:rFonts w:ascii="Arial" w:cs="Arial" w:eastAsia="Arial" w:hAnsi="Arial"/>
                <w:sz w:val="22"/>
                <w:szCs w:val="22"/>
                <w:b w:val="1"/>
                <w:bCs w:val="1"/>
                <w:color w:val="auto"/>
                <w:w w:val="90"/>
                <w:vertAlign w:val="superscript"/>
              </w:rPr>
              <w:t>(3)</w:t>
            </w:r>
          </w:p>
        </w:tc>
        <w:tc>
          <w:tcPr>
            <w:tcW w:w="0" w:type="dxa"/>
            <w:vAlign w:val="bottom"/>
          </w:tcPr>
          <w:p>
            <w:pPr>
              <w:spacing w:after="0"/>
              <w:rPr>
                <w:sz w:val="1"/>
                <w:szCs w:val="1"/>
                <w:color w:val="auto"/>
              </w:rPr>
            </w:pPr>
          </w:p>
        </w:tc>
      </w:tr>
      <w:tr>
        <w:trPr>
          <w:trHeight w:val="176"/>
        </w:trPr>
        <w:tc>
          <w:tcPr>
            <w:tcW w:w="456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Maturity</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100" w:type="dxa"/>
            <w:vAlign w:val="bottom"/>
          </w:tcPr>
          <w:p>
            <w:pPr>
              <w:spacing w:after="0"/>
              <w:rPr>
                <w:sz w:val="15"/>
                <w:szCs w:val="15"/>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b w:val="1"/>
                <w:bCs w:val="1"/>
                <w:color w:val="auto"/>
                <w:w w:val="94"/>
              </w:rPr>
              <w:t>Coupon</w:t>
            </w:r>
          </w:p>
        </w:tc>
        <w:tc>
          <w:tcPr>
            <w:tcW w:w="100" w:type="dxa"/>
            <w:vAlign w:val="bottom"/>
          </w:tcPr>
          <w:p>
            <w:pPr>
              <w:spacing w:after="0"/>
              <w:rPr>
                <w:sz w:val="15"/>
                <w:szCs w:val="15"/>
                <w:color w:val="auto"/>
              </w:rPr>
            </w:pPr>
          </w:p>
        </w:tc>
        <w:tc>
          <w:tcPr>
            <w:tcW w:w="70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5"/>
              </w:rPr>
              <w:t>Index</w:t>
            </w:r>
            <w:r>
              <w:rPr>
                <w:rFonts w:ascii="Arial" w:cs="Arial" w:eastAsia="Arial" w:hAnsi="Arial"/>
                <w:sz w:val="20"/>
                <w:szCs w:val="20"/>
                <w:b w:val="1"/>
                <w:bCs w:val="1"/>
                <w:color w:val="auto"/>
                <w:w w:val="95"/>
                <w:vertAlign w:val="superscript"/>
              </w:rPr>
              <w:t>(4)</w:t>
            </w:r>
          </w:p>
        </w:tc>
        <w:tc>
          <w:tcPr>
            <w:tcW w:w="160" w:type="dxa"/>
            <w:vAlign w:val="bottom"/>
          </w:tcPr>
          <w:p>
            <w:pPr>
              <w:spacing w:after="0"/>
              <w:rPr>
                <w:sz w:val="15"/>
                <w:szCs w:val="15"/>
                <w:color w:val="auto"/>
              </w:rPr>
            </w:pPr>
          </w:p>
        </w:tc>
        <w:tc>
          <w:tcPr>
            <w:tcW w:w="700" w:type="dxa"/>
            <w:vAlign w:val="bottom"/>
          </w:tcPr>
          <w:p>
            <w:pPr>
              <w:jc w:val="right"/>
              <w:ind w:right="252"/>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380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First Lien Secured Debt—(Continued)</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560" w:type="dxa"/>
            <w:vAlign w:val="bottom"/>
            <w:gridSpan w:val="3"/>
          </w:tcPr>
          <w:p>
            <w:pPr>
              <w:spacing w:after="0"/>
              <w:rPr>
                <w:sz w:val="20"/>
                <w:szCs w:val="20"/>
                <w:color w:val="auto"/>
              </w:rPr>
            </w:pPr>
            <w:r>
              <w:rPr>
                <w:rFonts w:ascii="Arial" w:cs="Arial" w:eastAsia="Arial" w:hAnsi="Arial"/>
                <w:sz w:val="14"/>
                <w:szCs w:val="14"/>
                <w:color w:val="auto"/>
              </w:rPr>
              <w:t>H</w:t>
            </w:r>
            <w:r>
              <w:rPr>
                <w:rFonts w:ascii="Arial" w:cs="Arial" w:eastAsia="Arial" w:hAnsi="Arial"/>
                <w:sz w:val="11"/>
                <w:szCs w:val="11"/>
                <w:color w:val="auto"/>
              </w:rPr>
              <w:t>AWKER</w:t>
            </w:r>
            <w:r>
              <w:rPr>
                <w:rFonts w:ascii="Arial" w:cs="Arial" w:eastAsia="Arial" w:hAnsi="Arial"/>
                <w:sz w:val="14"/>
                <w:szCs w:val="14"/>
                <w:color w:val="auto"/>
              </w:rPr>
              <w:t xml:space="preserve"> B</w:t>
            </w:r>
            <w:r>
              <w:rPr>
                <w:rFonts w:ascii="Arial" w:cs="Arial" w:eastAsia="Arial" w:hAnsi="Arial"/>
                <w:sz w:val="11"/>
                <w:szCs w:val="11"/>
                <w:color w:val="auto"/>
              </w:rPr>
              <w:t>EECHCRAFT</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03/28/2014</w:t>
            </w:r>
          </w:p>
        </w:tc>
        <w:tc>
          <w:tcPr>
            <w:tcW w:w="1660" w:type="dxa"/>
            <w:vAlign w:val="bottom"/>
          </w:tcPr>
          <w:p>
            <w:pPr>
              <w:jc w:val="center"/>
              <w:spacing w:after="0"/>
              <w:rPr>
                <w:sz w:val="20"/>
                <w:szCs w:val="20"/>
                <w:color w:val="auto"/>
              </w:rPr>
            </w:pPr>
            <w:r>
              <w:rPr>
                <w:rFonts w:ascii="Arial" w:cs="Arial" w:eastAsia="Arial" w:hAnsi="Arial"/>
                <w:sz w:val="14"/>
                <w:szCs w:val="14"/>
                <w:color w:val="auto"/>
                <w:w w:val="97"/>
              </w:rPr>
              <w:t>A</w:t>
            </w:r>
            <w:r>
              <w:rPr>
                <w:rFonts w:ascii="Arial" w:cs="Arial" w:eastAsia="Arial" w:hAnsi="Arial"/>
                <w:sz w:val="11"/>
                <w:szCs w:val="11"/>
                <w:color w:val="auto"/>
                <w:w w:val="97"/>
              </w:rPr>
              <w:t>EROSPACE AND</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7.21%</w:t>
            </w:r>
          </w:p>
        </w:tc>
        <w:tc>
          <w:tcPr>
            <w:tcW w:w="10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4"/>
                <w:szCs w:val="14"/>
                <w:color w:val="auto"/>
              </w:rPr>
              <w:t>L+200</w:t>
            </w: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1,990,780</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1,990,780</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1,930,226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w w:val="95"/>
              </w:rPr>
              <w:t>D</w:t>
            </w:r>
            <w:r>
              <w:rPr>
                <w:rFonts w:ascii="Arial" w:cs="Arial" w:eastAsia="Arial" w:hAnsi="Arial"/>
                <w:sz w:val="11"/>
                <w:szCs w:val="11"/>
                <w:color w:val="auto"/>
                <w:w w:val="95"/>
              </w:rPr>
              <w:t>EFENSE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40" w:type="dxa"/>
            <w:vAlign w:val="bottom"/>
          </w:tcPr>
          <w:p>
            <w:pPr>
              <w:spacing w:after="0"/>
              <w:rPr>
                <w:sz w:val="4"/>
                <w:szCs w:val="4"/>
                <w:color w:val="auto"/>
              </w:rPr>
            </w:pPr>
          </w:p>
        </w:tc>
        <w:tc>
          <w:tcPr>
            <w:tcW w:w="3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w:t>
            </w:r>
            <w:r>
              <w:rPr>
                <w:rFonts w:ascii="Arial" w:cs="Arial" w:eastAsia="Arial" w:hAnsi="Arial"/>
                <w:sz w:val="11"/>
                <w:szCs w:val="11"/>
                <w:color w:val="auto"/>
              </w:rPr>
              <w:t>EALTH</w:t>
            </w:r>
            <w:r>
              <w:rPr>
                <w:rFonts w:ascii="Arial" w:cs="Arial" w:eastAsia="Arial" w:hAnsi="Arial"/>
                <w:sz w:val="14"/>
                <w:szCs w:val="14"/>
                <w:color w:val="auto"/>
              </w:rPr>
              <w:t xml:space="preserve"> M</w:t>
            </w:r>
            <w:r>
              <w:rPr>
                <w:rFonts w:ascii="Arial" w:cs="Arial" w:eastAsia="Arial" w:hAnsi="Arial"/>
                <w:sz w:val="11"/>
                <w:szCs w:val="11"/>
                <w:color w:val="auto"/>
              </w:rPr>
              <w:t>ANAGEMENT</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40" w:type="dxa"/>
            <w:vAlign w:val="bottom"/>
            <w:gridSpan w:val="2"/>
          </w:tcPr>
          <w:p>
            <w:pPr>
              <w:spacing w:after="0" w:line="138" w:lineRule="exact"/>
              <w:rPr>
                <w:sz w:val="20"/>
                <w:szCs w:val="20"/>
                <w:color w:val="auto"/>
              </w:rPr>
            </w:pPr>
            <w:r>
              <w:rPr>
                <w:rFonts w:ascii="Arial" w:cs="Arial" w:eastAsia="Arial" w:hAnsi="Arial"/>
                <w:sz w:val="14"/>
                <w:szCs w:val="14"/>
                <w:color w:val="auto"/>
              </w:rPr>
              <w:t>A</w:t>
            </w:r>
            <w:r>
              <w:rPr>
                <w:rFonts w:ascii="Arial" w:cs="Arial" w:eastAsia="Arial" w:hAnsi="Arial"/>
                <w:sz w:val="11"/>
                <w:szCs w:val="11"/>
                <w:color w:val="auto"/>
              </w:rPr>
              <w:t>SSOCIATES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0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02/28/2014</w:t>
            </w:r>
          </w:p>
        </w:tc>
        <w:tc>
          <w:tcPr>
            <w:tcW w:w="1660" w:type="dxa"/>
            <w:vAlign w:val="bottom"/>
          </w:tcPr>
          <w:p>
            <w:pPr>
              <w:jc w:val="center"/>
              <w:spacing w:after="0" w:line="138" w:lineRule="exact"/>
              <w:rPr>
                <w:sz w:val="20"/>
                <w:szCs w:val="20"/>
                <w:color w:val="auto"/>
              </w:rPr>
            </w:pPr>
            <w:r>
              <w:rPr>
                <w:rFonts w:ascii="Arial" w:cs="Arial" w:eastAsia="Arial" w:hAnsi="Arial"/>
                <w:sz w:val="14"/>
                <w:szCs w:val="14"/>
                <w:color w:val="auto"/>
                <w:w w:val="99"/>
              </w:rPr>
              <w:t>H</w:t>
            </w:r>
            <w:r>
              <w:rPr>
                <w:rFonts w:ascii="Arial" w:cs="Arial" w:eastAsia="Arial" w:hAnsi="Arial"/>
                <w:sz w:val="11"/>
                <w:szCs w:val="11"/>
                <w:color w:val="auto"/>
                <w:w w:val="99"/>
              </w:rPr>
              <w:t>EALTHCARE</w:t>
            </w:r>
            <w:r>
              <w:rPr>
                <w:rFonts w:ascii="Arial" w:cs="Arial" w:eastAsia="Arial" w:hAnsi="Arial"/>
                <w:sz w:val="14"/>
                <w:szCs w:val="14"/>
                <w:color w:val="auto"/>
                <w:w w:val="99"/>
              </w:rPr>
              <w:t>,</w:t>
            </w:r>
          </w:p>
        </w:tc>
        <w:tc>
          <w:tcPr>
            <w:tcW w:w="7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6.95%</w:t>
            </w:r>
          </w:p>
        </w:tc>
        <w:tc>
          <w:tcPr>
            <w:tcW w:w="100" w:type="dxa"/>
            <w:vAlign w:val="bottom"/>
          </w:tcPr>
          <w:p>
            <w:pPr>
              <w:spacing w:after="0"/>
              <w:rPr>
                <w:sz w:val="11"/>
                <w:szCs w:val="11"/>
                <w:color w:val="auto"/>
              </w:rPr>
            </w:pPr>
          </w:p>
        </w:tc>
        <w:tc>
          <w:tcPr>
            <w:tcW w:w="700" w:type="dxa"/>
            <w:vAlign w:val="bottom"/>
            <w:gridSpan w:val="2"/>
          </w:tcPr>
          <w:p>
            <w:pPr>
              <w:ind w:left="240"/>
              <w:spacing w:after="0" w:line="138" w:lineRule="exact"/>
              <w:rPr>
                <w:sz w:val="20"/>
                <w:szCs w:val="20"/>
                <w:color w:val="auto"/>
              </w:rPr>
            </w:pPr>
            <w:r>
              <w:rPr>
                <w:rFonts w:ascii="Arial" w:cs="Arial" w:eastAsia="Arial" w:hAnsi="Arial"/>
                <w:sz w:val="14"/>
                <w:szCs w:val="14"/>
                <w:color w:val="auto"/>
              </w:rPr>
              <w:t>L+175</w:t>
            </w:r>
          </w:p>
        </w:tc>
        <w:tc>
          <w:tcPr>
            <w:tcW w:w="16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9,950,000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9,950,000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9,441,615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color w:val="auto"/>
                <w:w w:val="98"/>
              </w:rPr>
              <w:t>E</w:t>
            </w:r>
            <w:r>
              <w:rPr>
                <w:rFonts w:ascii="Arial" w:cs="Arial" w:eastAsia="Arial" w:hAnsi="Arial"/>
                <w:sz w:val="11"/>
                <w:szCs w:val="11"/>
                <w:color w:val="auto"/>
                <w:w w:val="98"/>
              </w:rPr>
              <w:t>DUCATION AND</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rPr>
              <w:t>C</w:t>
            </w:r>
            <w:r>
              <w:rPr>
                <w:rFonts w:ascii="Arial" w:cs="Arial" w:eastAsia="Arial" w:hAnsi="Arial"/>
                <w:sz w:val="11"/>
                <w:szCs w:val="11"/>
                <w:color w:val="auto"/>
              </w:rPr>
              <w:t>HILDCARE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40" w:type="dxa"/>
            <w:vAlign w:val="bottom"/>
          </w:tcPr>
          <w:p>
            <w:pPr>
              <w:spacing w:after="0"/>
              <w:rPr>
                <w:sz w:val="4"/>
                <w:szCs w:val="4"/>
                <w:color w:val="auto"/>
              </w:rPr>
            </w:pPr>
          </w:p>
        </w:tc>
        <w:tc>
          <w:tcPr>
            <w:tcW w:w="3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w:t>
            </w:r>
            <w:r>
              <w:rPr>
                <w:rFonts w:ascii="Arial" w:cs="Arial" w:eastAsia="Arial" w:hAnsi="Arial"/>
                <w:sz w:val="11"/>
                <w:szCs w:val="11"/>
                <w:color w:val="auto"/>
              </w:rPr>
              <w:t>UGHES</w:t>
            </w:r>
            <w:r>
              <w:rPr>
                <w:rFonts w:ascii="Arial" w:cs="Arial" w:eastAsia="Arial" w:hAnsi="Arial"/>
                <w:sz w:val="14"/>
                <w:szCs w:val="14"/>
                <w:color w:val="auto"/>
              </w:rPr>
              <w:t xml:space="preserve"> N</w:t>
            </w:r>
            <w:r>
              <w:rPr>
                <w:rFonts w:ascii="Arial" w:cs="Arial" w:eastAsia="Arial" w:hAnsi="Arial"/>
                <w:sz w:val="11"/>
                <w:szCs w:val="11"/>
                <w:color w:val="auto"/>
              </w:rPr>
              <w:t>ETWORK</w:t>
            </w:r>
            <w:r>
              <w:rPr>
                <w:rFonts w:ascii="Arial" w:cs="Arial" w:eastAsia="Arial" w:hAnsi="Arial"/>
                <w:sz w:val="14"/>
                <w:szCs w:val="14"/>
                <w:color w:val="auto"/>
              </w:rPr>
              <w:t xml:space="preserve"> S</w:t>
            </w:r>
            <w:r>
              <w:rPr>
                <w:rFonts w:ascii="Arial" w:cs="Arial" w:eastAsia="Arial" w:hAnsi="Arial"/>
                <w:sz w:val="11"/>
                <w:szCs w:val="11"/>
                <w:color w:val="auto"/>
              </w:rPr>
              <w:t>YSTEMS</w:t>
            </w:r>
            <w:r>
              <w:rPr>
                <w:rFonts w:ascii="Arial" w:cs="Arial" w:eastAsia="Arial" w:hAnsi="Arial"/>
                <w:sz w:val="14"/>
                <w:szCs w:val="14"/>
                <w:color w:val="auto"/>
              </w:rPr>
              <w:t>, L.L.C.</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04/15/2014</w:t>
            </w:r>
          </w:p>
        </w:tc>
        <w:tc>
          <w:tcPr>
            <w:tcW w:w="1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T</w:t>
            </w:r>
            <w:r>
              <w:rPr>
                <w:rFonts w:ascii="Arial" w:cs="Arial" w:eastAsia="Arial" w:hAnsi="Arial"/>
                <w:sz w:val="11"/>
                <w:szCs w:val="11"/>
                <w:color w:val="auto"/>
                <w:w w:val="99"/>
              </w:rPr>
              <w:t>ELECOMMUNICATIONS</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8.06%</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L+250</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4,625,000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560" w:type="dxa"/>
            <w:vAlign w:val="bottom"/>
            <w:gridSpan w:val="3"/>
          </w:tcPr>
          <w:p>
            <w:pPr>
              <w:spacing w:after="0"/>
              <w:rPr>
                <w:sz w:val="20"/>
                <w:szCs w:val="20"/>
                <w:color w:val="auto"/>
              </w:rPr>
            </w:pPr>
            <w:r>
              <w:rPr>
                <w:rFonts w:ascii="Arial" w:cs="Arial" w:eastAsia="Arial" w:hAnsi="Arial"/>
                <w:sz w:val="14"/>
                <w:szCs w:val="14"/>
                <w:color w:val="auto"/>
              </w:rPr>
              <w:t>J</w:t>
            </w:r>
            <w:r>
              <w:rPr>
                <w:rFonts w:ascii="Arial" w:cs="Arial" w:eastAsia="Arial" w:hAnsi="Arial"/>
                <w:sz w:val="11"/>
                <w:szCs w:val="11"/>
                <w:color w:val="auto"/>
              </w:rPr>
              <w:t>ACUZZI</w:t>
            </w:r>
            <w:r>
              <w:rPr>
                <w:rFonts w:ascii="Arial" w:cs="Arial" w:eastAsia="Arial" w:hAnsi="Arial"/>
                <w:sz w:val="14"/>
                <w:szCs w:val="14"/>
                <w:color w:val="auto"/>
              </w:rPr>
              <w:t xml:space="preserve"> B</w:t>
            </w:r>
            <w:r>
              <w:rPr>
                <w:rFonts w:ascii="Arial" w:cs="Arial" w:eastAsia="Arial" w:hAnsi="Arial"/>
                <w:sz w:val="11"/>
                <w:szCs w:val="11"/>
                <w:color w:val="auto"/>
              </w:rPr>
              <w:t>RANDS</w:t>
            </w:r>
            <w:r>
              <w:rPr>
                <w:rFonts w:ascii="Arial" w:cs="Arial" w:eastAsia="Arial" w:hAnsi="Arial"/>
                <w:sz w:val="14"/>
                <w:szCs w:val="14"/>
                <w:color w:val="auto"/>
              </w:rPr>
              <w:t xml:space="preserve"> C</w:t>
            </w:r>
            <w:r>
              <w:rPr>
                <w:rFonts w:ascii="Arial" w:cs="Arial" w:eastAsia="Arial" w:hAnsi="Arial"/>
                <w:sz w:val="11"/>
                <w:szCs w:val="11"/>
                <w:color w:val="auto"/>
              </w:rPr>
              <w:t>ORP</w:t>
            </w: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02/07/2014</w:t>
            </w:r>
          </w:p>
        </w:tc>
        <w:tc>
          <w:tcPr>
            <w:tcW w:w="1660" w:type="dxa"/>
            <w:vAlign w:val="bottom"/>
          </w:tcPr>
          <w:p>
            <w:pPr>
              <w:jc w:val="center"/>
              <w:spacing w:after="0"/>
              <w:rPr>
                <w:sz w:val="20"/>
                <w:szCs w:val="20"/>
                <w:color w:val="auto"/>
              </w:rPr>
            </w:pPr>
            <w:r>
              <w:rPr>
                <w:rFonts w:ascii="Arial" w:cs="Arial" w:eastAsia="Arial" w:hAnsi="Arial"/>
                <w:sz w:val="14"/>
                <w:szCs w:val="14"/>
                <w:color w:val="auto"/>
                <w:w w:val="98"/>
              </w:rPr>
              <w:t>H</w:t>
            </w:r>
            <w:r>
              <w:rPr>
                <w:rFonts w:ascii="Arial" w:cs="Arial" w:eastAsia="Arial" w:hAnsi="Arial"/>
                <w:sz w:val="11"/>
                <w:szCs w:val="11"/>
                <w:color w:val="auto"/>
                <w:w w:val="98"/>
              </w:rPr>
              <w:t>OME AND</w:t>
            </w:r>
            <w:r>
              <w:rPr>
                <w:rFonts w:ascii="Arial" w:cs="Arial" w:eastAsia="Arial" w:hAnsi="Arial"/>
                <w:sz w:val="14"/>
                <w:szCs w:val="14"/>
                <w:color w:val="auto"/>
                <w:w w:val="98"/>
              </w:rPr>
              <w:t xml:space="preserve"> O</w:t>
            </w:r>
            <w:r>
              <w:rPr>
                <w:rFonts w:ascii="Arial" w:cs="Arial" w:eastAsia="Arial" w:hAnsi="Arial"/>
                <w:sz w:val="11"/>
                <w:szCs w:val="11"/>
                <w:color w:val="auto"/>
                <w:w w:val="98"/>
              </w:rPr>
              <w:t>FFICE</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7.44%</w:t>
            </w:r>
          </w:p>
        </w:tc>
        <w:tc>
          <w:tcPr>
            <w:tcW w:w="10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4"/>
                <w:szCs w:val="14"/>
                <w:color w:val="auto"/>
              </w:rPr>
              <w:t>L+225</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9,963,514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9,963,514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8,947,235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color w:val="auto"/>
                <w:w w:val="98"/>
              </w:rPr>
              <w:t>F</w:t>
            </w:r>
            <w:r>
              <w:rPr>
                <w:rFonts w:ascii="Arial" w:cs="Arial" w:eastAsia="Arial" w:hAnsi="Arial"/>
                <w:sz w:val="11"/>
                <w:szCs w:val="11"/>
                <w:color w:val="auto"/>
                <w:w w:val="98"/>
              </w:rPr>
              <w:t>URNISHINGS</w:t>
            </w:r>
            <w:r>
              <w:rPr>
                <w:rFonts w:ascii="Arial" w:cs="Arial" w:eastAsia="Arial" w:hAnsi="Arial"/>
                <w:sz w:val="14"/>
                <w:szCs w:val="14"/>
                <w:color w:val="auto"/>
                <w:w w:val="98"/>
              </w:rPr>
              <w:t>,</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color w:val="auto"/>
                <w:w w:val="95"/>
              </w:rPr>
              <w:t>H</w:t>
            </w:r>
            <w:r>
              <w:rPr>
                <w:rFonts w:ascii="Arial" w:cs="Arial" w:eastAsia="Arial" w:hAnsi="Arial"/>
                <w:sz w:val="11"/>
                <w:szCs w:val="11"/>
                <w:color w:val="auto"/>
                <w:w w:val="95"/>
              </w:rPr>
              <w:t>OUSEWARES</w:t>
            </w:r>
            <w:r>
              <w:rPr>
                <w:rFonts w:ascii="Arial" w:cs="Arial" w:eastAsia="Arial" w:hAnsi="Arial"/>
                <w:sz w:val="14"/>
                <w:szCs w:val="14"/>
                <w:color w:val="auto"/>
                <w:w w:val="95"/>
              </w:rPr>
              <w:t xml:space="preserve">, </w:t>
            </w:r>
            <w:r>
              <w:rPr>
                <w:rFonts w:ascii="Arial" w:cs="Arial" w:eastAsia="Arial" w:hAnsi="Arial"/>
                <w:sz w:val="11"/>
                <w:szCs w:val="11"/>
                <w:color w:val="auto"/>
                <w:w w:val="95"/>
              </w:rPr>
              <w:t>AND</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color w:val="auto"/>
                <w:w w:val="98"/>
              </w:rPr>
              <w:t>D</w:t>
            </w:r>
            <w:r>
              <w:rPr>
                <w:rFonts w:ascii="Arial" w:cs="Arial" w:eastAsia="Arial" w:hAnsi="Arial"/>
                <w:sz w:val="11"/>
                <w:szCs w:val="11"/>
                <w:color w:val="auto"/>
                <w:w w:val="98"/>
              </w:rPr>
              <w:t>URABLE</w:t>
            </w:r>
            <w:r>
              <w:rPr>
                <w:rFonts w:ascii="Arial" w:cs="Arial" w:eastAsia="Arial" w:hAnsi="Arial"/>
                <w:sz w:val="14"/>
                <w:szCs w:val="14"/>
                <w:color w:val="auto"/>
                <w:w w:val="98"/>
              </w:rPr>
              <w:t xml:space="preserve"> C</w:t>
            </w:r>
            <w:r>
              <w:rPr>
                <w:rFonts w:ascii="Arial" w:cs="Arial" w:eastAsia="Arial" w:hAnsi="Arial"/>
                <w:sz w:val="11"/>
                <w:szCs w:val="11"/>
                <w:color w:val="auto"/>
                <w:w w:val="98"/>
              </w:rPr>
              <w:t>ONSUMER</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w w:val="94"/>
              </w:rPr>
              <w:t>P</w:t>
            </w:r>
            <w:r>
              <w:rPr>
                <w:rFonts w:ascii="Arial" w:cs="Arial" w:eastAsia="Arial" w:hAnsi="Arial"/>
                <w:sz w:val="11"/>
                <w:szCs w:val="11"/>
                <w:color w:val="auto"/>
                <w:w w:val="94"/>
              </w:rPr>
              <w:t>RODUCTS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40" w:type="dxa"/>
            <w:vAlign w:val="bottom"/>
          </w:tcPr>
          <w:p>
            <w:pPr>
              <w:spacing w:after="0"/>
              <w:rPr>
                <w:sz w:val="4"/>
                <w:szCs w:val="4"/>
                <w:color w:val="auto"/>
              </w:rPr>
            </w:pPr>
          </w:p>
        </w:tc>
        <w:tc>
          <w:tcPr>
            <w:tcW w:w="3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w:t>
            </w:r>
            <w:r>
              <w:rPr>
                <w:rFonts w:ascii="Arial" w:cs="Arial" w:eastAsia="Arial" w:hAnsi="Arial"/>
                <w:sz w:val="11"/>
                <w:szCs w:val="11"/>
                <w:color w:val="auto"/>
              </w:rPr>
              <w:t>EVEL</w:t>
            </w:r>
            <w:r>
              <w:rPr>
                <w:rFonts w:ascii="Arial" w:cs="Arial" w:eastAsia="Arial" w:hAnsi="Arial"/>
                <w:sz w:val="14"/>
                <w:szCs w:val="14"/>
                <w:color w:val="auto"/>
              </w:rPr>
              <w:t xml:space="preserve"> 3 F</w:t>
            </w:r>
            <w:r>
              <w:rPr>
                <w:rFonts w:ascii="Arial" w:cs="Arial" w:eastAsia="Arial" w:hAnsi="Arial"/>
                <w:sz w:val="11"/>
                <w:szCs w:val="11"/>
                <w:color w:val="auto"/>
              </w:rPr>
              <w:t>INANCING</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03/13/2014</w:t>
            </w:r>
          </w:p>
        </w:tc>
        <w:tc>
          <w:tcPr>
            <w:tcW w:w="1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T</w:t>
            </w:r>
            <w:r>
              <w:rPr>
                <w:rFonts w:ascii="Arial" w:cs="Arial" w:eastAsia="Arial" w:hAnsi="Arial"/>
                <w:sz w:val="11"/>
                <w:szCs w:val="11"/>
                <w:color w:val="auto"/>
                <w:w w:val="99"/>
              </w:rPr>
              <w:t>ELECOMMUNICATIONS</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7.61%</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L+225</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1,939,642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560" w:type="dxa"/>
            <w:vAlign w:val="bottom"/>
            <w:gridSpan w:val="3"/>
          </w:tcPr>
          <w:p>
            <w:pPr>
              <w:spacing w:after="0"/>
              <w:rPr>
                <w:sz w:val="20"/>
                <w:szCs w:val="20"/>
                <w:color w:val="auto"/>
              </w:rPr>
            </w:pPr>
            <w:r>
              <w:rPr>
                <w:rFonts w:ascii="Arial" w:cs="Arial" w:eastAsia="Arial" w:hAnsi="Arial"/>
                <w:sz w:val="14"/>
                <w:szCs w:val="14"/>
                <w:color w:val="auto"/>
              </w:rPr>
              <w:t>L</w:t>
            </w:r>
            <w:r>
              <w:rPr>
                <w:rFonts w:ascii="Arial" w:cs="Arial" w:eastAsia="Arial" w:hAnsi="Arial"/>
                <w:sz w:val="11"/>
                <w:szCs w:val="11"/>
                <w:color w:val="auto"/>
              </w:rPr>
              <w:t>EVLAD</w:t>
            </w:r>
            <w:r>
              <w:rPr>
                <w:rFonts w:ascii="Arial" w:cs="Arial" w:eastAsia="Arial" w:hAnsi="Arial"/>
                <w:sz w:val="14"/>
                <w:szCs w:val="14"/>
                <w:color w:val="auto"/>
              </w:rPr>
              <w:t>, L.L.C.</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03/08/2014</w:t>
            </w:r>
          </w:p>
        </w:tc>
        <w:tc>
          <w:tcPr>
            <w:tcW w:w="1660" w:type="dxa"/>
            <w:vAlign w:val="bottom"/>
          </w:tcPr>
          <w:p>
            <w:pPr>
              <w:jc w:val="center"/>
              <w:spacing w:after="0"/>
              <w:rPr>
                <w:sz w:val="20"/>
                <w:szCs w:val="20"/>
                <w:color w:val="auto"/>
              </w:rPr>
            </w:pPr>
            <w:r>
              <w:rPr>
                <w:rFonts w:ascii="Arial" w:cs="Arial" w:eastAsia="Arial" w:hAnsi="Arial"/>
                <w:sz w:val="14"/>
                <w:szCs w:val="14"/>
                <w:color w:val="auto"/>
                <w:w w:val="95"/>
              </w:rPr>
              <w:t>C</w:t>
            </w:r>
            <w:r>
              <w:rPr>
                <w:rFonts w:ascii="Arial" w:cs="Arial" w:eastAsia="Arial" w:hAnsi="Arial"/>
                <w:sz w:val="11"/>
                <w:szCs w:val="11"/>
                <w:color w:val="auto"/>
                <w:w w:val="95"/>
              </w:rPr>
              <w:t>ONSUMER</w:t>
            </w:r>
            <w:r>
              <w:rPr>
                <w:rFonts w:ascii="Arial" w:cs="Arial" w:eastAsia="Arial" w:hAnsi="Arial"/>
                <w:sz w:val="14"/>
                <w:szCs w:val="14"/>
                <w:color w:val="auto"/>
                <w:w w:val="95"/>
              </w:rPr>
              <w:t xml:space="preserve"> P</w:t>
            </w:r>
            <w:r>
              <w:rPr>
                <w:rFonts w:ascii="Arial" w:cs="Arial" w:eastAsia="Arial" w:hAnsi="Arial"/>
                <w:sz w:val="11"/>
                <w:szCs w:val="11"/>
                <w:color w:val="auto"/>
                <w:w w:val="95"/>
              </w:rPr>
              <w:t>RODUCTS</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7.58%</w:t>
            </w:r>
          </w:p>
        </w:tc>
        <w:tc>
          <w:tcPr>
            <w:tcW w:w="100" w:type="dxa"/>
            <w:vAlign w:val="bottom"/>
          </w:tcPr>
          <w:p>
            <w:pPr>
              <w:spacing w:after="0"/>
              <w:rPr>
                <w:sz w:val="19"/>
                <w:szCs w:val="19"/>
                <w:color w:val="auto"/>
              </w:rPr>
            </w:pPr>
          </w:p>
        </w:tc>
        <w:tc>
          <w:tcPr>
            <w:tcW w:w="700" w:type="dxa"/>
            <w:vAlign w:val="bottom"/>
            <w:gridSpan w:val="2"/>
          </w:tcPr>
          <w:p>
            <w:pPr>
              <w:ind w:left="240"/>
              <w:spacing w:after="0"/>
              <w:rPr>
                <w:sz w:val="20"/>
                <w:szCs w:val="20"/>
                <w:color w:val="auto"/>
              </w:rPr>
            </w:pPr>
            <w:r>
              <w:rPr>
                <w:rFonts w:ascii="Arial" w:cs="Arial" w:eastAsia="Arial" w:hAnsi="Arial"/>
                <w:sz w:val="14"/>
                <w:szCs w:val="14"/>
                <w:color w:val="auto"/>
              </w:rPr>
              <w:t>L+225</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4,842,920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4,842,920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3,357,757</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40" w:type="dxa"/>
            <w:vAlign w:val="bottom"/>
          </w:tcPr>
          <w:p>
            <w:pPr>
              <w:spacing w:after="0"/>
              <w:rPr>
                <w:sz w:val="4"/>
                <w:szCs w:val="4"/>
                <w:color w:val="auto"/>
              </w:rPr>
            </w:pPr>
          </w:p>
        </w:tc>
        <w:tc>
          <w:tcPr>
            <w:tcW w:w="3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w:t>
            </w:r>
            <w:r>
              <w:rPr>
                <w:rFonts w:ascii="Arial" w:cs="Arial" w:eastAsia="Arial" w:hAnsi="Arial"/>
                <w:sz w:val="11"/>
                <w:szCs w:val="11"/>
                <w:color w:val="auto"/>
              </w:rPr>
              <w:t>ONGVIEW</w:t>
            </w:r>
            <w:r>
              <w:rPr>
                <w:rFonts w:ascii="Arial" w:cs="Arial" w:eastAsia="Arial" w:hAnsi="Arial"/>
                <w:sz w:val="14"/>
                <w:szCs w:val="14"/>
                <w:color w:val="auto"/>
              </w:rPr>
              <w:t xml:space="preserve"> P</w:t>
            </w:r>
            <w:r>
              <w:rPr>
                <w:rFonts w:ascii="Arial" w:cs="Arial" w:eastAsia="Arial" w:hAnsi="Arial"/>
                <w:sz w:val="11"/>
                <w:szCs w:val="11"/>
                <w:color w:val="auto"/>
              </w:rPr>
              <w:t>OWER</w:t>
            </w:r>
            <w:r>
              <w:rPr>
                <w:rFonts w:ascii="Arial" w:cs="Arial" w:eastAsia="Arial" w:hAnsi="Arial"/>
                <w:sz w:val="14"/>
                <w:szCs w:val="14"/>
                <w:color w:val="auto"/>
              </w:rPr>
              <w:t>, L.L.C.</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02/28/2014</w:t>
            </w:r>
          </w:p>
        </w:tc>
        <w:tc>
          <w:tcPr>
            <w:tcW w:w="1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U</w:t>
            </w:r>
            <w:r>
              <w:rPr>
                <w:rFonts w:ascii="Arial" w:cs="Arial" w:eastAsia="Arial" w:hAnsi="Arial"/>
                <w:sz w:val="11"/>
                <w:szCs w:val="11"/>
                <w:color w:val="auto"/>
              </w:rPr>
              <w:t>TILITIES</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7.56%</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L+225</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2,020,000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2,020,000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1,939,200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4560" w:type="dxa"/>
            <w:vAlign w:val="bottom"/>
            <w:gridSpan w:val="3"/>
          </w:tcPr>
          <w:p>
            <w:pPr>
              <w:spacing w:after="0"/>
              <w:rPr>
                <w:sz w:val="20"/>
                <w:szCs w:val="20"/>
                <w:color w:val="auto"/>
              </w:rPr>
            </w:pPr>
            <w:r>
              <w:rPr>
                <w:rFonts w:ascii="Arial" w:cs="Arial" w:eastAsia="Arial" w:hAnsi="Arial"/>
                <w:sz w:val="14"/>
                <w:szCs w:val="14"/>
                <w:color w:val="auto"/>
              </w:rPr>
              <w:t>L</w:t>
            </w:r>
            <w:r>
              <w:rPr>
                <w:rFonts w:ascii="Arial" w:cs="Arial" w:eastAsia="Arial" w:hAnsi="Arial"/>
                <w:sz w:val="11"/>
                <w:szCs w:val="11"/>
                <w:color w:val="auto"/>
              </w:rPr>
              <w:t>ONGVIEW</w:t>
            </w:r>
            <w:r>
              <w:rPr>
                <w:rFonts w:ascii="Arial" w:cs="Arial" w:eastAsia="Arial" w:hAnsi="Arial"/>
                <w:sz w:val="14"/>
                <w:szCs w:val="14"/>
                <w:color w:val="auto"/>
              </w:rPr>
              <w:t xml:space="preserve"> P</w:t>
            </w:r>
            <w:r>
              <w:rPr>
                <w:rFonts w:ascii="Arial" w:cs="Arial" w:eastAsia="Arial" w:hAnsi="Arial"/>
                <w:sz w:val="11"/>
                <w:szCs w:val="11"/>
                <w:color w:val="auto"/>
              </w:rPr>
              <w:t>OWER</w:t>
            </w:r>
            <w:r>
              <w:rPr>
                <w:rFonts w:ascii="Arial" w:cs="Arial" w:eastAsia="Arial" w:hAnsi="Arial"/>
                <w:sz w:val="14"/>
                <w:szCs w:val="14"/>
                <w:color w:val="auto"/>
              </w:rPr>
              <w:t>, L.L.C.</w:t>
            </w:r>
            <w:r>
              <w:rPr>
                <w:rFonts w:ascii="Arial" w:cs="Arial" w:eastAsia="Arial" w:hAnsi="Arial"/>
                <w:sz w:val="22"/>
                <w:szCs w:val="22"/>
                <w:color w:val="auto"/>
                <w:vertAlign w:val="superscript"/>
              </w:rPr>
              <w:t>(5)</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02/28/2014</w:t>
            </w:r>
          </w:p>
        </w:tc>
        <w:tc>
          <w:tcPr>
            <w:tcW w:w="1660" w:type="dxa"/>
            <w:vAlign w:val="bottom"/>
          </w:tcPr>
          <w:p>
            <w:pPr>
              <w:jc w:val="center"/>
              <w:spacing w:after="0"/>
              <w:rPr>
                <w:sz w:val="20"/>
                <w:szCs w:val="20"/>
                <w:color w:val="auto"/>
              </w:rPr>
            </w:pPr>
            <w:r>
              <w:rPr>
                <w:rFonts w:ascii="Arial" w:cs="Arial" w:eastAsia="Arial" w:hAnsi="Arial"/>
                <w:sz w:val="14"/>
                <w:szCs w:val="14"/>
                <w:color w:val="auto"/>
              </w:rPr>
              <w:t>U</w:t>
            </w:r>
            <w:r>
              <w:rPr>
                <w:rFonts w:ascii="Arial" w:cs="Arial" w:eastAsia="Arial" w:hAnsi="Arial"/>
                <w:sz w:val="11"/>
                <w:szCs w:val="11"/>
                <w:color w:val="auto"/>
              </w:rPr>
              <w:t>TILITIES</w:t>
            </w:r>
          </w:p>
        </w:tc>
        <w:tc>
          <w:tcPr>
            <w:tcW w:w="100" w:type="dxa"/>
            <w:vAlign w:val="bottom"/>
          </w:tcPr>
          <w:p>
            <w:pPr>
              <w:spacing w:after="0"/>
              <w:rPr>
                <w:sz w:val="24"/>
                <w:szCs w:val="24"/>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980,000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980,000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940,800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w:t>
            </w:r>
            <w:r>
              <w:rPr>
                <w:rFonts w:ascii="Arial" w:cs="Arial" w:eastAsia="Arial" w:hAnsi="Arial"/>
                <w:sz w:val="11"/>
                <w:szCs w:val="11"/>
                <w:color w:val="auto"/>
              </w:rPr>
              <w:t>ACH</w:t>
            </w:r>
            <w:r>
              <w:rPr>
                <w:rFonts w:ascii="Arial" w:cs="Arial" w:eastAsia="Arial" w:hAnsi="Arial"/>
                <w:sz w:val="14"/>
                <w:szCs w:val="14"/>
                <w:color w:val="auto"/>
              </w:rPr>
              <w:t xml:space="preserve"> G</w:t>
            </w:r>
            <w:r>
              <w:rPr>
                <w:rFonts w:ascii="Arial" w:cs="Arial" w:eastAsia="Arial" w:hAnsi="Arial"/>
                <w:sz w:val="11"/>
                <w:szCs w:val="11"/>
                <w:color w:val="auto"/>
              </w:rPr>
              <w:t>EN</w:t>
            </w:r>
            <w:r>
              <w:rPr>
                <w:rFonts w:ascii="Arial" w:cs="Arial" w:eastAsia="Arial" w:hAnsi="Arial"/>
                <w:sz w:val="14"/>
                <w:szCs w:val="14"/>
                <w:color w:val="auto"/>
              </w:rPr>
              <w:t>, L.L.C.</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02/22/2014</w:t>
            </w:r>
          </w:p>
        </w:tc>
        <w:tc>
          <w:tcPr>
            <w:tcW w:w="1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U</w:t>
            </w:r>
            <w:r>
              <w:rPr>
                <w:rFonts w:ascii="Arial" w:cs="Arial" w:eastAsia="Arial" w:hAnsi="Arial"/>
                <w:sz w:val="11"/>
                <w:szCs w:val="11"/>
                <w:color w:val="auto"/>
              </w:rPr>
              <w:t>TILITIES</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7.34%</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L+200</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3,972,813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3,971,545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3,845,683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560" w:type="dxa"/>
            <w:vAlign w:val="bottom"/>
            <w:gridSpan w:val="3"/>
          </w:tcPr>
          <w:p>
            <w:pPr>
              <w:spacing w:after="0"/>
              <w:rPr>
                <w:sz w:val="20"/>
                <w:szCs w:val="20"/>
                <w:color w:val="auto"/>
              </w:rPr>
            </w:pPr>
            <w:r>
              <w:rPr>
                <w:rFonts w:ascii="Arial" w:cs="Arial" w:eastAsia="Arial" w:hAnsi="Arial"/>
                <w:sz w:val="14"/>
                <w:szCs w:val="14"/>
                <w:color w:val="auto"/>
              </w:rPr>
              <w:t>M</w:t>
            </w:r>
            <w:r>
              <w:rPr>
                <w:rFonts w:ascii="Arial" w:cs="Arial" w:eastAsia="Arial" w:hAnsi="Arial"/>
                <w:sz w:val="11"/>
                <w:szCs w:val="11"/>
                <w:color w:val="auto"/>
              </w:rPr>
              <w:t>ATTRESS</w:t>
            </w:r>
            <w:r>
              <w:rPr>
                <w:rFonts w:ascii="Arial" w:cs="Arial" w:eastAsia="Arial" w:hAnsi="Arial"/>
                <w:sz w:val="14"/>
                <w:szCs w:val="14"/>
                <w:color w:val="auto"/>
              </w:rPr>
              <w:t xml:space="preserve"> H</w:t>
            </w:r>
            <w:r>
              <w:rPr>
                <w:rFonts w:ascii="Arial" w:cs="Arial" w:eastAsia="Arial" w:hAnsi="Arial"/>
                <w:sz w:val="11"/>
                <w:szCs w:val="11"/>
                <w:color w:val="auto"/>
              </w:rPr>
              <w:t>OLDING</w:t>
            </w:r>
            <w:r>
              <w:rPr>
                <w:rFonts w:ascii="Arial" w:cs="Arial" w:eastAsia="Arial" w:hAnsi="Arial"/>
                <w:sz w:val="14"/>
                <w:szCs w:val="14"/>
                <w:color w:val="auto"/>
              </w:rPr>
              <w:t xml:space="preserve"> C</w:t>
            </w:r>
            <w:r>
              <w:rPr>
                <w:rFonts w:ascii="Arial" w:cs="Arial" w:eastAsia="Arial" w:hAnsi="Arial"/>
                <w:sz w:val="11"/>
                <w:szCs w:val="11"/>
                <w:color w:val="auto"/>
              </w:rPr>
              <w:t>ORP</w:t>
            </w: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01/18/2014</w:t>
            </w:r>
          </w:p>
        </w:tc>
        <w:tc>
          <w:tcPr>
            <w:tcW w:w="1660" w:type="dxa"/>
            <w:vAlign w:val="bottom"/>
          </w:tcPr>
          <w:p>
            <w:pPr>
              <w:jc w:val="center"/>
              <w:spacing w:after="0"/>
              <w:rPr>
                <w:sz w:val="20"/>
                <w:szCs w:val="20"/>
                <w:color w:val="auto"/>
              </w:rPr>
            </w:pPr>
            <w:r>
              <w:rPr>
                <w:rFonts w:ascii="Arial" w:cs="Arial" w:eastAsia="Arial" w:hAnsi="Arial"/>
                <w:sz w:val="14"/>
                <w:szCs w:val="14"/>
                <w:color w:val="auto"/>
                <w:w w:val="98"/>
              </w:rPr>
              <w:t>H</w:t>
            </w:r>
            <w:r>
              <w:rPr>
                <w:rFonts w:ascii="Arial" w:cs="Arial" w:eastAsia="Arial" w:hAnsi="Arial"/>
                <w:sz w:val="11"/>
                <w:szCs w:val="11"/>
                <w:color w:val="auto"/>
                <w:w w:val="98"/>
              </w:rPr>
              <w:t>OME AND</w:t>
            </w:r>
            <w:r>
              <w:rPr>
                <w:rFonts w:ascii="Arial" w:cs="Arial" w:eastAsia="Arial" w:hAnsi="Arial"/>
                <w:sz w:val="14"/>
                <w:szCs w:val="14"/>
                <w:color w:val="auto"/>
                <w:w w:val="98"/>
              </w:rPr>
              <w:t xml:space="preserve"> O</w:t>
            </w:r>
            <w:r>
              <w:rPr>
                <w:rFonts w:ascii="Arial" w:cs="Arial" w:eastAsia="Arial" w:hAnsi="Arial"/>
                <w:sz w:val="11"/>
                <w:szCs w:val="11"/>
                <w:color w:val="auto"/>
                <w:w w:val="98"/>
              </w:rPr>
              <w:t>FFICE</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7.61%</w:t>
            </w:r>
          </w:p>
        </w:tc>
        <w:tc>
          <w:tcPr>
            <w:tcW w:w="10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4"/>
                <w:szCs w:val="14"/>
                <w:color w:val="auto"/>
              </w:rPr>
              <w:t>L+225</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3,990,000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3,990,000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3,740,625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color w:val="auto"/>
                <w:w w:val="98"/>
              </w:rPr>
              <w:t>F</w:t>
            </w:r>
            <w:r>
              <w:rPr>
                <w:rFonts w:ascii="Arial" w:cs="Arial" w:eastAsia="Arial" w:hAnsi="Arial"/>
                <w:sz w:val="11"/>
                <w:szCs w:val="11"/>
                <w:color w:val="auto"/>
                <w:w w:val="98"/>
              </w:rPr>
              <w:t>URNISHINGS</w:t>
            </w:r>
            <w:r>
              <w:rPr>
                <w:rFonts w:ascii="Arial" w:cs="Arial" w:eastAsia="Arial" w:hAnsi="Arial"/>
                <w:sz w:val="14"/>
                <w:szCs w:val="14"/>
                <w:color w:val="auto"/>
                <w:w w:val="98"/>
              </w:rPr>
              <w:t>,</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color w:val="auto"/>
                <w:w w:val="95"/>
              </w:rPr>
              <w:t>H</w:t>
            </w:r>
            <w:r>
              <w:rPr>
                <w:rFonts w:ascii="Arial" w:cs="Arial" w:eastAsia="Arial" w:hAnsi="Arial"/>
                <w:sz w:val="11"/>
                <w:szCs w:val="11"/>
                <w:color w:val="auto"/>
                <w:w w:val="95"/>
              </w:rPr>
              <w:t>OUSEWARES</w:t>
            </w:r>
            <w:r>
              <w:rPr>
                <w:rFonts w:ascii="Arial" w:cs="Arial" w:eastAsia="Arial" w:hAnsi="Arial"/>
                <w:sz w:val="14"/>
                <w:szCs w:val="14"/>
                <w:color w:val="auto"/>
                <w:w w:val="95"/>
              </w:rPr>
              <w:t xml:space="preserve">, </w:t>
            </w:r>
            <w:r>
              <w:rPr>
                <w:rFonts w:ascii="Arial" w:cs="Arial" w:eastAsia="Arial" w:hAnsi="Arial"/>
                <w:sz w:val="11"/>
                <w:szCs w:val="11"/>
                <w:color w:val="auto"/>
                <w:w w:val="95"/>
              </w:rPr>
              <w:t>AND</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color w:val="auto"/>
                <w:w w:val="98"/>
              </w:rPr>
              <w:t>D</w:t>
            </w:r>
            <w:r>
              <w:rPr>
                <w:rFonts w:ascii="Arial" w:cs="Arial" w:eastAsia="Arial" w:hAnsi="Arial"/>
                <w:sz w:val="11"/>
                <w:szCs w:val="11"/>
                <w:color w:val="auto"/>
                <w:w w:val="98"/>
              </w:rPr>
              <w:t>URABLE</w:t>
            </w:r>
            <w:r>
              <w:rPr>
                <w:rFonts w:ascii="Arial" w:cs="Arial" w:eastAsia="Arial" w:hAnsi="Arial"/>
                <w:sz w:val="14"/>
                <w:szCs w:val="14"/>
                <w:color w:val="auto"/>
                <w:w w:val="98"/>
              </w:rPr>
              <w:t xml:space="preserve"> C</w:t>
            </w:r>
            <w:r>
              <w:rPr>
                <w:rFonts w:ascii="Arial" w:cs="Arial" w:eastAsia="Arial" w:hAnsi="Arial"/>
                <w:sz w:val="11"/>
                <w:szCs w:val="11"/>
                <w:color w:val="auto"/>
                <w:w w:val="98"/>
              </w:rPr>
              <w:t>ONSUMER</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w w:val="94"/>
              </w:rPr>
              <w:t>P</w:t>
            </w:r>
            <w:r>
              <w:rPr>
                <w:rFonts w:ascii="Arial" w:cs="Arial" w:eastAsia="Arial" w:hAnsi="Arial"/>
                <w:sz w:val="11"/>
                <w:szCs w:val="11"/>
                <w:color w:val="auto"/>
                <w:w w:val="94"/>
              </w:rPr>
              <w:t>RODUCTS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3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w:t>
            </w:r>
            <w:r>
              <w:rPr>
                <w:rFonts w:ascii="Arial" w:cs="Arial" w:eastAsia="Arial" w:hAnsi="Arial"/>
                <w:sz w:val="11"/>
                <w:szCs w:val="11"/>
                <w:color w:val="auto"/>
              </w:rPr>
              <w:t>C</w:t>
            </w:r>
            <w:r>
              <w:rPr>
                <w:rFonts w:ascii="Arial" w:cs="Arial" w:eastAsia="Arial" w:hAnsi="Arial"/>
                <w:sz w:val="14"/>
                <w:szCs w:val="14"/>
                <w:color w:val="auto"/>
              </w:rPr>
              <w:t>J</w:t>
            </w:r>
            <w:r>
              <w:rPr>
                <w:rFonts w:ascii="Arial" w:cs="Arial" w:eastAsia="Arial" w:hAnsi="Arial"/>
                <w:sz w:val="11"/>
                <w:szCs w:val="11"/>
                <w:color w:val="auto"/>
              </w:rPr>
              <w:t>UNKIN</w:t>
            </w:r>
            <w:r>
              <w:rPr>
                <w:rFonts w:ascii="Arial" w:cs="Arial" w:eastAsia="Arial" w:hAnsi="Arial"/>
                <w:sz w:val="14"/>
                <w:szCs w:val="14"/>
                <w:color w:val="auto"/>
              </w:rPr>
              <w:t xml:space="preserve"> C</w:t>
            </w:r>
            <w:r>
              <w:rPr>
                <w:rFonts w:ascii="Arial" w:cs="Arial" w:eastAsia="Arial" w:hAnsi="Arial"/>
                <w:sz w:val="11"/>
                <w:szCs w:val="11"/>
                <w:color w:val="auto"/>
              </w:rPr>
              <w:t>ORP</w:t>
            </w: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01/31/2014</w:t>
            </w:r>
          </w:p>
        </w:tc>
        <w:tc>
          <w:tcPr>
            <w:tcW w:w="1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O</w:t>
            </w:r>
            <w:r>
              <w:rPr>
                <w:rFonts w:ascii="Arial" w:cs="Arial" w:eastAsia="Arial" w:hAnsi="Arial"/>
                <w:sz w:val="11"/>
                <w:szCs w:val="11"/>
                <w:color w:val="auto"/>
              </w:rPr>
              <w:t>IL AND</w:t>
            </w:r>
            <w:r>
              <w:rPr>
                <w:rFonts w:ascii="Arial" w:cs="Arial" w:eastAsia="Arial" w:hAnsi="Arial"/>
                <w:sz w:val="14"/>
                <w:szCs w:val="14"/>
                <w:color w:val="auto"/>
              </w:rPr>
              <w:t xml:space="preserve"> G</w:t>
            </w:r>
            <w:r>
              <w:rPr>
                <w:rFonts w:ascii="Arial" w:cs="Arial" w:eastAsia="Arial" w:hAnsi="Arial"/>
                <w:sz w:val="11"/>
                <w:szCs w:val="11"/>
                <w:color w:val="auto"/>
              </w:rPr>
              <w:t>AS</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7.45%</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L+225</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982,525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982,525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965,331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560" w:type="dxa"/>
            <w:vAlign w:val="bottom"/>
            <w:gridSpan w:val="3"/>
          </w:tcPr>
          <w:p>
            <w:pPr>
              <w:spacing w:after="0"/>
              <w:rPr>
                <w:sz w:val="20"/>
                <w:szCs w:val="20"/>
                <w:color w:val="auto"/>
              </w:rPr>
            </w:pPr>
            <w:r>
              <w:rPr>
                <w:rFonts w:ascii="Arial" w:cs="Arial" w:eastAsia="Arial" w:hAnsi="Arial"/>
                <w:sz w:val="14"/>
                <w:szCs w:val="14"/>
                <w:color w:val="auto"/>
              </w:rPr>
              <w:t>M</w:t>
            </w:r>
            <w:r>
              <w:rPr>
                <w:rFonts w:ascii="Arial" w:cs="Arial" w:eastAsia="Arial" w:hAnsi="Arial"/>
                <w:sz w:val="11"/>
                <w:szCs w:val="11"/>
                <w:color w:val="auto"/>
              </w:rPr>
              <w:t>ITCHELL</w:t>
            </w:r>
            <w:r>
              <w:rPr>
                <w:rFonts w:ascii="Arial" w:cs="Arial" w:eastAsia="Arial" w:hAnsi="Arial"/>
                <w:sz w:val="14"/>
                <w:szCs w:val="14"/>
                <w:color w:val="auto"/>
              </w:rPr>
              <w:t xml:space="preserve"> I</w:t>
            </w:r>
            <w:r>
              <w:rPr>
                <w:rFonts w:ascii="Arial" w:cs="Arial" w:eastAsia="Arial" w:hAnsi="Arial"/>
                <w:sz w:val="11"/>
                <w:szCs w:val="11"/>
                <w:color w:val="auto"/>
              </w:rPr>
              <w:t>NTERNATIONAL</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03/28/2014</w:t>
            </w:r>
          </w:p>
        </w:tc>
        <w:tc>
          <w:tcPr>
            <w:tcW w:w="1660" w:type="dxa"/>
            <w:vAlign w:val="bottom"/>
          </w:tcPr>
          <w:p>
            <w:pPr>
              <w:jc w:val="center"/>
              <w:spacing w:after="0"/>
              <w:rPr>
                <w:sz w:val="20"/>
                <w:szCs w:val="20"/>
                <w:color w:val="auto"/>
              </w:rPr>
            </w:pPr>
            <w:r>
              <w:rPr>
                <w:rFonts w:ascii="Arial" w:cs="Arial" w:eastAsia="Arial" w:hAnsi="Arial"/>
                <w:sz w:val="14"/>
                <w:szCs w:val="14"/>
                <w:color w:val="auto"/>
                <w:w w:val="93"/>
              </w:rPr>
              <w:t>B</w:t>
            </w:r>
            <w:r>
              <w:rPr>
                <w:rFonts w:ascii="Arial" w:cs="Arial" w:eastAsia="Arial" w:hAnsi="Arial"/>
                <w:sz w:val="11"/>
                <w:szCs w:val="11"/>
                <w:color w:val="auto"/>
                <w:w w:val="93"/>
              </w:rPr>
              <w:t>USINESS</w:t>
            </w:r>
            <w:r>
              <w:rPr>
                <w:rFonts w:ascii="Arial" w:cs="Arial" w:eastAsia="Arial" w:hAnsi="Arial"/>
                <w:sz w:val="14"/>
                <w:szCs w:val="14"/>
                <w:color w:val="auto"/>
                <w:w w:val="93"/>
              </w:rPr>
              <w:t xml:space="preserve"> S</w:t>
            </w:r>
            <w:r>
              <w:rPr>
                <w:rFonts w:ascii="Arial" w:cs="Arial" w:eastAsia="Arial" w:hAnsi="Arial"/>
                <w:sz w:val="11"/>
                <w:szCs w:val="11"/>
                <w:color w:val="auto"/>
                <w:w w:val="93"/>
              </w:rPr>
              <w:t>ERVICES</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7.20%</w:t>
            </w:r>
          </w:p>
        </w:tc>
        <w:tc>
          <w:tcPr>
            <w:tcW w:w="100" w:type="dxa"/>
            <w:vAlign w:val="bottom"/>
          </w:tcPr>
          <w:p>
            <w:pPr>
              <w:spacing w:after="0"/>
              <w:rPr>
                <w:sz w:val="19"/>
                <w:szCs w:val="19"/>
                <w:color w:val="auto"/>
              </w:rPr>
            </w:pPr>
          </w:p>
        </w:tc>
        <w:tc>
          <w:tcPr>
            <w:tcW w:w="700" w:type="dxa"/>
            <w:vAlign w:val="bottom"/>
            <w:gridSpan w:val="2"/>
          </w:tcPr>
          <w:p>
            <w:pPr>
              <w:ind w:left="240"/>
              <w:spacing w:after="0"/>
              <w:rPr>
                <w:sz w:val="20"/>
                <w:szCs w:val="20"/>
                <w:color w:val="auto"/>
              </w:rPr>
            </w:pPr>
            <w:r>
              <w:rPr>
                <w:rFonts w:ascii="Arial" w:cs="Arial" w:eastAsia="Arial" w:hAnsi="Arial"/>
                <w:sz w:val="14"/>
                <w:szCs w:val="14"/>
                <w:color w:val="auto"/>
              </w:rPr>
              <w:t>L+200</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3,980,000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3,980,000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3,835,725</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40" w:type="dxa"/>
            <w:vAlign w:val="bottom"/>
          </w:tcPr>
          <w:p>
            <w:pPr>
              <w:spacing w:after="0"/>
              <w:rPr>
                <w:sz w:val="4"/>
                <w:szCs w:val="4"/>
                <w:color w:val="auto"/>
              </w:rPr>
            </w:pPr>
          </w:p>
        </w:tc>
        <w:tc>
          <w:tcPr>
            <w:tcW w:w="3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5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w:t>
            </w:r>
            <w:r>
              <w:rPr>
                <w:rFonts w:ascii="Arial" w:cs="Arial" w:eastAsia="Arial" w:hAnsi="Arial"/>
                <w:sz w:val="11"/>
                <w:szCs w:val="11"/>
                <w:color w:val="auto"/>
              </w:rPr>
              <w:t>ATIONAL</w:t>
            </w:r>
            <w:r>
              <w:rPr>
                <w:rFonts w:ascii="Arial" w:cs="Arial" w:eastAsia="Arial" w:hAnsi="Arial"/>
                <w:sz w:val="14"/>
                <w:szCs w:val="14"/>
                <w:color w:val="auto"/>
              </w:rPr>
              <w:t xml:space="preserve"> B</w:t>
            </w:r>
            <w:r>
              <w:rPr>
                <w:rFonts w:ascii="Arial" w:cs="Arial" w:eastAsia="Arial" w:hAnsi="Arial"/>
                <w:sz w:val="11"/>
                <w:szCs w:val="11"/>
                <w:color w:val="auto"/>
              </w:rPr>
              <w:t>EDDING</w:t>
            </w:r>
            <w:r>
              <w:rPr>
                <w:rFonts w:ascii="Arial" w:cs="Arial" w:eastAsia="Arial" w:hAnsi="Arial"/>
                <w:sz w:val="14"/>
                <w:szCs w:val="14"/>
                <w:color w:val="auto"/>
              </w:rPr>
              <w:t xml:space="preserve"> C</w:t>
            </w:r>
            <w:r>
              <w:rPr>
                <w:rFonts w:ascii="Arial" w:cs="Arial" w:eastAsia="Arial" w:hAnsi="Arial"/>
                <w:sz w:val="11"/>
                <w:szCs w:val="11"/>
                <w:color w:val="auto"/>
              </w:rPr>
              <w:t>O</w:t>
            </w:r>
            <w:r>
              <w:rPr>
                <w:rFonts w:ascii="Arial" w:cs="Arial" w:eastAsia="Arial" w:hAnsi="Arial"/>
                <w:sz w:val="14"/>
                <w:szCs w:val="14"/>
                <w:color w:val="auto"/>
              </w:rPr>
              <w:t>., L.L.C.</w:t>
            </w:r>
          </w:p>
        </w:tc>
        <w:tc>
          <w:tcPr>
            <w:tcW w:w="9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08/31/2011</w:t>
            </w:r>
          </w:p>
        </w:tc>
        <w:tc>
          <w:tcPr>
            <w:tcW w:w="16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8"/>
              </w:rPr>
              <w:t>H</w:t>
            </w:r>
            <w:r>
              <w:rPr>
                <w:rFonts w:ascii="Arial" w:cs="Arial" w:eastAsia="Arial" w:hAnsi="Arial"/>
                <w:sz w:val="11"/>
                <w:szCs w:val="11"/>
                <w:color w:val="auto"/>
                <w:w w:val="98"/>
              </w:rPr>
              <w:t>OME AND</w:t>
            </w:r>
            <w:r>
              <w:rPr>
                <w:rFonts w:ascii="Arial" w:cs="Arial" w:eastAsia="Arial" w:hAnsi="Arial"/>
                <w:sz w:val="14"/>
                <w:szCs w:val="14"/>
                <w:color w:val="auto"/>
                <w:w w:val="98"/>
              </w:rPr>
              <w:t xml:space="preserve"> O</w:t>
            </w:r>
            <w:r>
              <w:rPr>
                <w:rFonts w:ascii="Arial" w:cs="Arial" w:eastAsia="Arial" w:hAnsi="Arial"/>
                <w:sz w:val="11"/>
                <w:szCs w:val="11"/>
                <w:color w:val="auto"/>
                <w:w w:val="98"/>
              </w:rPr>
              <w:t>FFICE</w:t>
            </w:r>
          </w:p>
        </w:tc>
        <w:tc>
          <w:tcPr>
            <w:tcW w:w="7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7.43%</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240"/>
              <w:spacing w:after="0" w:line="138" w:lineRule="exact"/>
              <w:rPr>
                <w:sz w:val="20"/>
                <w:szCs w:val="20"/>
                <w:color w:val="auto"/>
              </w:rPr>
            </w:pPr>
            <w:r>
              <w:rPr>
                <w:rFonts w:ascii="Arial" w:cs="Arial" w:eastAsia="Arial" w:hAnsi="Arial"/>
                <w:sz w:val="14"/>
                <w:szCs w:val="14"/>
                <w:color w:val="auto"/>
              </w:rPr>
              <w:t>L+200</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6,965,000</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6,971,653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6,668,988</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F</w:t>
            </w:r>
            <w:r>
              <w:rPr>
                <w:rFonts w:ascii="Arial" w:cs="Arial" w:eastAsia="Arial" w:hAnsi="Arial"/>
                <w:sz w:val="11"/>
                <w:szCs w:val="11"/>
                <w:color w:val="auto"/>
                <w:w w:val="98"/>
              </w:rPr>
              <w:t>URNISHINGS</w:t>
            </w:r>
            <w:r>
              <w:rPr>
                <w:rFonts w:ascii="Arial" w:cs="Arial" w:eastAsia="Arial" w:hAnsi="Arial"/>
                <w:sz w:val="14"/>
                <w:szCs w:val="14"/>
                <w:color w:val="auto"/>
                <w:w w:val="98"/>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H</w:t>
            </w:r>
            <w:r>
              <w:rPr>
                <w:rFonts w:ascii="Arial" w:cs="Arial" w:eastAsia="Arial" w:hAnsi="Arial"/>
                <w:sz w:val="11"/>
                <w:szCs w:val="11"/>
                <w:color w:val="auto"/>
                <w:w w:val="95"/>
              </w:rPr>
              <w:t>OUSEWARES</w:t>
            </w:r>
            <w:r>
              <w:rPr>
                <w:rFonts w:ascii="Arial" w:cs="Arial" w:eastAsia="Arial" w:hAnsi="Arial"/>
                <w:sz w:val="14"/>
                <w:szCs w:val="14"/>
                <w:color w:val="auto"/>
                <w:w w:val="95"/>
              </w:rPr>
              <w:t xml:space="preserve">, </w:t>
            </w:r>
            <w:r>
              <w:rPr>
                <w:rFonts w:ascii="Arial" w:cs="Arial" w:eastAsia="Arial" w:hAnsi="Arial"/>
                <w:sz w:val="11"/>
                <w:szCs w:val="11"/>
                <w:color w:val="auto"/>
                <w:w w:val="95"/>
              </w:rPr>
              <w:t>AND</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D</w:t>
            </w:r>
            <w:r>
              <w:rPr>
                <w:rFonts w:ascii="Arial" w:cs="Arial" w:eastAsia="Arial" w:hAnsi="Arial"/>
                <w:sz w:val="11"/>
                <w:szCs w:val="11"/>
                <w:color w:val="auto"/>
                <w:w w:val="98"/>
              </w:rPr>
              <w:t>URABLE</w:t>
            </w:r>
            <w:r>
              <w:rPr>
                <w:rFonts w:ascii="Arial" w:cs="Arial" w:eastAsia="Arial" w:hAnsi="Arial"/>
                <w:sz w:val="14"/>
                <w:szCs w:val="14"/>
                <w:color w:val="auto"/>
                <w:w w:val="98"/>
              </w:rPr>
              <w:t xml:space="preserve"> C</w:t>
            </w:r>
            <w:r>
              <w:rPr>
                <w:rFonts w:ascii="Arial" w:cs="Arial" w:eastAsia="Arial" w:hAnsi="Arial"/>
                <w:sz w:val="11"/>
                <w:szCs w:val="11"/>
                <w:color w:val="auto"/>
                <w:w w:val="98"/>
              </w:rPr>
              <w:t>ONSUMER</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8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4"/>
              </w:rPr>
              <w:t>P</w:t>
            </w:r>
            <w:r>
              <w:rPr>
                <w:rFonts w:ascii="Arial" w:cs="Arial" w:eastAsia="Arial" w:hAnsi="Arial"/>
                <w:sz w:val="11"/>
                <w:szCs w:val="11"/>
                <w:color w:val="auto"/>
                <w:w w:val="94"/>
              </w:rPr>
              <w:t>RODUCTS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560" w:type="dxa"/>
            <w:vAlign w:val="bottom"/>
            <w:gridSpan w:val="3"/>
          </w:tcPr>
          <w:p>
            <w:pPr>
              <w:spacing w:after="0"/>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ENTON</w:t>
            </w:r>
            <w:r>
              <w:rPr>
                <w:rFonts w:ascii="Arial" w:cs="Arial" w:eastAsia="Arial" w:hAnsi="Arial"/>
                <w:sz w:val="14"/>
                <w:szCs w:val="14"/>
                <w:color w:val="auto"/>
              </w:rPr>
              <w:t xml:space="preserve"> M</w:t>
            </w:r>
            <w:r>
              <w:rPr>
                <w:rFonts w:ascii="Arial" w:cs="Arial" w:eastAsia="Arial" w:hAnsi="Arial"/>
                <w:sz w:val="11"/>
                <w:szCs w:val="11"/>
                <w:color w:val="auto"/>
              </w:rPr>
              <w:t>EDIA</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02/01/2013</w:t>
            </w:r>
          </w:p>
        </w:tc>
        <w:tc>
          <w:tcPr>
            <w:tcW w:w="1660" w:type="dxa"/>
            <w:vAlign w:val="bottom"/>
          </w:tcPr>
          <w:p>
            <w:pPr>
              <w:jc w:val="center"/>
              <w:spacing w:after="0"/>
              <w:rPr>
                <w:sz w:val="20"/>
                <w:szCs w:val="20"/>
                <w:color w:val="auto"/>
              </w:rPr>
            </w:pPr>
            <w:r>
              <w:rPr>
                <w:rFonts w:ascii="Arial" w:cs="Arial" w:eastAsia="Arial" w:hAnsi="Arial"/>
                <w:sz w:val="14"/>
                <w:szCs w:val="14"/>
                <w:color w:val="auto"/>
                <w:w w:val="97"/>
              </w:rPr>
              <w:t>O</w:t>
            </w:r>
            <w:r>
              <w:rPr>
                <w:rFonts w:ascii="Arial" w:cs="Arial" w:eastAsia="Arial" w:hAnsi="Arial"/>
                <w:sz w:val="11"/>
                <w:szCs w:val="11"/>
                <w:color w:val="auto"/>
                <w:w w:val="97"/>
              </w:rPr>
              <w:t>THER</w:t>
            </w:r>
            <w:r>
              <w:rPr>
                <w:rFonts w:ascii="Arial" w:cs="Arial" w:eastAsia="Arial" w:hAnsi="Arial"/>
                <w:sz w:val="14"/>
                <w:szCs w:val="14"/>
                <w:color w:val="auto"/>
                <w:w w:val="97"/>
              </w:rPr>
              <w:t xml:space="preserve"> M</w:t>
            </w:r>
            <w:r>
              <w:rPr>
                <w:rFonts w:ascii="Arial" w:cs="Arial" w:eastAsia="Arial" w:hAnsi="Arial"/>
                <w:sz w:val="11"/>
                <w:szCs w:val="11"/>
                <w:color w:val="auto"/>
                <w:w w:val="97"/>
              </w:rPr>
              <w:t>EDIA</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7.59%</w:t>
            </w:r>
          </w:p>
        </w:tc>
        <w:tc>
          <w:tcPr>
            <w:tcW w:w="100" w:type="dxa"/>
            <w:vAlign w:val="bottom"/>
          </w:tcPr>
          <w:p>
            <w:pPr>
              <w:spacing w:after="0"/>
              <w:rPr>
                <w:sz w:val="19"/>
                <w:szCs w:val="19"/>
                <w:color w:val="auto"/>
              </w:rPr>
            </w:pPr>
          </w:p>
        </w:tc>
        <w:tc>
          <w:tcPr>
            <w:tcW w:w="700" w:type="dxa"/>
            <w:vAlign w:val="bottom"/>
            <w:gridSpan w:val="2"/>
          </w:tcPr>
          <w:p>
            <w:pPr>
              <w:ind w:left="240"/>
              <w:spacing w:after="0"/>
              <w:rPr>
                <w:sz w:val="20"/>
                <w:szCs w:val="20"/>
                <w:color w:val="auto"/>
              </w:rPr>
            </w:pPr>
            <w:r>
              <w:rPr>
                <w:rFonts w:ascii="Arial" w:cs="Arial" w:eastAsia="Arial" w:hAnsi="Arial"/>
                <w:sz w:val="14"/>
                <w:szCs w:val="14"/>
                <w:color w:val="auto"/>
              </w:rPr>
              <w:t>L+225</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4,975,000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4,975,000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4,716,922</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40" w:type="dxa"/>
            <w:vAlign w:val="bottom"/>
          </w:tcPr>
          <w:p>
            <w:pPr>
              <w:spacing w:after="0"/>
              <w:rPr>
                <w:sz w:val="4"/>
                <w:szCs w:val="4"/>
                <w:color w:val="auto"/>
              </w:rPr>
            </w:pPr>
          </w:p>
        </w:tc>
        <w:tc>
          <w:tcPr>
            <w:tcW w:w="3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HILOSOPHY</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03/16/2014</w:t>
            </w:r>
          </w:p>
        </w:tc>
        <w:tc>
          <w:tcPr>
            <w:tcW w:w="1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C</w:t>
            </w:r>
            <w:r>
              <w:rPr>
                <w:rFonts w:ascii="Arial" w:cs="Arial" w:eastAsia="Arial" w:hAnsi="Arial"/>
                <w:sz w:val="11"/>
                <w:szCs w:val="11"/>
                <w:color w:val="auto"/>
                <w:w w:val="95"/>
              </w:rPr>
              <w:t>ONSUMER</w:t>
            </w:r>
            <w:r>
              <w:rPr>
                <w:rFonts w:ascii="Arial" w:cs="Arial" w:eastAsia="Arial" w:hAnsi="Arial"/>
                <w:sz w:val="14"/>
                <w:szCs w:val="14"/>
                <w:color w:val="auto"/>
                <w:w w:val="95"/>
              </w:rPr>
              <w:t xml:space="preserve"> P</w:t>
            </w:r>
            <w:r>
              <w:rPr>
                <w:rFonts w:ascii="Arial" w:cs="Arial" w:eastAsia="Arial" w:hAnsi="Arial"/>
                <w:sz w:val="11"/>
                <w:szCs w:val="11"/>
                <w:color w:val="auto"/>
                <w:w w:val="95"/>
              </w:rPr>
              <w:t>RODUCTS</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7.36%</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L+200</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1,493,333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1,493,333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1,344,000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560" w:type="dxa"/>
            <w:vAlign w:val="bottom"/>
            <w:gridSpan w:val="3"/>
          </w:tcPr>
          <w:p>
            <w:pPr>
              <w:spacing w:after="0"/>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ROQUEST</w:t>
            </w:r>
            <w:r>
              <w:rPr>
                <w:rFonts w:ascii="Arial" w:cs="Arial" w:eastAsia="Arial" w:hAnsi="Arial"/>
                <w:sz w:val="14"/>
                <w:szCs w:val="14"/>
                <w:color w:val="auto"/>
              </w:rPr>
              <w:t xml:space="preserve"> C</w:t>
            </w:r>
            <w:r>
              <w:rPr>
                <w:rFonts w:ascii="Arial" w:cs="Arial" w:eastAsia="Arial" w:hAnsi="Arial"/>
                <w:sz w:val="11"/>
                <w:szCs w:val="11"/>
                <w:color w:val="auto"/>
              </w:rPr>
              <w:t>SA</w:t>
            </w:r>
            <w:r>
              <w:rPr>
                <w:rFonts w:ascii="Arial" w:cs="Arial" w:eastAsia="Arial" w:hAnsi="Arial"/>
                <w:sz w:val="14"/>
                <w:szCs w:val="14"/>
                <w:color w:val="auto"/>
              </w:rPr>
              <w:t>, L.L.C.</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02/09/2014</w:t>
            </w:r>
          </w:p>
        </w:tc>
        <w:tc>
          <w:tcPr>
            <w:tcW w:w="1660" w:type="dxa"/>
            <w:vAlign w:val="bottom"/>
          </w:tcPr>
          <w:p>
            <w:pPr>
              <w:jc w:val="center"/>
              <w:spacing w:after="0"/>
              <w:rPr>
                <w:sz w:val="20"/>
                <w:szCs w:val="20"/>
                <w:color w:val="auto"/>
              </w:rPr>
            </w:pPr>
            <w:r>
              <w:rPr>
                <w:rFonts w:ascii="Arial" w:cs="Arial" w:eastAsia="Arial" w:hAnsi="Arial"/>
                <w:sz w:val="14"/>
                <w:szCs w:val="14"/>
                <w:color w:val="auto"/>
                <w:w w:val="95"/>
              </w:rPr>
              <w:t>E</w:t>
            </w:r>
            <w:r>
              <w:rPr>
                <w:rFonts w:ascii="Arial" w:cs="Arial" w:eastAsia="Arial" w:hAnsi="Arial"/>
                <w:sz w:val="11"/>
                <w:szCs w:val="11"/>
                <w:color w:val="auto"/>
                <w:w w:val="95"/>
              </w:rPr>
              <w:t>DUCATION</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8.20%</w:t>
            </w:r>
          </w:p>
        </w:tc>
        <w:tc>
          <w:tcPr>
            <w:tcW w:w="100" w:type="dxa"/>
            <w:vAlign w:val="bottom"/>
          </w:tcPr>
          <w:p>
            <w:pPr>
              <w:spacing w:after="0"/>
              <w:rPr>
                <w:sz w:val="19"/>
                <w:szCs w:val="19"/>
                <w:color w:val="auto"/>
              </w:rPr>
            </w:pPr>
          </w:p>
        </w:tc>
        <w:tc>
          <w:tcPr>
            <w:tcW w:w="700" w:type="dxa"/>
            <w:vAlign w:val="bottom"/>
            <w:gridSpan w:val="2"/>
          </w:tcPr>
          <w:p>
            <w:pPr>
              <w:ind w:left="240"/>
              <w:spacing w:after="0"/>
              <w:rPr>
                <w:sz w:val="20"/>
                <w:szCs w:val="20"/>
                <w:color w:val="auto"/>
              </w:rPr>
            </w:pPr>
            <w:r>
              <w:rPr>
                <w:rFonts w:ascii="Arial" w:cs="Arial" w:eastAsia="Arial" w:hAnsi="Arial"/>
                <w:sz w:val="14"/>
                <w:szCs w:val="14"/>
                <w:color w:val="auto"/>
              </w:rPr>
              <w:t>L+300</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955,833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955,833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936,716</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40" w:type="dxa"/>
            <w:vAlign w:val="bottom"/>
          </w:tcPr>
          <w:p>
            <w:pPr>
              <w:spacing w:after="0"/>
              <w:rPr>
                <w:sz w:val="4"/>
                <w:szCs w:val="4"/>
                <w:color w:val="auto"/>
              </w:rPr>
            </w:pPr>
          </w:p>
        </w:tc>
        <w:tc>
          <w:tcPr>
            <w:tcW w:w="3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w:t>
            </w:r>
            <w:r>
              <w:rPr>
                <w:rFonts w:ascii="Arial" w:cs="Arial" w:eastAsia="Arial" w:hAnsi="Arial"/>
                <w:sz w:val="11"/>
                <w:szCs w:val="11"/>
                <w:color w:val="auto"/>
              </w:rPr>
              <w:t>UESTEX</w:t>
            </w:r>
            <w:r>
              <w:rPr>
                <w:rFonts w:ascii="Arial" w:cs="Arial" w:eastAsia="Arial" w:hAnsi="Arial"/>
                <w:sz w:val="14"/>
                <w:szCs w:val="14"/>
                <w:color w:val="auto"/>
              </w:rPr>
              <w:t xml:space="preserve"> M</w:t>
            </w:r>
            <w:r>
              <w:rPr>
                <w:rFonts w:ascii="Arial" w:cs="Arial" w:eastAsia="Arial" w:hAnsi="Arial"/>
                <w:sz w:val="11"/>
                <w:szCs w:val="11"/>
                <w:color w:val="auto"/>
              </w:rPr>
              <w:t>EDIA</w:t>
            </w:r>
            <w:r>
              <w:rPr>
                <w:rFonts w:ascii="Arial" w:cs="Arial" w:eastAsia="Arial" w:hAnsi="Arial"/>
                <w:sz w:val="14"/>
                <w:szCs w:val="14"/>
                <w:color w:val="auto"/>
              </w:rPr>
              <w:t xml:space="preserve"> G</w:t>
            </w:r>
            <w:r>
              <w:rPr>
                <w:rFonts w:ascii="Arial" w:cs="Arial" w:eastAsia="Arial" w:hAnsi="Arial"/>
                <w:sz w:val="11"/>
                <w:szCs w:val="11"/>
                <w:color w:val="auto"/>
              </w:rPr>
              <w:t>ROUP</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05/04/2014</w:t>
            </w:r>
          </w:p>
        </w:tc>
        <w:tc>
          <w:tcPr>
            <w:tcW w:w="1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O</w:t>
            </w:r>
            <w:r>
              <w:rPr>
                <w:rFonts w:ascii="Arial" w:cs="Arial" w:eastAsia="Arial" w:hAnsi="Arial"/>
                <w:sz w:val="11"/>
                <w:szCs w:val="11"/>
                <w:color w:val="auto"/>
                <w:w w:val="97"/>
              </w:rPr>
              <w:t>THER</w:t>
            </w:r>
            <w:r>
              <w:rPr>
                <w:rFonts w:ascii="Arial" w:cs="Arial" w:eastAsia="Arial" w:hAnsi="Arial"/>
                <w:sz w:val="14"/>
                <w:szCs w:val="14"/>
                <w:color w:val="auto"/>
                <w:w w:val="97"/>
              </w:rPr>
              <w:t xml:space="preserve"> M</w:t>
            </w:r>
            <w:r>
              <w:rPr>
                <w:rFonts w:ascii="Arial" w:cs="Arial" w:eastAsia="Arial" w:hAnsi="Arial"/>
                <w:sz w:val="11"/>
                <w:szCs w:val="11"/>
                <w:color w:val="auto"/>
                <w:w w:val="97"/>
              </w:rPr>
              <w:t>EDIA</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8.56%</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L+300</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4,974,167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4,974,167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4,839,742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560" w:type="dxa"/>
            <w:vAlign w:val="bottom"/>
            <w:gridSpan w:val="3"/>
          </w:tcPr>
          <w:p>
            <w:pPr>
              <w:spacing w:after="0"/>
              <w:rPr>
                <w:sz w:val="20"/>
                <w:szCs w:val="20"/>
                <w:color w:val="auto"/>
              </w:rPr>
            </w:pPr>
            <w:r>
              <w:rPr>
                <w:rFonts w:ascii="Arial" w:cs="Arial" w:eastAsia="Arial" w:hAnsi="Arial"/>
                <w:sz w:val="14"/>
                <w:szCs w:val="14"/>
                <w:color w:val="auto"/>
              </w:rPr>
              <w:t>R</w:t>
            </w:r>
            <w:r>
              <w:rPr>
                <w:rFonts w:ascii="Arial" w:cs="Arial" w:eastAsia="Arial" w:hAnsi="Arial"/>
                <w:sz w:val="11"/>
                <w:szCs w:val="11"/>
                <w:color w:val="auto"/>
              </w:rPr>
              <w:t>EADER</w:t>
            </w:r>
            <w:r>
              <w:rPr>
                <w:rFonts w:ascii="Arial" w:cs="Arial" w:eastAsia="Arial" w:hAnsi="Arial"/>
                <w:sz w:val="14"/>
                <w:szCs w:val="14"/>
                <w:color w:val="auto"/>
              </w:rPr>
              <w:t>’</w:t>
            </w:r>
            <w:r>
              <w:rPr>
                <w:rFonts w:ascii="Arial" w:cs="Arial" w:eastAsia="Arial" w:hAnsi="Arial"/>
                <w:sz w:val="11"/>
                <w:szCs w:val="11"/>
                <w:color w:val="auto"/>
              </w:rPr>
              <w:t>S</w:t>
            </w:r>
            <w:r>
              <w:rPr>
                <w:rFonts w:ascii="Arial" w:cs="Arial" w:eastAsia="Arial" w:hAnsi="Arial"/>
                <w:sz w:val="14"/>
                <w:szCs w:val="14"/>
                <w:color w:val="auto"/>
              </w:rPr>
              <w:t xml:space="preserve"> D</w:t>
            </w:r>
            <w:r>
              <w:rPr>
                <w:rFonts w:ascii="Arial" w:cs="Arial" w:eastAsia="Arial" w:hAnsi="Arial"/>
                <w:sz w:val="11"/>
                <w:szCs w:val="11"/>
                <w:color w:val="auto"/>
              </w:rPr>
              <w:t>IGEST</w:t>
            </w:r>
            <w:r>
              <w:rPr>
                <w:rFonts w:ascii="Arial" w:cs="Arial" w:eastAsia="Arial" w:hAnsi="Arial"/>
                <w:sz w:val="14"/>
                <w:szCs w:val="14"/>
                <w:color w:val="auto"/>
              </w:rPr>
              <w:t xml:space="preserve"> A</w:t>
            </w:r>
            <w:r>
              <w:rPr>
                <w:rFonts w:ascii="Arial" w:cs="Arial" w:eastAsia="Arial" w:hAnsi="Arial"/>
                <w:sz w:val="11"/>
                <w:szCs w:val="11"/>
                <w:color w:val="auto"/>
              </w:rPr>
              <w:t>SSOCIATION</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03/02/2014</w:t>
            </w:r>
          </w:p>
        </w:tc>
        <w:tc>
          <w:tcPr>
            <w:tcW w:w="1660" w:type="dxa"/>
            <w:vAlign w:val="bottom"/>
          </w:tcPr>
          <w:p>
            <w:pPr>
              <w:jc w:val="center"/>
              <w:spacing w:after="0"/>
              <w:rPr>
                <w:sz w:val="20"/>
                <w:szCs w:val="20"/>
                <w:color w:val="auto"/>
              </w:rPr>
            </w:pPr>
            <w:r>
              <w:rPr>
                <w:rFonts w:ascii="Arial" w:cs="Arial" w:eastAsia="Arial" w:hAnsi="Arial"/>
                <w:sz w:val="14"/>
                <w:szCs w:val="14"/>
                <w:color w:val="auto"/>
                <w:w w:val="98"/>
              </w:rPr>
              <w:t>P</w:t>
            </w:r>
            <w:r>
              <w:rPr>
                <w:rFonts w:ascii="Arial" w:cs="Arial" w:eastAsia="Arial" w:hAnsi="Arial"/>
                <w:sz w:val="11"/>
                <w:szCs w:val="11"/>
                <w:color w:val="auto"/>
                <w:w w:val="98"/>
              </w:rPr>
              <w:t>RINTING AND</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7.43%</w:t>
            </w:r>
          </w:p>
        </w:tc>
        <w:tc>
          <w:tcPr>
            <w:tcW w:w="10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4"/>
                <w:szCs w:val="14"/>
                <w:color w:val="auto"/>
              </w:rPr>
              <w:t>L+200</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995,006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995,006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940,281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w w:val="99"/>
              </w:rPr>
              <w:t>P</w:t>
            </w:r>
            <w:r>
              <w:rPr>
                <w:rFonts w:ascii="Arial" w:cs="Arial" w:eastAsia="Arial" w:hAnsi="Arial"/>
                <w:sz w:val="11"/>
                <w:szCs w:val="11"/>
                <w:color w:val="auto"/>
                <w:w w:val="99"/>
              </w:rPr>
              <w:t>UBLISHING</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40" w:type="dxa"/>
            <w:vAlign w:val="bottom"/>
          </w:tcPr>
          <w:p>
            <w:pPr>
              <w:spacing w:after="0"/>
              <w:rPr>
                <w:sz w:val="4"/>
                <w:szCs w:val="4"/>
                <w:color w:val="auto"/>
              </w:rPr>
            </w:pPr>
          </w:p>
        </w:tc>
        <w:tc>
          <w:tcPr>
            <w:tcW w:w="3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5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R</w:t>
            </w:r>
            <w:r>
              <w:rPr>
                <w:rFonts w:ascii="Arial" w:cs="Arial" w:eastAsia="Arial" w:hAnsi="Arial"/>
                <w:sz w:val="11"/>
                <w:szCs w:val="11"/>
                <w:color w:val="auto"/>
              </w:rPr>
              <w:t>EXNORD</w:t>
            </w:r>
            <w:r>
              <w:rPr>
                <w:rFonts w:ascii="Arial" w:cs="Arial" w:eastAsia="Arial" w:hAnsi="Arial"/>
                <w:sz w:val="14"/>
                <w:szCs w:val="14"/>
                <w:color w:val="auto"/>
              </w:rPr>
              <w:t xml:space="preserve"> , L.L.C.</w:t>
            </w:r>
          </w:p>
        </w:tc>
        <w:tc>
          <w:tcPr>
            <w:tcW w:w="9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07/19/2013</w:t>
            </w:r>
          </w:p>
        </w:tc>
        <w:tc>
          <w:tcPr>
            <w:tcW w:w="16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rPr>
              <w:t>M</w:t>
            </w:r>
            <w:r>
              <w:rPr>
                <w:rFonts w:ascii="Arial" w:cs="Arial" w:eastAsia="Arial" w:hAnsi="Arial"/>
                <w:sz w:val="11"/>
                <w:szCs w:val="11"/>
                <w:color w:val="auto"/>
              </w:rPr>
              <w:t>ANUFACTURING</w:t>
            </w: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7.64%</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240"/>
              <w:spacing w:after="0" w:line="138" w:lineRule="exact"/>
              <w:rPr>
                <w:sz w:val="20"/>
                <w:szCs w:val="20"/>
                <w:color w:val="auto"/>
              </w:rPr>
            </w:pPr>
            <w:r>
              <w:rPr>
                <w:rFonts w:ascii="Arial" w:cs="Arial" w:eastAsia="Arial" w:hAnsi="Arial"/>
                <w:sz w:val="14"/>
                <w:szCs w:val="14"/>
                <w:color w:val="auto"/>
              </w:rPr>
              <w:t>L+225</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4,937,500</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4,937,500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4,835,664</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8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B</w:t>
            </w:r>
            <w:r>
              <w:rPr>
                <w:rFonts w:ascii="Arial" w:cs="Arial" w:eastAsia="Arial" w:hAnsi="Arial"/>
                <w:sz w:val="11"/>
                <w:szCs w:val="11"/>
                <w:color w:val="auto"/>
                <w:w w:val="99"/>
              </w:rPr>
              <w:t>ASIC</w:t>
            </w:r>
            <w:r>
              <w:rPr>
                <w:rFonts w:ascii="Arial" w:cs="Arial" w:eastAsia="Arial" w:hAnsi="Arial"/>
                <w:sz w:val="14"/>
                <w:szCs w:val="14"/>
                <w:color w:val="auto"/>
                <w:w w:val="99"/>
              </w:rPr>
              <w:t xml:space="preserve"> I</w:t>
            </w:r>
            <w:r>
              <w:rPr>
                <w:rFonts w:ascii="Arial" w:cs="Arial" w:eastAsia="Arial" w:hAnsi="Arial"/>
                <w:sz w:val="11"/>
                <w:szCs w:val="11"/>
                <w:color w:val="auto"/>
                <w:w w:val="99"/>
              </w:rPr>
              <w:t>NDUSTRY</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560" w:type="dxa"/>
            <w:vAlign w:val="bottom"/>
            <w:gridSpan w:val="3"/>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ITEL</w:t>
            </w:r>
            <w:r>
              <w:rPr>
                <w:rFonts w:ascii="Arial" w:cs="Arial" w:eastAsia="Arial" w:hAnsi="Arial"/>
                <w:sz w:val="14"/>
                <w:szCs w:val="14"/>
                <w:color w:val="auto"/>
              </w:rPr>
              <w:t>, L.L.C.</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01/30/2014</w:t>
            </w:r>
          </w:p>
        </w:tc>
        <w:tc>
          <w:tcPr>
            <w:tcW w:w="1660" w:type="dxa"/>
            <w:vAlign w:val="bottom"/>
          </w:tcPr>
          <w:p>
            <w:pPr>
              <w:jc w:val="center"/>
              <w:spacing w:after="0"/>
              <w:rPr>
                <w:sz w:val="20"/>
                <w:szCs w:val="20"/>
                <w:color w:val="auto"/>
              </w:rPr>
            </w:pPr>
            <w:r>
              <w:rPr>
                <w:rFonts w:ascii="Arial" w:cs="Arial" w:eastAsia="Arial" w:hAnsi="Arial"/>
                <w:sz w:val="14"/>
                <w:szCs w:val="14"/>
                <w:color w:val="auto"/>
                <w:w w:val="93"/>
              </w:rPr>
              <w:t>B</w:t>
            </w:r>
            <w:r>
              <w:rPr>
                <w:rFonts w:ascii="Arial" w:cs="Arial" w:eastAsia="Arial" w:hAnsi="Arial"/>
                <w:sz w:val="11"/>
                <w:szCs w:val="11"/>
                <w:color w:val="auto"/>
                <w:w w:val="93"/>
              </w:rPr>
              <w:t>USINESS</w:t>
            </w:r>
            <w:r>
              <w:rPr>
                <w:rFonts w:ascii="Arial" w:cs="Arial" w:eastAsia="Arial" w:hAnsi="Arial"/>
                <w:sz w:val="14"/>
                <w:szCs w:val="14"/>
                <w:color w:val="auto"/>
                <w:w w:val="93"/>
              </w:rPr>
              <w:t xml:space="preserve"> S</w:t>
            </w:r>
            <w:r>
              <w:rPr>
                <w:rFonts w:ascii="Arial" w:cs="Arial" w:eastAsia="Arial" w:hAnsi="Arial"/>
                <w:sz w:val="11"/>
                <w:szCs w:val="11"/>
                <w:color w:val="auto"/>
                <w:w w:val="93"/>
              </w:rPr>
              <w:t>ERVICES</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7.78%</w:t>
            </w:r>
          </w:p>
        </w:tc>
        <w:tc>
          <w:tcPr>
            <w:tcW w:w="100" w:type="dxa"/>
            <w:vAlign w:val="bottom"/>
          </w:tcPr>
          <w:p>
            <w:pPr>
              <w:spacing w:after="0"/>
              <w:rPr>
                <w:sz w:val="19"/>
                <w:szCs w:val="19"/>
                <w:color w:val="auto"/>
              </w:rPr>
            </w:pPr>
          </w:p>
        </w:tc>
        <w:tc>
          <w:tcPr>
            <w:tcW w:w="700" w:type="dxa"/>
            <w:vAlign w:val="bottom"/>
            <w:gridSpan w:val="2"/>
          </w:tcPr>
          <w:p>
            <w:pPr>
              <w:ind w:left="240"/>
              <w:spacing w:after="0"/>
              <w:rPr>
                <w:sz w:val="20"/>
                <w:szCs w:val="20"/>
                <w:color w:val="auto"/>
              </w:rPr>
            </w:pPr>
            <w:r>
              <w:rPr>
                <w:rFonts w:ascii="Arial" w:cs="Arial" w:eastAsia="Arial" w:hAnsi="Arial"/>
                <w:sz w:val="14"/>
                <w:szCs w:val="14"/>
                <w:color w:val="auto"/>
              </w:rPr>
              <w:t>L+250</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2,867,302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2,867,302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2,680,927</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40" w:type="dxa"/>
            <w:vAlign w:val="bottom"/>
          </w:tcPr>
          <w:p>
            <w:pPr>
              <w:spacing w:after="0"/>
              <w:rPr>
                <w:sz w:val="4"/>
                <w:szCs w:val="4"/>
                <w:color w:val="auto"/>
              </w:rPr>
            </w:pPr>
          </w:p>
        </w:tc>
        <w:tc>
          <w:tcPr>
            <w:tcW w:w="3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5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w:t>
            </w:r>
            <w:r>
              <w:rPr>
                <w:rFonts w:ascii="Arial" w:cs="Arial" w:eastAsia="Arial" w:hAnsi="Arial"/>
                <w:sz w:val="11"/>
                <w:szCs w:val="11"/>
                <w:color w:val="auto"/>
              </w:rPr>
              <w:t>NIVISION</w:t>
            </w:r>
            <w:r>
              <w:rPr>
                <w:rFonts w:ascii="Arial" w:cs="Arial" w:eastAsia="Arial" w:hAnsi="Arial"/>
                <w:sz w:val="14"/>
                <w:szCs w:val="14"/>
                <w:color w:val="auto"/>
              </w:rPr>
              <w:t xml:space="preserve"> C</w:t>
            </w:r>
            <w:r>
              <w:rPr>
                <w:rFonts w:ascii="Arial" w:cs="Arial" w:eastAsia="Arial" w:hAnsi="Arial"/>
                <w:sz w:val="11"/>
                <w:szCs w:val="11"/>
                <w:color w:val="auto"/>
              </w:rPr>
              <w:t>OMMUNICATIONS</w:t>
            </w:r>
            <w:r>
              <w:rPr>
                <w:rFonts w:ascii="Arial" w:cs="Arial" w:eastAsia="Arial" w:hAnsi="Arial"/>
                <w:sz w:val="14"/>
                <w:szCs w:val="14"/>
                <w:color w:val="auto"/>
              </w:rPr>
              <w:t xml:space="preserve"> I</w:t>
            </w:r>
            <w:r>
              <w:rPr>
                <w:rFonts w:ascii="Arial" w:cs="Arial" w:eastAsia="Arial" w:hAnsi="Arial"/>
                <w:sz w:val="11"/>
                <w:szCs w:val="11"/>
                <w:color w:val="auto"/>
              </w:rPr>
              <w:t>NC</w:t>
            </w: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09/29/2014</w:t>
            </w:r>
          </w:p>
        </w:tc>
        <w:tc>
          <w:tcPr>
            <w:tcW w:w="16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B</w:t>
            </w:r>
            <w:r>
              <w:rPr>
                <w:rFonts w:ascii="Arial" w:cs="Arial" w:eastAsia="Arial" w:hAnsi="Arial"/>
                <w:sz w:val="11"/>
                <w:szCs w:val="11"/>
                <w:color w:val="auto"/>
                <w:w w:val="99"/>
              </w:rPr>
              <w:t>ROADCASTING AND</w:t>
            </w:r>
          </w:p>
        </w:tc>
        <w:tc>
          <w:tcPr>
            <w:tcW w:w="7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7.57%</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240"/>
              <w:spacing w:after="0" w:line="138" w:lineRule="exact"/>
              <w:rPr>
                <w:sz w:val="20"/>
                <w:szCs w:val="20"/>
                <w:color w:val="auto"/>
              </w:rPr>
            </w:pPr>
            <w:r>
              <w:rPr>
                <w:rFonts w:ascii="Arial" w:cs="Arial" w:eastAsia="Arial" w:hAnsi="Arial"/>
                <w:sz w:val="14"/>
                <w:szCs w:val="14"/>
                <w:color w:val="auto"/>
              </w:rPr>
              <w:t>L+225</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14,093,960</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14,093,960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13,389,262</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8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rPr>
              <w:t>E</w:t>
            </w:r>
            <w:r>
              <w:rPr>
                <w:rFonts w:ascii="Arial" w:cs="Arial" w:eastAsia="Arial" w:hAnsi="Arial"/>
                <w:sz w:val="11"/>
                <w:szCs w:val="11"/>
                <w:color w:val="auto"/>
              </w:rPr>
              <w:t>NTERTAINMENT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560" w:type="dxa"/>
            <w:vAlign w:val="bottom"/>
            <w:gridSpan w:val="3"/>
          </w:tcPr>
          <w:p>
            <w:pPr>
              <w:spacing w:after="0" w:line="217" w:lineRule="exact"/>
              <w:rPr>
                <w:sz w:val="20"/>
                <w:szCs w:val="20"/>
                <w:color w:val="auto"/>
              </w:rPr>
            </w:pPr>
            <w:r>
              <w:rPr>
                <w:rFonts w:ascii="Arial" w:cs="Arial" w:eastAsia="Arial" w:hAnsi="Arial"/>
                <w:sz w:val="14"/>
                <w:szCs w:val="14"/>
                <w:color w:val="auto"/>
              </w:rPr>
              <w:t>U</w:t>
            </w:r>
            <w:r>
              <w:rPr>
                <w:rFonts w:ascii="Arial" w:cs="Arial" w:eastAsia="Arial" w:hAnsi="Arial"/>
                <w:sz w:val="11"/>
                <w:szCs w:val="11"/>
                <w:color w:val="auto"/>
              </w:rPr>
              <w:t>NIVISION</w:t>
            </w:r>
            <w:r>
              <w:rPr>
                <w:rFonts w:ascii="Arial" w:cs="Arial" w:eastAsia="Arial" w:hAnsi="Arial"/>
                <w:sz w:val="14"/>
                <w:szCs w:val="14"/>
                <w:color w:val="auto"/>
              </w:rPr>
              <w:t xml:space="preserve"> C</w:t>
            </w:r>
            <w:r>
              <w:rPr>
                <w:rFonts w:ascii="Arial" w:cs="Arial" w:eastAsia="Arial" w:hAnsi="Arial"/>
                <w:sz w:val="11"/>
                <w:szCs w:val="11"/>
                <w:color w:val="auto"/>
              </w:rPr>
              <w:t>OMMUNICATIONS</w:t>
            </w:r>
            <w:r>
              <w:rPr>
                <w:rFonts w:ascii="Arial" w:cs="Arial" w:eastAsia="Arial" w:hAnsi="Arial"/>
                <w:sz w:val="14"/>
                <w:szCs w:val="14"/>
                <w:color w:val="auto"/>
              </w:rPr>
              <w:t xml:space="preserve"> I</w:t>
            </w:r>
            <w:r>
              <w:rPr>
                <w:rFonts w:ascii="Arial" w:cs="Arial" w:eastAsia="Arial" w:hAnsi="Arial"/>
                <w:sz w:val="11"/>
                <w:szCs w:val="11"/>
                <w:color w:val="auto"/>
              </w:rPr>
              <w:t>NC</w:t>
            </w:r>
            <w:r>
              <w:rPr>
                <w:rFonts w:ascii="Arial" w:cs="Arial" w:eastAsia="Arial" w:hAnsi="Arial"/>
                <w:sz w:val="14"/>
                <w:szCs w:val="14"/>
                <w:color w:val="auto"/>
              </w:rPr>
              <w:t>.</w:t>
            </w:r>
            <w:r>
              <w:rPr>
                <w:rFonts w:ascii="Arial" w:cs="Arial" w:eastAsia="Arial" w:hAnsi="Arial"/>
                <w:sz w:val="22"/>
                <w:szCs w:val="22"/>
                <w:color w:val="auto"/>
                <w:vertAlign w:val="superscript"/>
              </w:rPr>
              <w:t>(5)</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09/29/2014</w:t>
            </w:r>
          </w:p>
        </w:tc>
        <w:tc>
          <w:tcPr>
            <w:tcW w:w="1660" w:type="dxa"/>
            <w:vAlign w:val="bottom"/>
          </w:tcPr>
          <w:p>
            <w:pPr>
              <w:jc w:val="center"/>
              <w:spacing w:after="0"/>
              <w:rPr>
                <w:sz w:val="20"/>
                <w:szCs w:val="20"/>
                <w:color w:val="auto"/>
              </w:rPr>
            </w:pPr>
            <w:r>
              <w:rPr>
                <w:rFonts w:ascii="Arial" w:cs="Arial" w:eastAsia="Arial" w:hAnsi="Arial"/>
                <w:sz w:val="14"/>
                <w:szCs w:val="14"/>
                <w:color w:val="auto"/>
                <w:w w:val="99"/>
              </w:rPr>
              <w:t>B</w:t>
            </w:r>
            <w:r>
              <w:rPr>
                <w:rFonts w:ascii="Arial" w:cs="Arial" w:eastAsia="Arial" w:hAnsi="Arial"/>
                <w:sz w:val="11"/>
                <w:szCs w:val="11"/>
                <w:color w:val="auto"/>
                <w:w w:val="99"/>
              </w:rPr>
              <w:t>ROADCASTING AND</w:t>
            </w:r>
          </w:p>
        </w:tc>
        <w:tc>
          <w:tcPr>
            <w:tcW w:w="1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906,040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906,040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860,738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rPr>
              <w:t>E</w:t>
            </w:r>
            <w:r>
              <w:rPr>
                <w:rFonts w:ascii="Arial" w:cs="Arial" w:eastAsia="Arial" w:hAnsi="Arial"/>
                <w:sz w:val="11"/>
                <w:szCs w:val="11"/>
                <w:color w:val="auto"/>
              </w:rPr>
              <w:t>NTERTAINMENT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740" w:type="dxa"/>
            <w:vAlign w:val="bottom"/>
          </w:tcPr>
          <w:p>
            <w:pPr>
              <w:spacing w:after="0"/>
              <w:rPr>
                <w:sz w:val="3"/>
                <w:szCs w:val="3"/>
                <w:color w:val="auto"/>
              </w:rPr>
            </w:pPr>
          </w:p>
        </w:tc>
        <w:tc>
          <w:tcPr>
            <w:tcW w:w="3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5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w:t>
            </w:r>
            <w:r>
              <w:rPr>
                <w:rFonts w:ascii="Arial" w:cs="Arial" w:eastAsia="Arial" w:hAnsi="Arial"/>
                <w:sz w:val="11"/>
                <w:szCs w:val="11"/>
                <w:color w:val="auto"/>
              </w:rPr>
              <w:t>ALASSIS</w:t>
            </w:r>
            <w:r>
              <w:rPr>
                <w:rFonts w:ascii="Arial" w:cs="Arial" w:eastAsia="Arial" w:hAnsi="Arial"/>
                <w:sz w:val="14"/>
                <w:szCs w:val="14"/>
                <w:color w:val="auto"/>
              </w:rPr>
              <w:t xml:space="preserve"> C</w:t>
            </w:r>
            <w:r>
              <w:rPr>
                <w:rFonts w:ascii="Arial" w:cs="Arial" w:eastAsia="Arial" w:hAnsi="Arial"/>
                <w:sz w:val="11"/>
                <w:szCs w:val="11"/>
                <w:color w:val="auto"/>
              </w:rPr>
              <w:t>OMMUNICATIONS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03/02/2014</w:t>
            </w:r>
          </w:p>
        </w:tc>
        <w:tc>
          <w:tcPr>
            <w:tcW w:w="16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8"/>
              </w:rPr>
              <w:t>P</w:t>
            </w:r>
            <w:r>
              <w:rPr>
                <w:rFonts w:ascii="Arial" w:cs="Arial" w:eastAsia="Arial" w:hAnsi="Arial"/>
                <w:sz w:val="11"/>
                <w:szCs w:val="11"/>
                <w:color w:val="auto"/>
                <w:w w:val="98"/>
              </w:rPr>
              <w:t>RINTING AND</w:t>
            </w:r>
          </w:p>
        </w:tc>
        <w:tc>
          <w:tcPr>
            <w:tcW w:w="7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6.95%</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240"/>
              <w:spacing w:after="0" w:line="138" w:lineRule="exact"/>
              <w:rPr>
                <w:sz w:val="20"/>
                <w:szCs w:val="20"/>
                <w:color w:val="auto"/>
              </w:rPr>
            </w:pPr>
            <w:r>
              <w:rPr>
                <w:rFonts w:ascii="Arial" w:cs="Arial" w:eastAsia="Arial" w:hAnsi="Arial"/>
                <w:sz w:val="14"/>
                <w:szCs w:val="14"/>
                <w:color w:val="auto"/>
              </w:rPr>
              <w:t>L+175</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7,061,899</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7,061,899</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6,549,911</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8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P</w:t>
            </w:r>
            <w:r>
              <w:rPr>
                <w:rFonts w:ascii="Arial" w:cs="Arial" w:eastAsia="Arial" w:hAnsi="Arial"/>
                <w:sz w:val="11"/>
                <w:szCs w:val="11"/>
                <w:color w:val="auto"/>
                <w:w w:val="99"/>
              </w:rPr>
              <w:t>UBLISHING</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Point</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b w:val="1"/>
                <w:bCs w:val="1"/>
                <w:color w:val="auto"/>
                <w:w w:val="94"/>
              </w:rPr>
              <w:t>Current</w:t>
            </w:r>
          </w:p>
        </w:tc>
        <w:tc>
          <w:tcPr>
            <w:tcW w:w="30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8"/>
              </w:rPr>
              <w:t>Above</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176"/>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Issuer name</w:t>
            </w:r>
          </w:p>
        </w:tc>
        <w:tc>
          <w:tcPr>
            <w:tcW w:w="3700" w:type="dxa"/>
            <w:vAlign w:val="bottom"/>
          </w:tcPr>
          <w:p>
            <w:pPr>
              <w:spacing w:after="0"/>
              <w:rPr>
                <w:sz w:val="15"/>
                <w:szCs w:val="15"/>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Maturity</w:t>
            </w:r>
          </w:p>
        </w:tc>
        <w:tc>
          <w:tcPr>
            <w:tcW w:w="100" w:type="dxa"/>
            <w:vAlign w:val="bottom"/>
          </w:tcPr>
          <w:p>
            <w:pPr>
              <w:spacing w:after="0"/>
              <w:rPr>
                <w:sz w:val="15"/>
                <w:szCs w:val="15"/>
                <w:color w:val="auto"/>
              </w:rPr>
            </w:pP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5"/>
                <w:szCs w:val="15"/>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0"/>
              </w:rPr>
              <w:t>Coupon</w:t>
            </w:r>
          </w:p>
        </w:tc>
        <w:tc>
          <w:tcPr>
            <w:tcW w:w="300" w:type="dxa"/>
            <w:vAlign w:val="bottom"/>
          </w:tcPr>
          <w:p>
            <w:pPr>
              <w:spacing w:after="0"/>
              <w:rPr>
                <w:sz w:val="15"/>
                <w:szCs w:val="15"/>
                <w:color w:val="auto"/>
              </w:rPr>
            </w:pPr>
          </w:p>
        </w:tc>
        <w:tc>
          <w:tcPr>
            <w:tcW w:w="4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20" w:type="dxa"/>
            <w:vAlign w:val="bottom"/>
          </w:tcPr>
          <w:p>
            <w:pPr>
              <w:spacing w:after="0"/>
              <w:rPr>
                <w:sz w:val="15"/>
                <w:szCs w:val="15"/>
                <w:color w:val="auto"/>
              </w:rPr>
            </w:pPr>
          </w:p>
        </w:tc>
        <w:tc>
          <w:tcPr>
            <w:tcW w:w="9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Par</w:t>
            </w:r>
          </w:p>
        </w:tc>
        <w:tc>
          <w:tcPr>
            <w:tcW w:w="120" w:type="dxa"/>
            <w:vAlign w:val="bottom"/>
          </w:tcPr>
          <w:p>
            <w:pPr>
              <w:spacing w:after="0"/>
              <w:rPr>
                <w:sz w:val="15"/>
                <w:szCs w:val="15"/>
                <w:color w:val="auto"/>
              </w:rPr>
            </w:pPr>
          </w:p>
        </w:tc>
        <w:tc>
          <w:tcPr>
            <w:tcW w:w="9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First Lien Secured Debt—(Continued)</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340" w:type="dxa"/>
            <w:vAlign w:val="bottom"/>
            <w:gridSpan w:val="3"/>
          </w:tcPr>
          <w:p>
            <w:pPr>
              <w:spacing w:after="0" w:line="276" w:lineRule="exact"/>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ALASSIS</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r>
              <w:rPr>
                <w:rFonts w:ascii="Arial" w:cs="Arial" w:eastAsia="Arial" w:hAnsi="Arial"/>
                <w:sz w:val="29"/>
                <w:szCs w:val="29"/>
                <w:color w:val="auto"/>
                <w:vertAlign w:val="superscript"/>
              </w:rPr>
              <w:t>(5)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03/02/2014</w:t>
            </w:r>
          </w:p>
        </w:tc>
        <w:tc>
          <w:tcPr>
            <w:tcW w:w="134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 AND</w:t>
            </w: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2,103,908</w:t>
            </w:r>
          </w:p>
        </w:tc>
        <w:tc>
          <w:tcPr>
            <w:tcW w:w="12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2,103,908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1,951,375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UBLISHING</w:t>
            </w: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ESTERN</w:t>
            </w:r>
            <w:r>
              <w:rPr>
                <w:rFonts w:ascii="Arial" w:cs="Arial" w:eastAsia="Arial" w:hAnsi="Arial"/>
                <w:sz w:val="18"/>
                <w:szCs w:val="18"/>
                <w:color w:val="auto"/>
              </w:rPr>
              <w:t xml:space="preserve"> R</w:t>
            </w:r>
            <w:r>
              <w:rPr>
                <w:rFonts w:ascii="Arial" w:cs="Arial" w:eastAsia="Arial" w:hAnsi="Arial"/>
                <w:sz w:val="14"/>
                <w:szCs w:val="14"/>
                <w:color w:val="auto"/>
              </w:rPr>
              <w:t>EFINING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05/30/2014</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IL AND</w:t>
            </w:r>
            <w:r>
              <w:rPr>
                <w:rFonts w:ascii="Arial" w:cs="Arial" w:eastAsia="Arial" w:hAnsi="Arial"/>
                <w:sz w:val="18"/>
                <w:szCs w:val="18"/>
                <w:color w:val="auto"/>
              </w:rPr>
              <w:t xml:space="preserve"> G</w:t>
            </w:r>
            <w:r>
              <w:rPr>
                <w:rFonts w:ascii="Arial" w:cs="Arial" w:eastAsia="Arial" w:hAnsi="Arial"/>
                <w:sz w:val="14"/>
                <w:szCs w:val="14"/>
                <w:color w:val="auto"/>
              </w:rPr>
              <w:t>AS</w:t>
            </w:r>
          </w:p>
        </w:tc>
        <w:tc>
          <w:tcPr>
            <w:tcW w:w="8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6.88%</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L+175</w:t>
            </w: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3,714,286</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3,714,286</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4340" w:type="dxa"/>
            <w:vAlign w:val="bottom"/>
            <w:gridSpan w:val="3"/>
          </w:tcPr>
          <w:p>
            <w:pPr>
              <w:spacing w:after="0"/>
              <w:rPr>
                <w:sz w:val="20"/>
                <w:szCs w:val="20"/>
                <w:color w:val="auto"/>
              </w:rPr>
            </w:pPr>
            <w:r>
              <w:rPr>
                <w:rFonts w:ascii="Arial" w:cs="Arial" w:eastAsia="Arial" w:hAnsi="Arial"/>
                <w:sz w:val="18"/>
                <w:szCs w:val="18"/>
                <w:b w:val="1"/>
                <w:bCs w:val="1"/>
                <w:color w:val="auto"/>
              </w:rPr>
              <w:t>Total First Lien Secured Debt</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170,481,009</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170,474,236</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158,929,905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1140" w:type="dxa"/>
            <w:vAlign w:val="bottom"/>
          </w:tcPr>
          <w:p>
            <w:pPr>
              <w:spacing w:after="0"/>
              <w:rPr>
                <w:sz w:val="6"/>
                <w:szCs w:val="6"/>
                <w:color w:val="auto"/>
              </w:rPr>
            </w:pPr>
          </w:p>
        </w:tc>
        <w:tc>
          <w:tcPr>
            <w:tcW w:w="3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Total Investments in Non-Controlled, Non-Affiliated Portfolio Companies</w:t>
            </w: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298,789,297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274,679,030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Investments in Non-Controlled, Affiliated Portfolio Companies</w:t>
            </w: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5340" w:type="dxa"/>
            <w:vAlign w:val="bottom"/>
            <w:gridSpan w:val="5"/>
            <w:vMerge w:val="continue"/>
          </w:tcPr>
          <w:p>
            <w:pPr>
              <w:spacing w:after="0"/>
              <w:rPr>
                <w:sz w:val="24"/>
                <w:szCs w:val="24"/>
                <w:color w:val="auto"/>
              </w:rPr>
            </w:pPr>
          </w:p>
        </w:tc>
        <w:tc>
          <w:tcPr>
            <w:tcW w:w="1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4340" w:type="dxa"/>
            <w:vAlign w:val="bottom"/>
            <w:gridSpan w:val="3"/>
          </w:tcPr>
          <w:p>
            <w:pPr>
              <w:spacing w:after="0" w:line="267" w:lineRule="exact"/>
              <w:rPr>
                <w:sz w:val="20"/>
                <w:szCs w:val="20"/>
                <w:color w:val="auto"/>
              </w:rPr>
            </w:pPr>
            <w:r>
              <w:rPr>
                <w:rFonts w:ascii="Arial" w:cs="Arial" w:eastAsia="Arial" w:hAnsi="Arial"/>
                <w:sz w:val="18"/>
                <w:szCs w:val="18"/>
                <w:b w:val="1"/>
                <w:bCs w:val="1"/>
                <w:color w:val="auto"/>
              </w:rPr>
              <w:t>—6.0%</w:t>
            </w:r>
            <w:r>
              <w:rPr>
                <w:rFonts w:ascii="Arial" w:cs="Arial" w:eastAsia="Arial" w:hAnsi="Arial"/>
                <w:sz w:val="29"/>
                <w:szCs w:val="29"/>
                <w:b w:val="1"/>
                <w:bCs w:val="1"/>
                <w:color w:val="auto"/>
                <w:vertAlign w:val="superscript"/>
              </w:rPr>
              <w:t>(2)</w:t>
            </w: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31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Subordinated Debt / Corporate Notes – 1.4%</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340" w:type="dxa"/>
            <w:vAlign w:val="bottom"/>
            <w:gridSpan w:val="3"/>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07/02/2014</w:t>
            </w:r>
          </w:p>
        </w:tc>
        <w:tc>
          <w:tcPr>
            <w:tcW w:w="1340" w:type="dxa"/>
            <w:vAlign w:val="bottom"/>
          </w:tcPr>
          <w:p>
            <w:pPr>
              <w:jc w:val="center"/>
              <w:spacing w:after="0"/>
              <w:rPr>
                <w:sz w:val="20"/>
                <w:szCs w:val="20"/>
                <w:color w:val="auto"/>
              </w:rPr>
            </w:pPr>
            <w:r>
              <w:rPr>
                <w:rFonts w:ascii="Arial" w:cs="Arial" w:eastAsia="Arial" w:hAnsi="Arial"/>
                <w:sz w:val="18"/>
                <w:szCs w:val="18"/>
                <w:color w:val="auto"/>
                <w:w w:val="98"/>
              </w:rPr>
              <w:t>L</w:t>
            </w:r>
            <w:r>
              <w:rPr>
                <w:rFonts w:ascii="Arial" w:cs="Arial" w:eastAsia="Arial" w:hAnsi="Arial"/>
                <w:sz w:val="14"/>
                <w:szCs w:val="14"/>
                <w:color w:val="auto"/>
                <w:w w:val="98"/>
              </w:rPr>
              <w:t>EISURE</w:t>
            </w:r>
            <w:r>
              <w:rPr>
                <w:rFonts w:ascii="Arial" w:cs="Arial" w:eastAsia="Arial" w:hAnsi="Arial"/>
                <w:sz w:val="18"/>
                <w:szCs w:val="18"/>
                <w:color w:val="auto"/>
                <w:w w:val="98"/>
              </w:rPr>
              <w:t>,</w:t>
            </w:r>
          </w:p>
        </w:tc>
        <w:tc>
          <w:tcPr>
            <w:tcW w:w="840" w:type="dxa"/>
            <w:vAlign w:val="bottom"/>
          </w:tcPr>
          <w:p>
            <w:pPr>
              <w:jc w:val="right"/>
              <w:spacing w:after="0" w:line="276" w:lineRule="exact"/>
              <w:rPr>
                <w:sz w:val="20"/>
                <w:szCs w:val="20"/>
                <w:color w:val="auto"/>
              </w:rPr>
            </w:pPr>
            <w:r>
              <w:rPr>
                <w:rFonts w:ascii="Arial" w:cs="Arial" w:eastAsia="Arial" w:hAnsi="Arial"/>
                <w:sz w:val="18"/>
                <w:szCs w:val="18"/>
                <w:color w:val="auto"/>
                <w:w w:val="93"/>
              </w:rPr>
              <w:t>14.25%</w:t>
            </w:r>
            <w:r>
              <w:rPr>
                <w:rFonts w:ascii="Arial" w:cs="Arial" w:eastAsia="Arial" w:hAnsi="Arial"/>
                <w:sz w:val="29"/>
                <w:szCs w:val="29"/>
                <w:color w:val="auto"/>
                <w:w w:val="93"/>
                <w:vertAlign w:val="superscript"/>
              </w:rPr>
              <w:t>(*)</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3,837,578</w:t>
            </w:r>
          </w:p>
        </w:tc>
        <w:tc>
          <w:tcPr>
            <w:tcW w:w="12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3,592,573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3,837,578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MUSEMENT</w:t>
            </w: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OTION</w:t>
            </w: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6"/>
              </w:rPr>
              <w:t>P</w:t>
            </w:r>
            <w:r>
              <w:rPr>
                <w:rFonts w:ascii="Arial" w:cs="Arial" w:eastAsia="Arial" w:hAnsi="Arial"/>
                <w:sz w:val="14"/>
                <w:szCs w:val="14"/>
                <w:color w:val="auto"/>
                <w:w w:val="96"/>
              </w:rPr>
              <w:t>ICTURES</w:t>
            </w:r>
            <w:r>
              <w:rPr>
                <w:rFonts w:ascii="Arial" w:cs="Arial" w:eastAsia="Arial" w:hAnsi="Arial"/>
                <w:sz w:val="18"/>
                <w:szCs w:val="18"/>
                <w:color w:val="auto"/>
                <w:w w:val="96"/>
              </w:rPr>
              <w:t>,</w:t>
            </w: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3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Second Lien Secured Debt – 3.2%</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07/02/2013</w:t>
            </w:r>
          </w:p>
        </w:tc>
        <w:tc>
          <w:tcPr>
            <w:tcW w:w="1340" w:type="dxa"/>
            <w:vAlign w:val="bottom"/>
          </w:tcPr>
          <w:p>
            <w:pPr>
              <w:jc w:val="center"/>
              <w:spacing w:after="0"/>
              <w:rPr>
                <w:sz w:val="20"/>
                <w:szCs w:val="20"/>
                <w:color w:val="auto"/>
              </w:rPr>
            </w:pPr>
            <w:r>
              <w:rPr>
                <w:rFonts w:ascii="Arial" w:cs="Arial" w:eastAsia="Arial" w:hAnsi="Arial"/>
                <w:sz w:val="18"/>
                <w:szCs w:val="18"/>
                <w:color w:val="auto"/>
                <w:w w:val="98"/>
              </w:rPr>
              <w:t>L</w:t>
            </w:r>
            <w:r>
              <w:rPr>
                <w:rFonts w:ascii="Arial" w:cs="Arial" w:eastAsia="Arial" w:hAnsi="Arial"/>
                <w:sz w:val="14"/>
                <w:szCs w:val="14"/>
                <w:color w:val="auto"/>
                <w:w w:val="98"/>
              </w:rPr>
              <w:t>EISURE</w:t>
            </w:r>
            <w:r>
              <w:rPr>
                <w:rFonts w:ascii="Arial" w:cs="Arial" w:eastAsia="Arial" w:hAnsi="Arial"/>
                <w:sz w:val="18"/>
                <w:szCs w:val="18"/>
                <w:color w:val="auto"/>
                <w:w w:val="98"/>
              </w:rPr>
              <w:t>,</w:t>
            </w:r>
          </w:p>
        </w:tc>
        <w:tc>
          <w:tcPr>
            <w:tcW w:w="840" w:type="dxa"/>
            <w:vAlign w:val="bottom"/>
          </w:tcPr>
          <w:p>
            <w:pPr>
              <w:jc w:val="right"/>
              <w:ind w:right="152"/>
              <w:spacing w:after="0"/>
              <w:rPr>
                <w:sz w:val="20"/>
                <w:szCs w:val="20"/>
                <w:color w:val="auto"/>
              </w:rPr>
            </w:pPr>
            <w:r>
              <w:rPr>
                <w:rFonts w:ascii="Arial" w:cs="Arial" w:eastAsia="Arial" w:hAnsi="Arial"/>
                <w:sz w:val="18"/>
                <w:szCs w:val="18"/>
                <w:color w:val="auto"/>
                <w:w w:val="94"/>
              </w:rPr>
              <w:t>11.11%</w:t>
            </w:r>
          </w:p>
        </w:tc>
        <w:tc>
          <w:tcPr>
            <w:tcW w:w="580" w:type="dxa"/>
            <w:vAlign w:val="bottom"/>
          </w:tcPr>
          <w:p>
            <w:pPr>
              <w:ind w:left="60"/>
              <w:spacing w:after="0"/>
              <w:rPr>
                <w:sz w:val="20"/>
                <w:szCs w:val="20"/>
                <w:color w:val="auto"/>
              </w:rPr>
            </w:pPr>
            <w:r>
              <w:rPr>
                <w:rFonts w:ascii="Arial" w:cs="Arial" w:eastAsia="Arial" w:hAnsi="Arial"/>
                <w:sz w:val="18"/>
                <w:szCs w:val="18"/>
                <w:color w:val="auto"/>
                <w:w w:val="98"/>
              </w:rPr>
              <w:t>L+575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8,750,000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8,750,000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MUSEMENT</w:t>
            </w: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OTION</w:t>
            </w: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6"/>
              </w:rPr>
              <w:t>P</w:t>
            </w:r>
            <w:r>
              <w:rPr>
                <w:rFonts w:ascii="Arial" w:cs="Arial" w:eastAsia="Arial" w:hAnsi="Arial"/>
                <w:sz w:val="14"/>
                <w:szCs w:val="14"/>
                <w:color w:val="auto"/>
                <w:w w:val="96"/>
              </w:rPr>
              <w:t>ICTURES</w:t>
            </w:r>
            <w:r>
              <w:rPr>
                <w:rFonts w:ascii="Arial" w:cs="Arial" w:eastAsia="Arial" w:hAnsi="Arial"/>
                <w:sz w:val="18"/>
                <w:szCs w:val="18"/>
                <w:color w:val="auto"/>
                <w:w w:val="96"/>
              </w:rPr>
              <w:t>,</w:t>
            </w: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3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2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b w:val="1"/>
                <w:bCs w:val="1"/>
                <w:color w:val="auto"/>
              </w:rPr>
              <w:t>C</w:t>
            </w:r>
            <w:r>
              <w:rPr>
                <w:rFonts w:ascii="Arial" w:cs="Arial" w:eastAsia="Arial" w:hAnsi="Arial"/>
                <w:sz w:val="14"/>
                <w:szCs w:val="14"/>
                <w:b w:val="1"/>
                <w:bCs w:val="1"/>
                <w:color w:val="auto"/>
              </w:rPr>
              <w:t>OMMON</w:t>
            </w:r>
            <w:r>
              <w:rPr>
                <w:rFonts w:ascii="Arial" w:cs="Arial" w:eastAsia="Arial" w:hAnsi="Arial"/>
                <w:sz w:val="17"/>
                <w:szCs w:val="17"/>
                <w:b w:val="1"/>
                <w:bCs w:val="1"/>
                <w:color w:val="auto"/>
              </w:rPr>
              <w:t xml:space="preserve"> E</w:t>
            </w:r>
            <w:r>
              <w:rPr>
                <w:rFonts w:ascii="Arial" w:cs="Arial" w:eastAsia="Arial" w:hAnsi="Arial"/>
                <w:sz w:val="14"/>
                <w:szCs w:val="14"/>
                <w:b w:val="1"/>
                <w:bCs w:val="1"/>
                <w:color w:val="auto"/>
              </w:rPr>
              <w:t>QUITY</w:t>
            </w:r>
            <w:r>
              <w:rPr>
                <w:rFonts w:ascii="Arial" w:cs="Arial" w:eastAsia="Arial" w:hAnsi="Arial"/>
                <w:sz w:val="17"/>
                <w:szCs w:val="17"/>
                <w:b w:val="1"/>
                <w:bCs w:val="1"/>
                <w:color w:val="auto"/>
              </w:rPr>
              <w:t>/P</w:t>
            </w:r>
            <w:r>
              <w:rPr>
                <w:rFonts w:ascii="Arial" w:cs="Arial" w:eastAsia="Arial" w:hAnsi="Arial"/>
                <w:sz w:val="14"/>
                <w:szCs w:val="14"/>
                <w:b w:val="1"/>
                <w:bCs w:val="1"/>
                <w:color w:val="auto"/>
              </w:rPr>
              <w:t>ARTNERSHIP</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NTERESTS</w:t>
            </w:r>
            <w:r>
              <w:rPr>
                <w:rFonts w:ascii="Arial" w:cs="Arial" w:eastAsia="Arial" w:hAnsi="Arial"/>
                <w:sz w:val="17"/>
                <w:szCs w:val="17"/>
                <w:b w:val="1"/>
                <w:bCs w:val="1"/>
                <w:color w:val="auto"/>
              </w:rPr>
              <w:t xml:space="preserve"> </w:t>
            </w:r>
            <w:r>
              <w:rPr>
                <w:rFonts w:ascii="Arial" w:cs="Arial" w:eastAsia="Arial" w:hAnsi="Arial"/>
                <w:sz w:val="28"/>
                <w:szCs w:val="28"/>
                <w:b w:val="1"/>
                <w:bCs w:val="1"/>
                <w:color w:val="auto"/>
                <w:vertAlign w:val="superscript"/>
              </w:rPr>
              <w:t>(**)</w:t>
            </w:r>
            <w:r>
              <w:rPr>
                <w:rFonts w:ascii="Arial" w:cs="Arial" w:eastAsia="Arial" w:hAnsi="Arial"/>
                <w:sz w:val="17"/>
                <w:szCs w:val="17"/>
                <w:b w:val="1"/>
                <w:bCs w:val="1"/>
                <w:color w:val="auto"/>
              </w:rPr>
              <w:t xml:space="preserve"> – 1.4%</w:t>
            </w:r>
          </w:p>
        </w:tc>
        <w:tc>
          <w:tcPr>
            <w:tcW w:w="3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w w:val="99"/>
              </w:rPr>
              <w:t>Shares</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NCP-P</w:t>
            </w:r>
            <w:r>
              <w:rPr>
                <w:rFonts w:ascii="Arial" w:cs="Arial" w:eastAsia="Arial" w:hAnsi="Arial"/>
                <w:sz w:val="14"/>
                <w:szCs w:val="14"/>
                <w:color w:val="auto"/>
              </w:rPr>
              <w:t>ERFORMANCE</w:t>
            </w:r>
          </w:p>
        </w:tc>
        <w:tc>
          <w:tcPr>
            <w:tcW w:w="3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L</w:t>
            </w:r>
            <w:r>
              <w:rPr>
                <w:rFonts w:ascii="Arial" w:cs="Arial" w:eastAsia="Arial" w:hAnsi="Arial"/>
                <w:sz w:val="14"/>
                <w:szCs w:val="14"/>
                <w:color w:val="auto"/>
                <w:w w:val="98"/>
              </w:rPr>
              <w:t>EISURE</w:t>
            </w:r>
            <w:r>
              <w:rPr>
                <w:rFonts w:ascii="Arial" w:cs="Arial" w:eastAsia="Arial" w:hAnsi="Arial"/>
                <w:sz w:val="18"/>
                <w:szCs w:val="18"/>
                <w:color w:val="auto"/>
                <w:w w:val="98"/>
              </w:rPr>
              <w:t>,</w:t>
            </w:r>
          </w:p>
        </w:tc>
        <w:tc>
          <w:tcPr>
            <w:tcW w:w="8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MUSEMENT</w:t>
            </w: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OTION</w:t>
            </w: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P</w:t>
            </w:r>
            <w:r>
              <w:rPr>
                <w:rFonts w:ascii="Arial" w:cs="Arial" w:eastAsia="Arial" w:hAnsi="Arial"/>
                <w:sz w:val="14"/>
                <w:szCs w:val="14"/>
                <w:color w:val="auto"/>
                <w:w w:val="96"/>
              </w:rPr>
              <w:t>ICTURES</w:t>
            </w:r>
            <w:r>
              <w:rPr>
                <w:rFonts w:ascii="Arial" w:cs="Arial" w:eastAsia="Arial" w:hAnsi="Arial"/>
                <w:sz w:val="18"/>
                <w:szCs w:val="18"/>
                <w:color w:val="auto"/>
                <w:w w:val="96"/>
              </w:rPr>
              <w:t>,</w:t>
            </w: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31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8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6680" w:type="dxa"/>
            <w:vAlign w:val="bottom"/>
            <w:gridSpan w:val="6"/>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OTAL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NVESTMENTS IN</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ON</w:t>
            </w:r>
            <w:r>
              <w:rPr>
                <w:rFonts w:ascii="Arial" w:cs="Arial" w:eastAsia="Arial" w:hAnsi="Arial"/>
                <w:sz w:val="18"/>
                <w:szCs w:val="18"/>
                <w:b w:val="1"/>
                <w:bCs w:val="1"/>
                <w:color w:val="auto"/>
              </w:rPr>
              <w:t>-C</w:t>
            </w:r>
            <w:r>
              <w:rPr>
                <w:rFonts w:ascii="Arial" w:cs="Arial" w:eastAsia="Arial" w:hAnsi="Arial"/>
                <w:sz w:val="14"/>
                <w:szCs w:val="14"/>
                <w:b w:val="1"/>
                <w:bCs w:val="1"/>
                <w:color w:val="auto"/>
              </w:rPr>
              <w:t>ONTROLLED</w:t>
            </w:r>
            <w:r>
              <w:rPr>
                <w:rFonts w:ascii="Arial" w:cs="Arial" w:eastAsia="Arial" w:hAnsi="Arial"/>
                <w:sz w:val="18"/>
                <w:szCs w:val="18"/>
                <w:b w:val="1"/>
                <w:bCs w:val="1"/>
                <w:color w:val="auto"/>
              </w:rPr>
              <w:t>, A</w:t>
            </w:r>
            <w:r>
              <w:rPr>
                <w:rFonts w:ascii="Arial" w:cs="Arial" w:eastAsia="Arial" w:hAnsi="Arial"/>
                <w:sz w:val="14"/>
                <w:szCs w:val="14"/>
                <w:b w:val="1"/>
                <w:bCs w:val="1"/>
                <w:color w:val="auto"/>
              </w:rPr>
              <w:t>FFILIATED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ORTFOLIO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OMPANIES</w:t>
            </w: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16,092,573</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16,337,578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3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OTAL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NVESTMENTS</w:t>
            </w:r>
            <w:r>
              <w:rPr>
                <w:rFonts w:ascii="Arial" w:cs="Arial" w:eastAsia="Arial" w:hAnsi="Arial"/>
                <w:sz w:val="18"/>
                <w:szCs w:val="18"/>
                <w:b w:val="1"/>
                <w:bCs w:val="1"/>
                <w:color w:val="auto"/>
              </w:rPr>
              <w:t xml:space="preserve"> – 107.6%</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314,881,870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291,016,608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Cash Equivalents – 95.4%</w:t>
            </w: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340" w:type="dxa"/>
            <w:vAlign w:val="bottom"/>
            <w:gridSpan w:val="3"/>
            <w:vMerge w:val="continue"/>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140" w:type="dxa"/>
            <w:vAlign w:val="bottom"/>
          </w:tcPr>
          <w:p>
            <w:pPr>
              <w:spacing w:after="0"/>
              <w:rPr>
                <w:sz w:val="6"/>
                <w:szCs w:val="6"/>
                <w:color w:val="auto"/>
              </w:rPr>
            </w:pPr>
          </w:p>
        </w:tc>
        <w:tc>
          <w:tcPr>
            <w:tcW w:w="3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w:t>
            </w:r>
            <w:r>
              <w:rPr>
                <w:rFonts w:ascii="Arial" w:cs="Arial" w:eastAsia="Arial" w:hAnsi="Arial"/>
                <w:sz w:val="14"/>
                <w:szCs w:val="14"/>
                <w:color w:val="auto"/>
              </w:rPr>
              <w:t>REASURY</w:t>
            </w:r>
            <w:r>
              <w:rPr>
                <w:rFonts w:ascii="Arial" w:cs="Arial" w:eastAsia="Arial" w:hAnsi="Arial"/>
                <w:sz w:val="18"/>
                <w:szCs w:val="18"/>
                <w:color w:val="auto"/>
              </w:rPr>
              <w:t xml:space="preserve"> B</w:t>
            </w:r>
            <w:r>
              <w:rPr>
                <w:rFonts w:ascii="Arial" w:cs="Arial" w:eastAsia="Arial" w:hAnsi="Arial"/>
                <w:sz w:val="14"/>
                <w:szCs w:val="14"/>
                <w:color w:val="auto"/>
              </w:rPr>
              <w:t>ILL</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12/27/2007</w:t>
            </w:r>
          </w:p>
        </w:tc>
        <w:tc>
          <w:tcPr>
            <w:tcW w:w="1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3.64%</w:t>
            </w:r>
          </w:p>
        </w:tc>
        <w:tc>
          <w:tcPr>
            <w:tcW w:w="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255,000,000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252,759,931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252,703,215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340" w:type="dxa"/>
            <w:vAlign w:val="bottom"/>
            <w:gridSpan w:val="3"/>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ONEY</w:t>
            </w:r>
            <w:r>
              <w:rPr>
                <w:rFonts w:ascii="Arial" w:cs="Arial" w:eastAsia="Arial" w:hAnsi="Arial"/>
                <w:sz w:val="18"/>
                <w:szCs w:val="18"/>
                <w:color w:val="auto"/>
              </w:rPr>
              <w:t xml:space="preserve"> M</w:t>
            </w:r>
            <w:r>
              <w:rPr>
                <w:rFonts w:ascii="Arial" w:cs="Arial" w:eastAsia="Arial" w:hAnsi="Arial"/>
                <w:sz w:val="14"/>
                <w:szCs w:val="14"/>
                <w:color w:val="auto"/>
              </w:rPr>
              <w:t>ARKET</w:t>
            </w:r>
            <w:r>
              <w:rPr>
                <w:rFonts w:ascii="Arial" w:cs="Arial" w:eastAsia="Arial" w:hAnsi="Arial"/>
                <w:sz w:val="18"/>
                <w:szCs w:val="18"/>
                <w:color w:val="auto"/>
              </w:rPr>
              <w:t xml:space="preserve"> – M</w:t>
            </w:r>
            <w:r>
              <w:rPr>
                <w:rFonts w:ascii="Arial" w:cs="Arial" w:eastAsia="Arial" w:hAnsi="Arial"/>
                <w:sz w:val="14"/>
                <w:szCs w:val="14"/>
                <w:color w:val="auto"/>
              </w:rPr>
              <w:t>UTUAL</w:t>
            </w:r>
            <w:r>
              <w:rPr>
                <w:rFonts w:ascii="Arial" w:cs="Arial" w:eastAsia="Arial" w:hAnsi="Arial"/>
                <w:sz w:val="18"/>
                <w:szCs w:val="18"/>
                <w:color w:val="auto"/>
              </w:rPr>
              <w:t xml:space="preserve"> F</w:t>
            </w:r>
            <w:r>
              <w:rPr>
                <w:rFonts w:ascii="Arial" w:cs="Arial" w:eastAsia="Arial" w:hAnsi="Arial"/>
                <w:sz w:val="14"/>
                <w:szCs w:val="14"/>
                <w:color w:val="auto"/>
              </w:rPr>
              <w:t>UNDS</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5,256,420</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5,256,420</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5,256,420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Cash Equivalents</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260,256,420</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258,016,351</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257,959,635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40" w:type="dxa"/>
            <w:vAlign w:val="bottom"/>
            <w:gridSpan w:val="3"/>
          </w:tcPr>
          <w:p>
            <w:pPr>
              <w:spacing w:after="0"/>
              <w:rPr>
                <w:sz w:val="20"/>
                <w:szCs w:val="20"/>
                <w:color w:val="auto"/>
              </w:rPr>
            </w:pPr>
            <w:r>
              <w:rPr>
                <w:rFonts w:ascii="Arial" w:cs="Arial" w:eastAsia="Arial" w:hAnsi="Arial"/>
                <w:sz w:val="18"/>
                <w:szCs w:val="18"/>
                <w:b w:val="1"/>
                <w:bCs w:val="1"/>
                <w:color w:val="auto"/>
                <w:w w:val="99"/>
              </w:rPr>
              <w:t>Total Investments and Cash Equivalents – 203.03%</w:t>
            </w: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572,898,221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548,976,243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in Excess of Other Assets – (103.0%)</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(278,583,149)</w:t>
            </w:r>
          </w:p>
        </w:tc>
        <w:tc>
          <w:tcPr>
            <w:tcW w:w="0" w:type="dxa"/>
            <w:vAlign w:val="bottom"/>
          </w:tcPr>
          <w:p>
            <w:pPr>
              <w:spacing w:after="0"/>
              <w:rPr>
                <w:sz w:val="1"/>
                <w:szCs w:val="1"/>
                <w:color w:val="auto"/>
              </w:rPr>
            </w:pPr>
          </w:p>
        </w:tc>
      </w:tr>
      <w:tr>
        <w:trPr>
          <w:trHeight w:val="20"/>
        </w:trPr>
        <w:tc>
          <w:tcPr>
            <w:tcW w:w="43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Assets – 100.0%</w:t>
            </w: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40" w:type="dxa"/>
            <w:vAlign w:val="bottom"/>
            <w:gridSpan w:val="3"/>
            <w:vMerge w:val="continue"/>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270,393,094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40" w:right="60" w:hanging="332"/>
        <w:spacing w:after="0" w:line="268" w:lineRule="auto"/>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As used in this Schedule of Investments and in accordance with the Investment Company Act of 1940 (the “1940 Act”) “non-controlled” means we own less than 25% of a portfolio company’s voting securities.</w:t>
      </w:r>
    </w:p>
    <w:p>
      <w:pPr>
        <w:spacing w:after="0" w:line="50" w:lineRule="exact"/>
        <w:rPr>
          <w:rFonts w:ascii="Arial" w:cs="Arial" w:eastAsia="Arial" w:hAnsi="Arial"/>
          <w:sz w:val="18"/>
          <w:szCs w:val="18"/>
          <w:color w:val="auto"/>
        </w:rPr>
      </w:pPr>
    </w:p>
    <w:p>
      <w:pPr>
        <w:ind w:left="340" w:right="200" w:hanging="332"/>
        <w:spacing w:after="0" w:line="268" w:lineRule="auto"/>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As used in this Schedule of Investments and in accordance with the 1940 Act “non-affiliated” means we own less than 5% of a portfolio company’s voting securities and “affiliated” means that we own more than 5% of a portfolio company’s voting securities.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SEPTEMBER 30, 2007</w:t>
      </w:r>
    </w:p>
    <w:p>
      <w:pPr>
        <w:spacing w:after="0" w:line="286" w:lineRule="exact"/>
        <w:rPr>
          <w:sz w:val="20"/>
          <w:szCs w:val="20"/>
          <w:color w:val="auto"/>
        </w:rPr>
      </w:pPr>
    </w:p>
    <w:p>
      <w:pPr>
        <w:ind w:left="340" w:hanging="332"/>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Valued based on our accounting policy (see note 2 to our financial statements).</w:t>
      </w:r>
    </w:p>
    <w:p>
      <w:pPr>
        <w:spacing w:after="0" w:line="90"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Represents floating rate instruments that accrue interest at a predetermined spread relative to an index, typically the applicable London Interbank Offer Rate (LIBOR or “L”).</w:t>
      </w:r>
    </w:p>
    <w:p>
      <w:pPr>
        <w:spacing w:after="0" w:line="50" w:lineRule="exact"/>
        <w:rPr>
          <w:rFonts w:ascii="Arial" w:cs="Arial" w:eastAsia="Arial" w:hAnsi="Arial"/>
          <w:sz w:val="18"/>
          <w:szCs w:val="18"/>
          <w:color w:val="auto"/>
        </w:rPr>
      </w:pPr>
    </w:p>
    <w:p>
      <w:pPr>
        <w:ind w:left="340" w:hanging="332"/>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Represents purchases of securities with delayed draws. These securities do not have a basis point spread above index.</w:t>
      </w:r>
    </w:p>
    <w:p>
      <w:pPr>
        <w:spacing w:after="0" w:line="90" w:lineRule="exact"/>
        <w:rPr>
          <w:rFonts w:ascii="Arial" w:cs="Arial" w:eastAsia="Arial" w:hAnsi="Arial"/>
          <w:sz w:val="18"/>
          <w:szCs w:val="18"/>
          <w:color w:val="auto"/>
        </w:rPr>
      </w:pPr>
    </w:p>
    <w:p>
      <w:pPr>
        <w:ind w:left="340" w:right="320" w:hanging="332"/>
        <w:spacing w:after="0" w:line="268" w:lineRule="auto"/>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Security is exempt from registration under Rule 144A promulgated under the Securities Act of 1933. The security may be resold in transactions that are exempt from registration, normally to qualified institutional buyers.</w:t>
      </w:r>
    </w:p>
    <w:p>
      <w:pPr>
        <w:spacing w:after="0" w:line="51" w:lineRule="exact"/>
        <w:rPr>
          <w:sz w:val="20"/>
          <w:szCs w:val="20"/>
          <w:color w:val="auto"/>
        </w:rPr>
      </w:pPr>
    </w:p>
    <w:p>
      <w:pPr>
        <w:ind w:right="6940" w:firstLine="8"/>
        <w:spacing w:after="0" w:line="362" w:lineRule="auto"/>
        <w:tabs>
          <w:tab w:leader="none" w:pos="338"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Coupon payable in cash and/or payment-in-kind (“PIK”). ** Non-income producing.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20"/>
          </w:cols>
          <w:pgMar w:left="240" w:top="459" w:right="3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PennantPark Investment Corporation (“PennantPark Investment” or “Company”) was organized as a Maryland corporation on January 11, 2007. PennantPark Investment’s objective is to generate both current income and capital appreciation through debt and equity investments. The Company invests primarily in U.S. middle-market companies in the form of mezzanine debt, senior secured loans and equity investments. Before the completion of its initial public offering on April 24, 2007, PennantPark Investment had limited operations other than the sale and issuance of 80,000 shares of common stock at a price of $15.00 per share to PennantPark Investment Advisers, LLC (the “Investment Adviser” or “PennantPark Investment Advisers”), resulting in net proceeds of $1.2 million, and the purchase of first lien secured debt.</w:t>
      </w:r>
    </w:p>
    <w:p>
      <w:pPr>
        <w:spacing w:after="0" w:line="144"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On April 24, 2007 PennantPark Investment closed its initial public offering and sold 20,000,000 shares of common stock at a price of $15.00 per share, resulting in net proceeds of $279.6 million. Also, on April 24, 2007 PennantPark Investment closed a private placement to officers, directors, the Investment Adviser and managers of the Investment Adviser, pursuant to Regulation D promulgated under the Securities Act of 1933, and issued an additional 320,000 shares of common stock at a price of $15.00 per share, resulting in net proceeds of $4.8 million. On May 21, 2007, the underwriters of the initial public offering exercised their over-allotment option under the Underwriting Agreement and elected to purchase 625,000 shares of common stock at a price of $15.00 per share, resulting in net proceeds of $8.8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reported amount of assets and liabilities at the date of the financial statements and the reported amounts of income and expenses during the reported period. Actual results could differ from these estimates.</w:t>
      </w:r>
    </w:p>
    <w:p>
      <w:pPr>
        <w:spacing w:after="0" w:line="14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financial statements are prepared in accordance with GAAP and pursuant to the requirements for reporting on Form 10-Q and Article 6 or 10 of Regulation S-X, as appropriate. In accordance with Article 6-09 of Regulation S-X under the Exchange Act, we are providing a Statement of Changes in Net Assets in lieu of a Statement of Changes in Stockholders’ Equity.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accounting policies consistently followed by PennantPark Investment are:</w:t>
      </w:r>
    </w:p>
    <w:p>
      <w:pPr>
        <w:spacing w:after="0" w:line="90" w:lineRule="exact"/>
        <w:rPr>
          <w:sz w:val="20"/>
          <w:szCs w:val="20"/>
          <w:color w:val="auto"/>
        </w:rPr>
      </w:pPr>
    </w:p>
    <w:p>
      <w:pPr>
        <w:ind w:left="460" w:firstLine="443"/>
        <w:spacing w:after="0" w:line="287" w:lineRule="auto"/>
        <w:tabs>
          <w:tab w:leader="none" w:pos="1137" w:val="left"/>
        </w:tabs>
        <w:numPr>
          <w:ilvl w:val="0"/>
          <w:numId w:val="95"/>
        </w:numPr>
        <w:rPr>
          <w:rFonts w:ascii="Arial" w:cs="Arial" w:eastAsia="Arial" w:hAnsi="Arial"/>
          <w:sz w:val="16"/>
          <w:szCs w:val="16"/>
          <w:color w:val="auto"/>
        </w:rPr>
      </w:pPr>
      <w:r>
        <w:rPr>
          <w:rFonts w:ascii="Arial" w:cs="Arial" w:eastAsia="Arial" w:hAnsi="Arial"/>
          <w:sz w:val="16"/>
          <w:szCs w:val="16"/>
          <w:color w:val="auto"/>
        </w:rPr>
        <w:t>Security transactions are recorded on a trade-date basis.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Subordinated debt, first lien secured debt and other debt securities with maturities greater than 60 days generally are valued by an independent pricing service or at the bid prices from at least two broker/dealers (if available, otherwise by a principal market maker or a primary market dealer). We expect that there will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With respect to investments for which there is no readily available market value,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00" w:right="20"/>
        <w:spacing w:after="0" w:line="294" w:lineRule="auto"/>
        <w:rPr>
          <w:sz w:val="20"/>
          <w:szCs w:val="20"/>
          <w:color w:val="auto"/>
        </w:rPr>
      </w:pPr>
      <w:r>
        <w:rPr>
          <w:rFonts w:ascii="Arial" w:cs="Arial" w:eastAsia="Arial" w:hAnsi="Arial"/>
          <w:sz w:val="16"/>
          <w:szCs w:val="16"/>
          <w:color w:val="auto"/>
        </w:rPr>
        <w:t>valuation methods include comparisons of financial ratios of the portfolio companies that issued such private securities to peer companies that are public.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29"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are readily available but are believed to be inaccurate, our board of directors undertakes a multi-step valuation process each quarter, as described below:</w:t>
      </w:r>
    </w:p>
    <w:p>
      <w:pPr>
        <w:spacing w:after="0" w:line="51" w:lineRule="exact"/>
        <w:rPr>
          <w:sz w:val="20"/>
          <w:szCs w:val="20"/>
          <w:color w:val="auto"/>
        </w:rPr>
      </w:pPr>
    </w:p>
    <w:p>
      <w:pPr>
        <w:ind w:left="920" w:right="20" w:firstLine="421"/>
        <w:spacing w:after="0" w:line="268" w:lineRule="auto"/>
        <w:tabs>
          <w:tab w:leader="none" w:pos="1549" w:val="left"/>
        </w:tabs>
        <w:numPr>
          <w:ilvl w:val="0"/>
          <w:numId w:val="96"/>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1600" w:hanging="259"/>
        <w:spacing w:after="0"/>
        <w:tabs>
          <w:tab w:leader="none" w:pos="16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20" w:right="280" w:firstLine="421"/>
        <w:spacing w:after="0" w:line="256" w:lineRule="auto"/>
        <w:tabs>
          <w:tab w:leader="none" w:pos="1647" w:val="left"/>
        </w:tabs>
        <w:numPr>
          <w:ilvl w:val="0"/>
          <w:numId w:val="96"/>
        </w:numPr>
        <w:rPr>
          <w:rFonts w:ascii="Arial" w:cs="Arial" w:eastAsia="Arial" w:hAnsi="Arial"/>
          <w:sz w:val="18"/>
          <w:szCs w:val="18"/>
          <w:color w:val="auto"/>
        </w:rPr>
      </w:pPr>
      <w:r>
        <w:rPr>
          <w:rFonts w:ascii="Arial" w:cs="Arial" w:eastAsia="Arial" w:hAnsi="Arial"/>
          <w:sz w:val="18"/>
          <w:szCs w:val="18"/>
          <w:color w:val="auto"/>
        </w:rPr>
        <w:t>Our board of directors also engages one or more independent valuation firms to conduct independent appraisals of our investments for which market quotations are not readily available or are readily available but believed to be inaccurate. The independent valuation firm reviews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20" w:right="200" w:firstLine="421"/>
        <w:spacing w:after="0" w:line="332" w:lineRule="auto"/>
        <w:tabs>
          <w:tab w:leader="none" w:pos="1637"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20" w:right="160" w:firstLine="421"/>
        <w:spacing w:after="0" w:line="268" w:lineRule="auto"/>
        <w:tabs>
          <w:tab w:leader="none" w:pos="1588"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5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(b) Investments purchased within 60 days of maturity are valued at cost plus accreted discount, or minus amortized premium, which approximates</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value.</w:t>
      </w:r>
    </w:p>
    <w:p>
      <w:pPr>
        <w:spacing w:after="0" w:line="84" w:lineRule="exact"/>
        <w:rPr>
          <w:sz w:val="20"/>
          <w:szCs w:val="20"/>
          <w:color w:val="auto"/>
        </w:rPr>
      </w:pPr>
    </w:p>
    <w:p>
      <w:pPr>
        <w:ind w:left="460" w:firstLine="443"/>
        <w:spacing w:after="0" w:line="323" w:lineRule="auto"/>
        <w:tabs>
          <w:tab w:leader="none" w:pos="1137" w:val="left"/>
        </w:tabs>
        <w:numPr>
          <w:ilvl w:val="0"/>
          <w:numId w:val="97"/>
        </w:numPr>
        <w:rPr>
          <w:rFonts w:ascii="Arial" w:cs="Arial" w:eastAsia="Arial" w:hAnsi="Arial"/>
          <w:sz w:val="15"/>
          <w:szCs w:val="15"/>
          <w:color w:val="auto"/>
        </w:rPr>
      </w:pPr>
      <w:r>
        <w:rPr>
          <w:rFonts w:ascii="Arial" w:cs="Arial" w:eastAsia="Arial" w:hAnsi="Arial"/>
          <w:sz w:val="15"/>
          <w:szCs w:val="15"/>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6" w:lineRule="exact"/>
        <w:rPr>
          <w:rFonts w:ascii="Arial" w:cs="Arial" w:eastAsia="Arial" w:hAnsi="Arial"/>
          <w:sz w:val="15"/>
          <w:szCs w:val="15"/>
          <w:color w:val="auto"/>
        </w:rPr>
      </w:pPr>
    </w:p>
    <w:p>
      <w:pPr>
        <w:ind w:left="460" w:right="40" w:firstLine="443"/>
        <w:spacing w:after="0" w:line="290" w:lineRule="auto"/>
        <w:tabs>
          <w:tab w:leader="none" w:pos="1147" w:val="left"/>
        </w:tabs>
        <w:numPr>
          <w:ilvl w:val="0"/>
          <w:numId w:val="97"/>
        </w:numPr>
        <w:rPr>
          <w:rFonts w:ascii="Arial" w:cs="Arial" w:eastAsia="Arial" w:hAnsi="Arial"/>
          <w:sz w:val="16"/>
          <w:szCs w:val="16"/>
          <w:color w:val="auto"/>
        </w:rPr>
      </w:pPr>
      <w:r>
        <w:rPr>
          <w:rFonts w:ascii="Arial" w:cs="Arial" w:eastAsia="Arial" w:hAnsi="Arial"/>
          <w:sz w:val="16"/>
          <w:szCs w:val="16"/>
          <w:color w:val="auto"/>
        </w:rPr>
        <w:t>We record interest income on an accrual basis to the extent that we expect to collect such amounts. For loans and debt securities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securities if we have reason to doubt our ability to collect such interest. Loan origination fees, original issue discount and market discount or premium are capitalized, and we then accrete or amortize such amounts using the effective interest method as interest income. We record prepayment premiums on loans and debt securities as interest income. Dividend income, if any, is recognized on an accrual basis to the extent that we expect to collect such amounts.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360"/>
          </w:cols>
          <w:pgMar w:left="240" w:top="459" w:right="29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86" w:lineRule="auto"/>
        <w:tabs>
          <w:tab w:leader="none" w:pos="1137"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Before May 1, 2007 PennantPark Investment was taxed as a corporation under Subchapter C of the Internal Revenue Code of 1986, as amended (the “Code”), and subject to corporate-level federal, state and local taxes. From May 1, 2007, PennantPark Investment has complied with the requirements of Subchapter M of the Code, and expects to be subject to tax as a regulated investment company, or “RIC”. As a corporation, PennantPark Investment accounted for income taxes using the asset liability method prescribed by FASB Statement No. 109, “Accounting for Income Taxes.” Under this method, income taxes were provided for 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as of its next taxable year-end, we do not anticipate paying any material corporate-level taxes in the future. The Company recognizes in its financial statements the effect of a tax position when it is more likely than not, based on the technical merits, that the position will be sustained upon examination. We did not have any uncertain tax positions that met the recognition or measurement criteria of FASB Interpretation No. 48, </w:t>
      </w:r>
      <w:r>
        <w:rPr>
          <w:rFonts w:ascii="Arial" w:cs="Arial" w:eastAsia="Arial" w:hAnsi="Arial"/>
          <w:sz w:val="16"/>
          <w:szCs w:val="16"/>
          <w:i w:val="1"/>
          <w:iCs w:val="1"/>
          <w:color w:val="auto"/>
        </w:rPr>
        <w:t xml:space="preserve">Accounting for Uncertainty in Income Taxes—an interpretation of FASB Statement No. 109 </w:t>
      </w:r>
      <w:r>
        <w:rPr>
          <w:rFonts w:ascii="Arial" w:cs="Arial" w:eastAsia="Arial" w:hAnsi="Arial"/>
          <w:sz w:val="16"/>
          <w:szCs w:val="16"/>
          <w:color w:val="auto"/>
        </w:rPr>
        <w:t>(“FIN 48”) nor did we have any unrecognized tax benefits as of</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2007 or June 30, 2008. Although we file federal and state tax returns, our major tax jurisdiction is federal. Our 2007 federal tax year remains subject to examination by the IRS.</w:t>
      </w:r>
    </w:p>
    <w:p>
      <w:pPr>
        <w:spacing w:after="0" w:line="43" w:lineRule="exact"/>
        <w:rPr>
          <w:rFonts w:ascii="Arial" w:cs="Arial" w:eastAsia="Arial" w:hAnsi="Arial"/>
          <w:sz w:val="16"/>
          <w:szCs w:val="16"/>
          <w:color w:val="auto"/>
        </w:rPr>
      </w:pPr>
    </w:p>
    <w:p>
      <w:pPr>
        <w:ind w:left="460" w:right="80" w:firstLine="443"/>
        <w:spacing w:after="0" w:line="259" w:lineRule="auto"/>
        <w:tabs>
          <w:tab w:leader="none" w:pos="1117" w:val="left"/>
        </w:tabs>
        <w:numPr>
          <w:ilvl w:val="0"/>
          <w:numId w:val="98"/>
        </w:numPr>
        <w:rPr>
          <w:rFonts w:ascii="Arial" w:cs="Arial" w:eastAsia="Arial" w:hAnsi="Arial"/>
          <w:sz w:val="18"/>
          <w:szCs w:val="18"/>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59" w:lineRule="exact"/>
        <w:rPr>
          <w:rFonts w:ascii="Arial" w:cs="Arial" w:eastAsia="Arial" w:hAnsi="Arial"/>
          <w:sz w:val="18"/>
          <w:szCs w:val="18"/>
          <w:color w:val="auto"/>
        </w:rPr>
      </w:pPr>
    </w:p>
    <w:p>
      <w:pPr>
        <w:ind w:left="460" w:right="60" w:firstLine="443"/>
        <w:spacing w:after="0" w:line="253" w:lineRule="auto"/>
        <w:tabs>
          <w:tab w:leader="none" w:pos="1147"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In September 2006, the Financial Accounting Standards Board issued Statement of Financial Accounting Standards (“SFAS”) 157,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w:t>
      </w:r>
      <w:r>
        <w:rPr>
          <w:rFonts w:ascii="Arial" w:cs="Arial" w:eastAsia="Arial" w:hAnsi="Arial"/>
          <w:sz w:val="18"/>
          <w:szCs w:val="18"/>
          <w:color w:val="auto"/>
        </w:rPr>
        <w:t>, which clarifies the definition of fair value and requires companies to expand their disclosure about the use of fair value to measure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and liabilities in interim and annual periods subsequent to initial recognition. Adoption of SFAS 157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We plan to implement SFAS 157 for financial statements issued after September 30, 2008 and believe that this implementation will not affect the Company’s financial position or its results of operations.</w:t>
      </w:r>
    </w:p>
    <w:p>
      <w:pPr>
        <w:spacing w:after="0" w:line="66" w:lineRule="exact"/>
        <w:rPr>
          <w:rFonts w:ascii="Arial" w:cs="Arial" w:eastAsia="Arial" w:hAnsi="Arial"/>
          <w:sz w:val="18"/>
          <w:szCs w:val="18"/>
          <w:color w:val="auto"/>
        </w:rPr>
      </w:pPr>
    </w:p>
    <w:p>
      <w:pPr>
        <w:ind w:left="460" w:right="160" w:firstLine="443"/>
        <w:spacing w:after="0" w:line="254" w:lineRule="auto"/>
        <w:tabs>
          <w:tab w:leader="none" w:pos="1147"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In February 2007, the FASB issued Statement No. 159, </w:t>
      </w:r>
      <w:r>
        <w:rPr>
          <w:rFonts w:ascii="Arial" w:cs="Arial" w:eastAsia="Arial" w:hAnsi="Arial"/>
          <w:sz w:val="18"/>
          <w:szCs w:val="18"/>
          <w:i w:val="1"/>
          <w:iCs w:val="1"/>
          <w:color w:val="auto"/>
        </w:rPr>
        <w:t>The Fair Value Option for Financial Assets and Financial Liabilities Including an</w:t>
      </w:r>
      <w:r>
        <w:rPr>
          <w:rFonts w:ascii="Arial" w:cs="Arial" w:eastAsia="Arial" w:hAnsi="Arial"/>
          <w:sz w:val="18"/>
          <w:szCs w:val="18"/>
          <w:color w:val="auto"/>
        </w:rPr>
        <w:t xml:space="preserve"> </w:t>
      </w:r>
      <w:r>
        <w:rPr>
          <w:rFonts w:ascii="Arial" w:cs="Arial" w:eastAsia="Arial" w:hAnsi="Arial"/>
          <w:sz w:val="18"/>
          <w:szCs w:val="18"/>
          <w:i w:val="1"/>
          <w:iCs w:val="1"/>
          <w:color w:val="auto"/>
        </w:rPr>
        <w:t>Amendment of FASB Statement No. 115</w:t>
      </w:r>
      <w:r>
        <w:rPr>
          <w:rFonts w:ascii="Arial" w:cs="Arial" w:eastAsia="Arial" w:hAnsi="Arial"/>
          <w:sz w:val="18"/>
          <w:szCs w:val="18"/>
          <w:color w:val="auto"/>
        </w:rPr>
        <w:t>. This statement permits an entity to choose to measure many financial instruments and certain other items at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This statement applies to all reporting 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We plan to implement SFAS 159 for financial statements issued after September 30, 2008 and “continue to evaluate future applicability.”</w:t>
      </w:r>
    </w:p>
    <w:p>
      <w:pPr>
        <w:spacing w:after="0" w:line="63" w:lineRule="exact"/>
        <w:rPr>
          <w:rFonts w:ascii="Arial" w:cs="Arial" w:eastAsia="Arial" w:hAnsi="Arial"/>
          <w:sz w:val="18"/>
          <w:szCs w:val="18"/>
          <w:color w:val="auto"/>
        </w:rPr>
      </w:pPr>
    </w:p>
    <w:p>
      <w:pPr>
        <w:ind w:left="1120" w:hanging="217"/>
        <w:spacing w:after="0"/>
        <w:tabs>
          <w:tab w:leader="none" w:pos="11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Certain prior period amounts have been reclassified to conform to current period presentation.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PennantPark Investment has entered into an Investment Management Agreement with the Investment Adviser. Under this agreement the Investment Adviser, subject to the overall supervision of PennantPark Investment’s board of directors, manages the day-to-day operations of and provides investment advisory services to, PennantPark Investment. For providing these services, the Investment Adviser receives a fee from PennantPark Investment, consisting of two components—a base management fee and an incentive fee (collectively, “Management Fees”).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base management fee is calculated at an annual rate of 2.00% on PennantPark Investment’s gross assets (net of U.S. Treasury Bills and/or temporary draws on the Revolving Credit Facility (“adjusted gross assets”), if any) (see note 8). Although the base management fee is 2.00% of adjusted gross assets, the Investment Adviser agreed to waive a portion of the base management fee such that the base management fee equaled 1.50% from the consummation of the initial public offering through September 30, 2007 and 1.75% from October 1, 2007 through March 31, 2008. The base management fee equals 2.00% after March 31, 2008 and is payable quarterly in arrears. The base management fee is calculated based on the average value of adjusted gross assets at the end of the two most recently completed calendar quarters, and appropriately adjusted for any share issuances or repurchases during the current calendar quarter. For the three and nine months ended June 30, 2008, the Investment Adviser received a net base management fee of $1.8 million and $4.8 million, respectively, from the Company. For the three months ended June 30, 2007 and the period January 11, 2007 (inception) to June 30, 2007, the Investment Adviser received a net base management fee of approximately $786,000 from the Company.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pay in kind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w:t>
      </w:r>
    </w:p>
    <w:p>
      <w:pPr>
        <w:spacing w:after="0" w:line="46" w:lineRule="exact"/>
        <w:rPr>
          <w:sz w:val="20"/>
          <w:szCs w:val="20"/>
          <w:color w:val="auto"/>
        </w:rPr>
      </w:pPr>
    </w:p>
    <w:p>
      <w:pPr>
        <w:ind w:left="460" w:right="60" w:firstLine="443"/>
        <w:spacing w:after="0" w:line="294" w:lineRule="auto"/>
        <w:tabs>
          <w:tab w:leader="none" w:pos="1147" w:val="left"/>
        </w:tabs>
        <w:numPr>
          <w:ilvl w:val="0"/>
          <w:numId w:val="99"/>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PennantPark Investment’s Pre-Incentive Fee Net Investment Income does not exceed the hurdle rate of 1.75%; (2)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16" w:lineRule="exact"/>
        <w:rPr>
          <w:sz w:val="20"/>
          <w:szCs w:val="20"/>
          <w:color w:val="auto"/>
        </w:rPr>
      </w:pPr>
    </w:p>
    <w:p>
      <w:pPr>
        <w:ind w:left="460" w:right="20" w:firstLine="438"/>
        <w:spacing w:after="0" w:line="289"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commencing on December 31, 2007,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However, the incentive fee determined as of December 31, 2007 was calculated for a period of shorter than twelve calendar months to take into account any realized capital gains computed net of all realized capital losses and unrealized capital depreciation from inception. For the three and nine months ended June 30, 2008, the Adviser received an incentive fee of $1.0 million and $2.4 million, respectively, from the Company. For the three months ended June 30, 2007 and for the period January 11, 2007 (inception) through June 30, 2007, the Investment Adviser did not receive an incentive fee from the Company.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PennantPark Investment has also entered into an Administration Agreement with PennantPark Investment Administration, LLC (the “Administrator” or “PennantPark Investment Administration”) under which PennantPark Investment Administration provides administrative services for PennantPark Investment. For providing these services, facilities and personnel, PennantPark Investment reimburses the Administrator for PennantPark Investment’s allocable portion of overhead and other expenses incurred by the Administrator in performing its obligations under the Administration Agreement, including rent, technology systems, insurance and PennantPark Investment’s allocable portion of the costs of the compensation and related expenses for its chief compliance officer, chief financial officer and their respective staffs. The Administrator also provides on PennantPark Investment’s behalf managerial assistance to portfolio companies to which PennantPark Investment is required to provide such assistance. Reimbursement for certain of these costs is included in administrative services expenses in the statement of operations. For the three and nine months ended June 30, 2008, the Investment Adviser was reimbursed $0.5 million and $1.6 million, respectively, from the Company, including expenses it incurred on behalf of the Administrator, for services described above. For the three months ended June 30, 2007 and for the period January 11, 2007 (inception) to June 30, 2007, the Investment Adviser was reimbursed $189,000 from the Company for services described above.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ORGANIZATIONAL AND OFFERING EXPENSES</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 portion of the net proceeds of the Company’s initial public offering was used for organizational, offering and other expenses. Organizational expenses were treated as expenses incurred. Offering costs of $21.3 million were charged to net assets after the completion of the initial public offering on April 24, 2007.</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ASSET VALUE PER SHARE</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On June 30, 2008, PennantPark Investment’s total net assets and net asset value per share were $226.8 million and $10.77, respectively. On September 30, 2007, PennantPark Investment’s total net assets and net asset value per share were $270.4 million and $12.83,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GAIN/(LOSS)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sets forth the computation of basic and diluted per share net increase/(decrease) in net assets resulting from operations: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Period from 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2"/>
                <w:szCs w:val="12"/>
                <w:color w:val="auto"/>
              </w:rPr>
            </w:pPr>
          </w:p>
        </w:tc>
        <w:tc>
          <w:tcPr>
            <w:tcW w:w="2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Three months ended</w:t>
            </w:r>
          </w:p>
        </w:tc>
        <w:tc>
          <w:tcPr>
            <w:tcW w:w="15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Nine months ended</w:t>
            </w:r>
          </w:p>
        </w:tc>
        <w:tc>
          <w:tcPr>
            <w:tcW w:w="400" w:type="dxa"/>
            <w:vAlign w:val="bottom"/>
          </w:tcPr>
          <w:p>
            <w:pPr>
              <w:spacing w:after="0"/>
              <w:rPr>
                <w:sz w:val="12"/>
                <w:szCs w:val="12"/>
                <w:color w:val="auto"/>
              </w:rPr>
            </w:pPr>
          </w:p>
        </w:tc>
        <w:tc>
          <w:tcPr>
            <w:tcW w:w="1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2007 (inception) through</w:t>
            </w:r>
          </w:p>
        </w:tc>
        <w:tc>
          <w:tcPr>
            <w:tcW w:w="0" w:type="dxa"/>
            <w:vAlign w:val="bottom"/>
          </w:tcPr>
          <w:p>
            <w:pPr>
              <w:spacing w:after="0"/>
              <w:rPr>
                <w:sz w:val="1"/>
                <w:szCs w:val="1"/>
                <w:color w:val="auto"/>
              </w:rPr>
            </w:pPr>
          </w:p>
        </w:tc>
      </w:tr>
      <w:tr>
        <w:trPr>
          <w:trHeight w:val="161"/>
        </w:trPr>
        <w:tc>
          <w:tcPr>
            <w:tcW w:w="3520" w:type="dxa"/>
            <w:vAlign w:val="bottom"/>
            <w:gridSpan w:val="3"/>
          </w:tcPr>
          <w:p>
            <w:pPr>
              <w:spacing w:after="0"/>
              <w:rPr>
                <w:sz w:val="20"/>
                <w:szCs w:val="20"/>
                <w:color w:val="auto"/>
              </w:rPr>
            </w:pPr>
            <w:r>
              <w:rPr>
                <w:rFonts w:ascii="Arial" w:cs="Arial" w:eastAsia="Arial" w:hAnsi="Arial"/>
                <w:sz w:val="14"/>
                <w:szCs w:val="14"/>
                <w:b w:val="1"/>
                <w:bCs w:val="1"/>
                <w:color w:val="auto"/>
              </w:rPr>
              <w:t>Class and Year</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June 30, 2008</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w w:val="90"/>
              </w:rPr>
              <w:t>June 30, 2007</w:t>
            </w:r>
          </w:p>
        </w:tc>
        <w:tc>
          <w:tcPr>
            <w:tcW w:w="140" w:type="dxa"/>
            <w:vAlign w:val="bottom"/>
          </w:tcPr>
          <w:p>
            <w:pPr>
              <w:spacing w:after="0"/>
              <w:rPr>
                <w:sz w:val="14"/>
                <w:szCs w:val="14"/>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7"/>
              </w:rPr>
              <w:t>June 30, 2008</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June 30, 2007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Numerator for net increase (decrease) in net</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assets resulting from operations:</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15,204,464</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(1,944,046)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(29,660,865)</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(2,177,592)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00" w:type="dxa"/>
            <w:vAlign w:val="bottom"/>
            <w:gridSpan w:val="2"/>
          </w:tcPr>
          <w:p>
            <w:pPr>
              <w:ind w:left="200"/>
              <w:spacing w:after="0"/>
              <w:rPr>
                <w:sz w:val="20"/>
                <w:szCs w:val="20"/>
                <w:color w:val="auto"/>
              </w:rPr>
            </w:pPr>
            <w:r>
              <w:rPr>
                <w:rFonts w:ascii="Arial" w:cs="Arial" w:eastAsia="Arial" w:hAnsi="Arial"/>
                <w:sz w:val="18"/>
                <w:szCs w:val="18"/>
                <w:color w:val="auto"/>
              </w:rPr>
              <w:t>average shares:</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21,068,772</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21,046,883</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21,068,772</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21,046,883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Basic and diluted net increase (decrease) in</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assets per share resulting from</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0.72</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(0.09)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(1.40)</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F-37</w:t>
            </w: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Purchases and sales/repayments of long-term investments for the three months ended June 30, 2008 totaled $46.8 million and $9.2 million, respectively. In addition, for the nine months ended June 30, 2008 purchases and sales/repayments of long-term investments totaled $149.3 million and $14.4 million,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2008</w:t>
            </w: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5"/>
          </w:tcPr>
          <w:p>
            <w:pPr>
              <w:ind w:left="580"/>
              <w:spacing w:after="0"/>
              <w:rPr>
                <w:sz w:val="20"/>
                <w:szCs w:val="20"/>
                <w:color w:val="auto"/>
              </w:rPr>
            </w:pPr>
            <w:r>
              <w:rPr>
                <w:rFonts w:ascii="Arial" w:cs="Arial" w:eastAsia="Arial" w:hAnsi="Arial"/>
                <w:sz w:val="14"/>
                <w:szCs w:val="14"/>
                <w:b w:val="1"/>
                <w:bCs w:val="1"/>
                <w:color w:val="auto"/>
              </w:rPr>
              <w:t>September 30,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Cost</w:t>
            </w:r>
          </w:p>
        </w:tc>
        <w:tc>
          <w:tcPr>
            <w:tcW w:w="3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w w:val="89"/>
              </w:rPr>
              <w:t>Fair Value</w:t>
            </w:r>
          </w:p>
        </w:tc>
        <w:tc>
          <w:tcPr>
            <w:tcW w:w="3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Cost</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Second lien</w:t>
            </w:r>
          </w:p>
        </w:tc>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131,972,861</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106,979,750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75,260,488</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67,748,750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Subordinated debt/corporate notes</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146,881,909</w:t>
            </w:r>
          </w:p>
        </w:tc>
        <w:tc>
          <w:tcPr>
            <w:tcW w:w="2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130,597,490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62,397,146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57,318,268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Preferred equity</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7,276,275</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7,276,275</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Common equity</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7,207,187</w:t>
            </w:r>
          </w:p>
        </w:tc>
        <w:tc>
          <w:tcPr>
            <w:tcW w:w="2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7,672,424</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6,750,000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7,019,685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First lien</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158,452,310</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133,180,864</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170,474,236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158,929,905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Cash equivalents</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41,030,236</w:t>
            </w:r>
          </w:p>
        </w:tc>
        <w:tc>
          <w:tcPr>
            <w:tcW w:w="2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41,030,236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258,016,351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257,959,635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492,820,778</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426,737,039</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572,898,221</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548,976,243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represents the original cost adjusted for the accretion of discounts and amortization of premiums on debt investments, if any.</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June 30, 2008 and September 30, 2007.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2520" w:type="dxa"/>
            <w:vAlign w:val="bottom"/>
          </w:tcPr>
          <w:p>
            <w:pPr>
              <w:spacing w:after="0"/>
              <w:rPr>
                <w:sz w:val="14"/>
                <w:szCs w:val="14"/>
                <w:color w:val="auto"/>
              </w:rPr>
            </w:pPr>
          </w:p>
        </w:tc>
        <w:tc>
          <w:tcPr>
            <w:tcW w:w="2140" w:type="dxa"/>
            <w:vAlign w:val="bottom"/>
            <w:gridSpan w:val="2"/>
          </w:tcPr>
          <w:p>
            <w:pPr>
              <w:jc w:val="right"/>
              <w:ind w:right="1340"/>
              <w:spacing w:after="0"/>
              <w:rPr>
                <w:sz w:val="20"/>
                <w:szCs w:val="20"/>
                <w:color w:val="auto"/>
              </w:rPr>
            </w:pPr>
            <w:r>
              <w:rPr>
                <w:rFonts w:ascii="Arial" w:cs="Arial" w:eastAsia="Arial" w:hAnsi="Arial"/>
                <w:sz w:val="14"/>
                <w:szCs w:val="14"/>
                <w:b w:val="1"/>
                <w:bCs w:val="1"/>
                <w:color w:val="auto"/>
                <w:w w:val="85"/>
              </w:rPr>
              <w:t>June 30, 2008</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4"/>
              </w:rPr>
              <w:t>September 30, 2007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466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10%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Other Media</w:t>
            </w:r>
          </w:p>
        </w:tc>
        <w:tc>
          <w:tcPr>
            <w:tcW w:w="4660" w:type="dxa"/>
            <w:vAlign w:val="bottom"/>
            <w:gridSpan w:val="3"/>
          </w:tcPr>
          <w:p>
            <w:pPr>
              <w:jc w:val="right"/>
              <w:ind w:right="1340"/>
              <w:spacing w:after="0"/>
              <w:rPr>
                <w:sz w:val="20"/>
                <w:szCs w:val="20"/>
                <w:color w:val="auto"/>
              </w:rPr>
            </w:pPr>
            <w:r>
              <w:rPr>
                <w:rFonts w:ascii="Arial" w:cs="Arial" w:eastAsia="Arial" w:hAnsi="Arial"/>
                <w:sz w:val="18"/>
                <w:szCs w:val="18"/>
                <w:color w:val="auto"/>
              </w:rPr>
              <w:t>10</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Education and Childcare</w:t>
            </w:r>
          </w:p>
        </w:tc>
        <w:tc>
          <w:tcPr>
            <w:tcW w:w="4660" w:type="dxa"/>
            <w:vAlign w:val="bottom"/>
            <w:gridSpan w:val="3"/>
            <w:shd w:val="clear" w:color="auto" w:fill="CCEEFF"/>
          </w:tcPr>
          <w:p>
            <w:pPr>
              <w:jc w:val="right"/>
              <w:ind w:right="1340"/>
              <w:spacing w:after="0"/>
              <w:rPr>
                <w:sz w:val="20"/>
                <w:szCs w:val="20"/>
                <w:color w:val="auto"/>
              </w:rPr>
            </w:pPr>
            <w:r>
              <w:rPr>
                <w:rFonts w:ascii="Arial" w:cs="Arial" w:eastAsia="Arial" w:hAnsi="Arial"/>
                <w:sz w:val="18"/>
                <w:szCs w:val="18"/>
                <w:color w:val="auto"/>
              </w:rPr>
              <w:t>8</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Oil and Gas</w:t>
            </w:r>
          </w:p>
        </w:tc>
        <w:tc>
          <w:tcPr>
            <w:tcW w:w="4660" w:type="dxa"/>
            <w:vAlign w:val="bottom"/>
            <w:gridSpan w:val="3"/>
          </w:tcPr>
          <w:p>
            <w:pPr>
              <w:jc w:val="right"/>
              <w:ind w:right="1340"/>
              <w:spacing w:after="0"/>
              <w:rPr>
                <w:sz w:val="20"/>
                <w:szCs w:val="20"/>
                <w:color w:val="auto"/>
              </w:rPr>
            </w:pPr>
            <w:r>
              <w:rPr>
                <w:rFonts w:ascii="Arial" w:cs="Arial" w:eastAsia="Arial" w:hAnsi="Arial"/>
                <w:sz w:val="18"/>
                <w:szCs w:val="18"/>
                <w:color w:val="auto"/>
              </w:rPr>
              <w:t>8</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 Plastic and Rubber</w:t>
            </w:r>
          </w:p>
        </w:tc>
        <w:tc>
          <w:tcPr>
            <w:tcW w:w="4660" w:type="dxa"/>
            <w:vAlign w:val="bottom"/>
            <w:gridSpan w:val="3"/>
            <w:shd w:val="clear" w:color="auto" w:fill="CCEEFF"/>
          </w:tcPr>
          <w:p>
            <w:pPr>
              <w:jc w:val="right"/>
              <w:ind w:right="1340"/>
              <w:spacing w:after="0"/>
              <w:rPr>
                <w:sz w:val="20"/>
                <w:szCs w:val="20"/>
                <w:color w:val="auto"/>
              </w:rPr>
            </w:pPr>
            <w:r>
              <w:rPr>
                <w:rFonts w:ascii="Arial" w:cs="Arial" w:eastAsia="Arial" w:hAnsi="Arial"/>
                <w:sz w:val="18"/>
                <w:szCs w:val="18"/>
                <w:color w:val="auto"/>
              </w:rPr>
              <w:t>6</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4660" w:type="dxa"/>
            <w:vAlign w:val="bottom"/>
            <w:gridSpan w:val="3"/>
          </w:tcPr>
          <w:p>
            <w:pPr>
              <w:jc w:val="right"/>
              <w:ind w:right="1340"/>
              <w:spacing w:after="0"/>
              <w:rPr>
                <w:sz w:val="20"/>
                <w:szCs w:val="20"/>
                <w:color w:val="auto"/>
              </w:rPr>
            </w:pPr>
            <w:r>
              <w:rPr>
                <w:rFonts w:ascii="Arial" w:cs="Arial" w:eastAsia="Arial" w:hAnsi="Arial"/>
                <w:sz w:val="18"/>
                <w:szCs w:val="18"/>
                <w:color w:val="auto"/>
              </w:rPr>
              <w:t>6</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/Utilities</w:t>
            </w:r>
          </w:p>
        </w:tc>
        <w:tc>
          <w:tcPr>
            <w:tcW w:w="4660" w:type="dxa"/>
            <w:vAlign w:val="bottom"/>
            <w:gridSpan w:val="3"/>
            <w:shd w:val="clear" w:color="auto" w:fill="CCEEFF"/>
          </w:tcPr>
          <w:p>
            <w:pPr>
              <w:jc w:val="right"/>
              <w:ind w:right="1340"/>
              <w:spacing w:after="0"/>
              <w:rPr>
                <w:sz w:val="20"/>
                <w:szCs w:val="20"/>
                <w:color w:val="auto"/>
              </w:rPr>
            </w:pPr>
            <w:r>
              <w:rPr>
                <w:rFonts w:ascii="Arial" w:cs="Arial" w:eastAsia="Arial" w:hAnsi="Arial"/>
                <w:sz w:val="18"/>
                <w:szCs w:val="18"/>
                <w:color w:val="auto"/>
              </w:rPr>
              <w:t>6</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Auto Sector</w:t>
            </w:r>
          </w:p>
        </w:tc>
        <w:tc>
          <w:tcPr>
            <w:tcW w:w="4660" w:type="dxa"/>
            <w:vAlign w:val="bottom"/>
            <w:gridSpan w:val="3"/>
          </w:tcPr>
          <w:p>
            <w:pPr>
              <w:jc w:val="right"/>
              <w:ind w:right="1340"/>
              <w:spacing w:after="0"/>
              <w:rPr>
                <w:sz w:val="20"/>
                <w:szCs w:val="20"/>
                <w:color w:val="auto"/>
              </w:rPr>
            </w:pPr>
            <w:r>
              <w:rPr>
                <w:rFonts w:ascii="Arial" w:cs="Arial" w:eastAsia="Arial" w:hAnsi="Arial"/>
                <w:sz w:val="18"/>
                <w:szCs w:val="18"/>
                <w:color w:val="auto"/>
              </w:rPr>
              <w:t>5</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4660" w:type="dxa"/>
            <w:vAlign w:val="bottom"/>
            <w:gridSpan w:val="3"/>
            <w:shd w:val="clear" w:color="auto" w:fill="CCEEFF"/>
          </w:tcPr>
          <w:p>
            <w:pPr>
              <w:jc w:val="right"/>
              <w:ind w:right="1340"/>
              <w:spacing w:after="0"/>
              <w:rPr>
                <w:sz w:val="20"/>
                <w:szCs w:val="20"/>
                <w:color w:val="auto"/>
              </w:rPr>
            </w:pPr>
            <w:r>
              <w:rPr>
                <w:rFonts w:ascii="Arial" w:cs="Arial" w:eastAsia="Arial" w:hAnsi="Arial"/>
                <w:sz w:val="18"/>
                <w:szCs w:val="18"/>
                <w:color w:val="auto"/>
              </w:rPr>
              <w:t>5</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4660" w:type="dxa"/>
            <w:vAlign w:val="bottom"/>
            <w:gridSpan w:val="3"/>
          </w:tcPr>
          <w:p>
            <w:pPr>
              <w:jc w:val="right"/>
              <w:ind w:right="1340"/>
              <w:spacing w:after="0"/>
              <w:rPr>
                <w:sz w:val="20"/>
                <w:szCs w:val="20"/>
                <w:color w:val="auto"/>
              </w:rPr>
            </w:pPr>
            <w:r>
              <w:rPr>
                <w:rFonts w:ascii="Arial" w:cs="Arial" w:eastAsia="Arial" w:hAnsi="Arial"/>
                <w:sz w:val="18"/>
                <w:szCs w:val="18"/>
                <w:color w:val="auto"/>
              </w:rPr>
              <w:t>4</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Home and Office Furnishings, Housewares, and Durable Consumer Products</w:t>
            </w:r>
          </w:p>
        </w:tc>
        <w:tc>
          <w:tcPr>
            <w:tcW w:w="4660" w:type="dxa"/>
            <w:vAlign w:val="bottom"/>
            <w:gridSpan w:val="3"/>
            <w:shd w:val="clear" w:color="auto" w:fill="CCEEFF"/>
          </w:tcPr>
          <w:p>
            <w:pPr>
              <w:jc w:val="right"/>
              <w:ind w:right="1340"/>
              <w:spacing w:after="0"/>
              <w:rPr>
                <w:sz w:val="20"/>
                <w:szCs w:val="20"/>
                <w:color w:val="auto"/>
              </w:rPr>
            </w:pPr>
            <w:r>
              <w:rPr>
                <w:rFonts w:ascii="Arial" w:cs="Arial" w:eastAsia="Arial" w:hAnsi="Arial"/>
                <w:sz w:val="18"/>
                <w:szCs w:val="18"/>
                <w:color w:val="auto"/>
              </w:rPr>
              <w:t>4</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Leisure, Amusement, Motion Picture, Entertainment</w:t>
            </w:r>
          </w:p>
        </w:tc>
        <w:tc>
          <w:tcPr>
            <w:tcW w:w="4660" w:type="dxa"/>
            <w:vAlign w:val="bottom"/>
            <w:gridSpan w:val="3"/>
          </w:tcPr>
          <w:p>
            <w:pPr>
              <w:jc w:val="right"/>
              <w:ind w:right="1340"/>
              <w:spacing w:after="0"/>
              <w:rPr>
                <w:sz w:val="20"/>
                <w:szCs w:val="20"/>
                <w:color w:val="auto"/>
              </w:rPr>
            </w:pPr>
            <w:r>
              <w:rPr>
                <w:rFonts w:ascii="Arial" w:cs="Arial" w:eastAsia="Arial" w:hAnsi="Arial"/>
                <w:sz w:val="18"/>
                <w:szCs w:val="18"/>
                <w:color w:val="auto"/>
              </w:rPr>
              <w:t>4</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Broadcasting and Entertainment</w:t>
            </w:r>
          </w:p>
        </w:tc>
        <w:tc>
          <w:tcPr>
            <w:tcW w:w="4660" w:type="dxa"/>
            <w:vAlign w:val="bottom"/>
            <w:gridSpan w:val="3"/>
            <w:shd w:val="clear" w:color="auto" w:fill="CCEEFF"/>
          </w:tcPr>
          <w:p>
            <w:pPr>
              <w:jc w:val="right"/>
              <w:ind w:right="1340"/>
              <w:spacing w:after="0"/>
              <w:rPr>
                <w:sz w:val="20"/>
                <w:szCs w:val="20"/>
                <w:color w:val="auto"/>
              </w:rPr>
            </w:pPr>
            <w:r>
              <w:rPr>
                <w:rFonts w:ascii="Arial" w:cs="Arial" w:eastAsia="Arial" w:hAnsi="Arial"/>
                <w:sz w:val="18"/>
                <w:szCs w:val="18"/>
                <w:color w:val="auto"/>
              </w:rPr>
              <w:t>3</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Cable Television</w:t>
            </w:r>
          </w:p>
        </w:tc>
        <w:tc>
          <w:tcPr>
            <w:tcW w:w="4660" w:type="dxa"/>
            <w:vAlign w:val="bottom"/>
            <w:gridSpan w:val="3"/>
          </w:tcPr>
          <w:p>
            <w:pPr>
              <w:jc w:val="right"/>
              <w:ind w:right="1340"/>
              <w:spacing w:after="0"/>
              <w:rPr>
                <w:sz w:val="20"/>
                <w:szCs w:val="20"/>
                <w:color w:val="auto"/>
              </w:rPr>
            </w:pPr>
            <w:r>
              <w:rPr>
                <w:rFonts w:ascii="Arial" w:cs="Arial" w:eastAsia="Arial" w:hAnsi="Arial"/>
                <w:sz w:val="18"/>
                <w:szCs w:val="18"/>
                <w:color w:val="auto"/>
              </w:rPr>
              <w:t>3</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4660" w:type="dxa"/>
            <w:vAlign w:val="bottom"/>
            <w:gridSpan w:val="3"/>
            <w:shd w:val="clear" w:color="auto" w:fill="CCEEFF"/>
          </w:tcPr>
          <w:p>
            <w:pPr>
              <w:jc w:val="right"/>
              <w:ind w:right="1340"/>
              <w:spacing w:after="0"/>
              <w:rPr>
                <w:sz w:val="20"/>
                <w:szCs w:val="20"/>
                <w:color w:val="auto"/>
              </w:rPr>
            </w:pPr>
            <w:r>
              <w:rPr>
                <w:rFonts w:ascii="Arial" w:cs="Arial" w:eastAsia="Arial" w:hAnsi="Arial"/>
                <w:sz w:val="18"/>
                <w:szCs w:val="18"/>
                <w:color w:val="auto"/>
              </w:rPr>
              <w:t>3</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Retail Store</w:t>
            </w:r>
          </w:p>
        </w:tc>
        <w:tc>
          <w:tcPr>
            <w:tcW w:w="4660" w:type="dxa"/>
            <w:vAlign w:val="bottom"/>
            <w:gridSpan w:val="3"/>
          </w:tcPr>
          <w:p>
            <w:pPr>
              <w:jc w:val="right"/>
              <w:ind w:right="1340"/>
              <w:spacing w:after="0"/>
              <w:rPr>
                <w:sz w:val="20"/>
                <w:szCs w:val="20"/>
                <w:color w:val="auto"/>
              </w:rPr>
            </w:pPr>
            <w:r>
              <w:rPr>
                <w:rFonts w:ascii="Arial" w:cs="Arial" w:eastAsia="Arial" w:hAnsi="Arial"/>
                <w:sz w:val="18"/>
                <w:szCs w:val="18"/>
                <w:color w:val="auto"/>
              </w:rPr>
              <w:t>3</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4660" w:type="dxa"/>
            <w:vAlign w:val="bottom"/>
            <w:gridSpan w:val="3"/>
            <w:shd w:val="clear" w:color="auto" w:fill="CCEEFF"/>
          </w:tcPr>
          <w:p>
            <w:pPr>
              <w:jc w:val="right"/>
              <w:ind w:right="1340"/>
              <w:spacing w:after="0"/>
              <w:rPr>
                <w:sz w:val="20"/>
                <w:szCs w:val="20"/>
                <w:color w:val="auto"/>
              </w:rPr>
            </w:pPr>
            <w:r>
              <w:rPr>
                <w:rFonts w:ascii="Arial" w:cs="Arial" w:eastAsia="Arial" w:hAnsi="Arial"/>
                <w:sz w:val="18"/>
                <w:szCs w:val="18"/>
                <w:color w:val="auto"/>
              </w:rPr>
              <w:t>3</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Containers, Packaging and Glass</w:t>
            </w:r>
          </w:p>
        </w:tc>
        <w:tc>
          <w:tcPr>
            <w:tcW w:w="4660" w:type="dxa"/>
            <w:vAlign w:val="bottom"/>
            <w:gridSpan w:val="3"/>
          </w:tcPr>
          <w:p>
            <w:pPr>
              <w:jc w:val="right"/>
              <w:ind w:right="1340"/>
              <w:spacing w:after="0"/>
              <w:rPr>
                <w:sz w:val="20"/>
                <w:szCs w:val="20"/>
                <w:color w:val="auto"/>
              </w:rPr>
            </w:pPr>
            <w:r>
              <w:rPr>
                <w:rFonts w:ascii="Arial" w:cs="Arial" w:eastAsia="Arial" w:hAnsi="Arial"/>
                <w:sz w:val="18"/>
                <w:szCs w:val="18"/>
                <w:color w:val="auto"/>
              </w:rPr>
              <w:t>2</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4660" w:type="dxa"/>
            <w:vAlign w:val="bottom"/>
            <w:gridSpan w:val="3"/>
            <w:shd w:val="clear" w:color="auto" w:fill="CCEEFF"/>
          </w:tcPr>
          <w:p>
            <w:pPr>
              <w:jc w:val="right"/>
              <w:ind w:right="1340"/>
              <w:spacing w:after="0"/>
              <w:rPr>
                <w:sz w:val="20"/>
                <w:szCs w:val="20"/>
                <w:color w:val="auto"/>
              </w:rPr>
            </w:pPr>
            <w:r>
              <w:rPr>
                <w:rFonts w:ascii="Arial" w:cs="Arial" w:eastAsia="Arial" w:hAnsi="Arial"/>
                <w:sz w:val="18"/>
                <w:szCs w:val="18"/>
                <w:color w:val="auto"/>
              </w:rPr>
              <w:t>2</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4660" w:type="dxa"/>
            <w:vAlign w:val="bottom"/>
            <w:gridSpan w:val="3"/>
          </w:tcPr>
          <w:p>
            <w:pPr>
              <w:jc w:val="right"/>
              <w:ind w:right="1340"/>
              <w:spacing w:after="0"/>
              <w:rPr>
                <w:sz w:val="20"/>
                <w:szCs w:val="20"/>
                <w:color w:val="auto"/>
              </w:rPr>
            </w:pPr>
            <w:r>
              <w:rPr>
                <w:rFonts w:ascii="Arial" w:cs="Arial" w:eastAsia="Arial" w:hAnsi="Arial"/>
                <w:sz w:val="18"/>
                <w:szCs w:val="18"/>
                <w:color w:val="auto"/>
              </w:rPr>
              <w:t>1</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 Basic Industry</w:t>
            </w:r>
          </w:p>
        </w:tc>
        <w:tc>
          <w:tcPr>
            <w:tcW w:w="4660" w:type="dxa"/>
            <w:vAlign w:val="bottom"/>
            <w:gridSpan w:val="3"/>
            <w:shd w:val="clear" w:color="auto" w:fill="CCEEFF"/>
          </w:tcPr>
          <w:p>
            <w:pPr>
              <w:jc w:val="right"/>
              <w:ind w:right="1340"/>
              <w:spacing w:after="0"/>
              <w:rPr>
                <w:sz w:val="20"/>
                <w:szCs w:val="20"/>
                <w:color w:val="auto"/>
              </w:rPr>
            </w:pPr>
            <w:r>
              <w:rPr>
                <w:rFonts w:ascii="Arial" w:cs="Arial" w:eastAsia="Arial" w:hAnsi="Arial"/>
                <w:sz w:val="18"/>
                <w:szCs w:val="18"/>
                <w:color w:val="auto"/>
              </w:rPr>
              <w:t>1</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Media</w:t>
            </w:r>
          </w:p>
        </w:tc>
        <w:tc>
          <w:tcPr>
            <w:tcW w:w="4660" w:type="dxa"/>
            <w:vAlign w:val="bottom"/>
            <w:gridSpan w:val="3"/>
          </w:tcPr>
          <w:p>
            <w:pPr>
              <w:jc w:val="right"/>
              <w:ind w:right="1340"/>
              <w:spacing w:after="0"/>
              <w:rPr>
                <w:sz w:val="20"/>
                <w:szCs w:val="20"/>
                <w:color w:val="auto"/>
              </w:rPr>
            </w:pPr>
            <w:r>
              <w:rPr>
                <w:rFonts w:ascii="Arial" w:cs="Arial" w:eastAsia="Arial" w:hAnsi="Arial"/>
                <w:sz w:val="18"/>
                <w:szCs w:val="18"/>
                <w:color w:val="auto"/>
              </w:rPr>
              <w:t>1</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4660" w:type="dxa"/>
            <w:vAlign w:val="bottom"/>
            <w:gridSpan w:val="3"/>
            <w:shd w:val="clear" w:color="auto" w:fill="CCEEFF"/>
          </w:tcPr>
          <w:p>
            <w:pPr>
              <w:jc w:val="right"/>
              <w:ind w:right="1340"/>
              <w:spacing w:after="0"/>
              <w:rPr>
                <w:sz w:val="20"/>
                <w:szCs w:val="20"/>
                <w:color w:val="auto"/>
              </w:rPr>
            </w:pPr>
            <w:r>
              <w:rPr>
                <w:rFonts w:ascii="Arial" w:cs="Arial" w:eastAsia="Arial" w:hAnsi="Arial"/>
                <w:sz w:val="18"/>
                <w:szCs w:val="18"/>
                <w:color w:val="auto"/>
              </w:rPr>
              <w:t>1</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Utilities</w:t>
            </w:r>
          </w:p>
        </w:tc>
        <w:tc>
          <w:tcPr>
            <w:tcW w:w="4660" w:type="dxa"/>
            <w:vAlign w:val="bottom"/>
            <w:gridSpan w:val="3"/>
          </w:tcPr>
          <w:p>
            <w:pPr>
              <w:jc w:val="right"/>
              <w:ind w:right="1340"/>
              <w:spacing w:after="0"/>
              <w:rPr>
                <w:sz w:val="20"/>
                <w:szCs w:val="20"/>
                <w:color w:val="auto"/>
              </w:rPr>
            </w:pPr>
            <w:r>
              <w:rPr>
                <w:rFonts w:ascii="Arial" w:cs="Arial" w:eastAsia="Arial" w:hAnsi="Arial"/>
                <w:sz w:val="18"/>
                <w:szCs w:val="18"/>
                <w:color w:val="auto"/>
              </w:rPr>
              <w:t>1</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5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80" w:type="dxa"/>
            <w:vAlign w:val="bottom"/>
            <w:gridSpan w:val="3"/>
          </w:tcPr>
          <w:p>
            <w:pPr>
              <w:spacing w:after="0"/>
              <w:rPr>
                <w:sz w:val="20"/>
                <w:szCs w:val="20"/>
                <w:color w:val="auto"/>
              </w:rPr>
            </w:pPr>
            <w:r>
              <w:rPr>
                <w:rFonts w:ascii="Arial" w:cs="Arial" w:eastAsia="Arial" w:hAnsi="Arial"/>
                <w:sz w:val="18"/>
                <w:szCs w:val="18"/>
                <w:color w:val="auto"/>
              </w:rPr>
              <w:t>Total</w:t>
            </w:r>
          </w:p>
        </w:tc>
        <w:tc>
          <w:tcPr>
            <w:tcW w:w="2520" w:type="dxa"/>
            <w:vAlign w:val="bottom"/>
          </w:tcPr>
          <w:p>
            <w:pPr>
              <w:spacing w:after="0"/>
              <w:rPr>
                <w:sz w:val="19"/>
                <w:szCs w:val="19"/>
                <w:color w:val="auto"/>
              </w:rPr>
            </w:pPr>
          </w:p>
        </w:tc>
        <w:tc>
          <w:tcPr>
            <w:tcW w:w="2140" w:type="dxa"/>
            <w:vAlign w:val="bottom"/>
            <w:gridSpan w:val="2"/>
          </w:tcPr>
          <w:p>
            <w:pPr>
              <w:jc w:val="right"/>
              <w:ind w:right="1200"/>
              <w:spacing w:after="0"/>
              <w:rPr>
                <w:sz w:val="20"/>
                <w:szCs w:val="20"/>
                <w:color w:val="auto"/>
              </w:rPr>
            </w:pPr>
            <w:r>
              <w:rPr>
                <w:rFonts w:ascii="Arial" w:cs="Arial" w:eastAsia="Arial" w:hAnsi="Arial"/>
                <w:sz w:val="18"/>
                <w:szCs w:val="18"/>
                <w:color w:val="auto"/>
              </w:rPr>
              <w:t>100%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520" w:type="dxa"/>
            <w:vAlign w:val="bottom"/>
          </w:tcPr>
          <w:p>
            <w:pPr>
              <w:ind w:left="60"/>
              <w:spacing w:after="0"/>
              <w:rPr>
                <w:sz w:val="20"/>
                <w:szCs w:val="20"/>
                <w:color w:val="auto"/>
              </w:rPr>
            </w:pPr>
            <w:r>
              <w:rPr>
                <w:rFonts w:ascii="Arial" w:cs="Arial" w:eastAsia="Arial" w:hAnsi="Arial"/>
                <w:sz w:val="18"/>
                <w:szCs w:val="18"/>
                <w:color w:val="auto"/>
              </w:rPr>
              <w:t>F-38</w:t>
            </w:r>
          </w:p>
        </w:tc>
        <w:tc>
          <w:tcPr>
            <w:tcW w:w="800" w:type="dxa"/>
            <w:vAlign w:val="bottom"/>
            <w:tcBorders>
              <w:top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CASH EQUIVALENTS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Pending investment in longer-term portfolio holdings, PennantPark Investment may invest temporarily in U.S. Treasury Bills (of varying maturities), repurchase agreements, money markets or repo-like treasury securities. These temporary investments with maturities of 90 days or less are deemed cash equivalents and are included in the Schedule of Investments. At the end of each fiscal quarter, PennantPark Investment typically takes proactive steps to preserve investment flexibility for the next quarter, which is dependent upon the composition of its total assets at quarter end. PennantPark Investment may accomplish this in several ways, including purchasing U.S. Treasury Bills and closing out its positions on a net cash basis after quarter-end, temporarily drawing down on its Revolving Credit Facility, or utilizing repurchase agreements or other balance sheet transactions as are deemed appropriate for this purpose. These amounts are excluded from adjusted gross assets for purposes of computing management fee. U.S. Treasury Bills with maturities greater than 60 days from the time of purchase are marked-to-market consistent with PennantPark Investment’s valuation policy.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REPURCHASE AGREEMENTS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PennantPark Investment may enter into repurchase agreements as part of its investment program. In these transactions, PennantPark Investment’s custodian takes possession of collateral pledged by the counterparty. The collateral is marked-to-market daily to ensure that the value, plus accrued interest, is at least equal to the repurchase price. In the event of default of the obligor to repurchase, PennantPark Investment will have the right to liquidate the collateral and apply the proceeds in satisfaction of the obligation. Under certain circumstances, in the event of default or bankruptcy by the counterparty to the agreement, realization and/or retention of the collateral or proceeds may be subject to legal proceedings. There were no repurchase agreements outstanding on June 30, 2008 or September 30, 2007.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HIGHLIGHTS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auto"/>
              </w:rPr>
              <w:t>Period from 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Nine months ended</w:t>
            </w:r>
          </w:p>
        </w:tc>
        <w:tc>
          <w:tcPr>
            <w:tcW w:w="1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2007 (inception) through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87"/>
              </w:rPr>
              <w:t>June 30, 2008</w:t>
            </w:r>
          </w:p>
        </w:tc>
        <w:tc>
          <w:tcPr>
            <w:tcW w:w="1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87"/>
              </w:rPr>
              <w:t>September 30, 2007</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beginning of period</w:t>
            </w:r>
          </w:p>
        </w:tc>
        <w:tc>
          <w:tcPr>
            <w:tcW w:w="2560" w:type="dxa"/>
            <w:vAlign w:val="bottom"/>
            <w:gridSpan w:val="2"/>
            <w:shd w:val="clear" w:color="auto" w:fill="CCEEFF"/>
          </w:tcPr>
          <w:p>
            <w:pPr>
              <w:ind w:left="24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0.62</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and unrealized loss</w:t>
            </w: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2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80" w:type="dxa"/>
            <w:vAlign w:val="bottom"/>
            <w:gridSpan w:val="2"/>
            <w:vMerge w:val="continue"/>
          </w:tcPr>
          <w:p>
            <w:pPr>
              <w:spacing w:after="0"/>
              <w:rPr>
                <w:sz w:val="19"/>
                <w:szCs w:val="19"/>
                <w:color w:val="auto"/>
              </w:rPr>
            </w:pPr>
          </w:p>
        </w:tc>
        <w:tc>
          <w:tcPr>
            <w:tcW w:w="2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60" w:type="dxa"/>
            <w:vAlign w:val="bottom"/>
            <w:gridSpan w:val="2"/>
          </w:tcPr>
          <w:p>
            <w:pPr>
              <w:jc w:val="right"/>
              <w:ind w:right="112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60" w:type="dxa"/>
            <w:vAlign w:val="bottom"/>
            <w:shd w:val="clear" w:color="auto" w:fill="CCEEFF"/>
          </w:tcPr>
          <w:p>
            <w:pPr>
              <w:spacing w:after="0" w:line="218" w:lineRule="exact"/>
              <w:rPr>
                <w:sz w:val="20"/>
                <w:szCs w:val="20"/>
                <w:color w:val="auto"/>
              </w:rPr>
            </w:pPr>
            <w:r>
              <w:rPr>
                <w:rFonts w:ascii="Arial" w:cs="Arial" w:eastAsia="Arial" w:hAnsi="Arial"/>
                <w:sz w:val="18"/>
                <w:szCs w:val="18"/>
                <w:color w:val="auto"/>
              </w:rPr>
              <w:t>Dividends and distributions to stockholders</w:t>
            </w:r>
            <w:r>
              <w:rPr>
                <w:rFonts w:ascii="Arial" w:cs="Arial" w:eastAsia="Arial" w:hAnsi="Arial"/>
                <w:sz w:val="22"/>
                <w:szCs w:val="22"/>
                <w:color w:val="auto"/>
                <w:vertAlign w:val="superscript"/>
              </w:rPr>
              <w:t>(1)</w:t>
            </w: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(0.66)</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Offering costs related to public offering</w:t>
            </w: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right"/>
              <w:ind w:right="1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2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Net asset value, end of period</w:t>
            </w:r>
          </w:p>
        </w:tc>
        <w:tc>
          <w:tcPr>
            <w:tcW w:w="2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w:t>
            </w:r>
          </w:p>
        </w:tc>
        <w:tc>
          <w:tcPr>
            <w:tcW w:w="1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2560" w:type="dxa"/>
            <w:vAlign w:val="bottom"/>
            <w:gridSpan w:val="2"/>
            <w:shd w:val="clear" w:color="auto" w:fill="CCEEFF"/>
          </w:tcPr>
          <w:p>
            <w:pPr>
              <w:ind w:left="24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line="217" w:lineRule="exact"/>
              <w:rPr>
                <w:sz w:val="20"/>
                <w:szCs w:val="20"/>
                <w:color w:val="auto"/>
              </w:rPr>
            </w:pPr>
            <w:r>
              <w:rPr>
                <w:rFonts w:ascii="Arial" w:cs="Arial" w:eastAsia="Arial" w:hAnsi="Arial"/>
                <w:sz w:val="18"/>
                <w:szCs w:val="18"/>
                <w:color w:val="auto"/>
              </w:rPr>
              <w:t>Total return</w:t>
            </w:r>
            <w:r>
              <w:rPr>
                <w:rFonts w:ascii="Arial" w:cs="Arial" w:eastAsia="Arial" w:hAnsi="Arial"/>
                <w:sz w:val="22"/>
                <w:szCs w:val="22"/>
                <w:color w:val="auto"/>
                <w:vertAlign w:val="superscript"/>
              </w:rPr>
              <w:t>(2)</w:t>
            </w:r>
            <w:r>
              <w:rPr>
                <w:rFonts w:ascii="Arial" w:cs="Arial" w:eastAsia="Arial" w:hAnsi="Arial"/>
                <w:sz w:val="18"/>
                <w:szCs w:val="18"/>
                <w:color w:val="auto"/>
              </w:rPr>
              <w:t>*</w:t>
            </w: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right"/>
              <w:ind w:right="960"/>
              <w:spacing w:after="0"/>
              <w:rPr>
                <w:sz w:val="20"/>
                <w:szCs w:val="20"/>
                <w:color w:val="auto"/>
              </w:rPr>
            </w:pPr>
            <w:r>
              <w:rPr>
                <w:rFonts w:ascii="Arial" w:cs="Arial" w:eastAsia="Arial" w:hAnsi="Arial"/>
                <w:sz w:val="18"/>
                <w:szCs w:val="18"/>
                <w:color w:val="auto"/>
              </w:rPr>
              <w:t>(42.00)%</w:t>
            </w:r>
          </w:p>
        </w:tc>
        <w:tc>
          <w:tcPr>
            <w:tcW w:w="12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21,068,772</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21,068,772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Ratio of operating expenses to average net assets**</w:t>
            </w:r>
            <w:r>
              <w:rPr>
                <w:rFonts w:ascii="Arial" w:cs="Arial" w:eastAsia="Arial" w:hAnsi="Arial"/>
                <w:sz w:val="22"/>
                <w:szCs w:val="22"/>
                <w:color w:val="auto"/>
                <w:vertAlign w:val="superscript"/>
              </w:rPr>
              <w:t>(3)</w:t>
            </w: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5.98%</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line="217" w:lineRule="exact"/>
              <w:rPr>
                <w:sz w:val="20"/>
                <w:szCs w:val="20"/>
                <w:color w:val="auto"/>
              </w:rPr>
            </w:pPr>
            <w:r>
              <w:rPr>
                <w:rFonts w:ascii="Arial" w:cs="Arial" w:eastAsia="Arial" w:hAnsi="Arial"/>
                <w:sz w:val="18"/>
                <w:szCs w:val="18"/>
                <w:color w:val="auto"/>
              </w:rPr>
              <w:t>3.76%</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w w:val="98"/>
              </w:rPr>
              <w:t>Ratio of credit facility related expenses to average net assets**</w:t>
            </w: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right"/>
              <w:ind w:right="1020"/>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8"/>
                <w:szCs w:val="18"/>
                <w:color w:val="auto"/>
              </w:rPr>
            </w:pPr>
          </w:p>
        </w:tc>
        <w:tc>
          <w:tcPr>
            <w:tcW w:w="1600" w:type="dxa"/>
            <w:vAlign w:val="bottom"/>
            <w:gridSpan w:val="2"/>
          </w:tcPr>
          <w:p>
            <w:pPr>
              <w:jc w:val="right"/>
              <w:spacing w:after="0" w:line="217" w:lineRule="exact"/>
              <w:rPr>
                <w:sz w:val="20"/>
                <w:szCs w:val="20"/>
                <w:color w:val="auto"/>
              </w:rPr>
            </w:pPr>
            <w:r>
              <w:rPr>
                <w:rFonts w:ascii="Arial" w:cs="Arial" w:eastAsia="Arial" w:hAnsi="Arial"/>
                <w:sz w:val="18"/>
                <w:szCs w:val="18"/>
                <w:color w:val="auto"/>
              </w:rPr>
              <w:t>1.50%</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line="217" w:lineRule="exact"/>
              <w:rPr>
                <w:sz w:val="20"/>
                <w:szCs w:val="20"/>
                <w:color w:val="auto"/>
              </w:rPr>
            </w:pPr>
            <w:r>
              <w:rPr>
                <w:rFonts w:ascii="Arial" w:cs="Arial" w:eastAsia="Arial" w:hAnsi="Arial"/>
                <w:sz w:val="18"/>
                <w:szCs w:val="18"/>
                <w:color w:val="auto"/>
              </w:rPr>
              <w:t>Total expenses to average net assets**</w:t>
            </w:r>
            <w:r>
              <w:rPr>
                <w:rFonts w:ascii="Arial" w:cs="Arial" w:eastAsia="Arial" w:hAnsi="Arial"/>
                <w:sz w:val="22"/>
                <w:szCs w:val="22"/>
                <w:color w:val="auto"/>
                <w:vertAlign w:val="superscript"/>
              </w:rPr>
              <w:t>(3)</w:t>
            </w: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8.42%</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line="217" w:lineRule="exact"/>
              <w:rPr>
                <w:sz w:val="20"/>
                <w:szCs w:val="20"/>
                <w:color w:val="auto"/>
              </w:rPr>
            </w:pPr>
            <w:r>
              <w:rPr>
                <w:rFonts w:ascii="Arial" w:cs="Arial" w:eastAsia="Arial" w:hAnsi="Arial"/>
                <w:sz w:val="18"/>
                <w:szCs w:val="18"/>
                <w:color w:val="auto"/>
              </w:rPr>
              <w:t>5.26%</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2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gridSpan w:val="2"/>
            <w:vMerge w:val="continue"/>
          </w:tcPr>
          <w:p>
            <w:pPr>
              <w:spacing w:after="0"/>
              <w:rPr>
                <w:sz w:val="19"/>
                <w:szCs w:val="19"/>
                <w:color w:val="auto"/>
              </w:rPr>
            </w:pPr>
          </w:p>
        </w:tc>
        <w:tc>
          <w:tcPr>
            <w:tcW w:w="2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60" w:type="dxa"/>
            <w:vAlign w:val="bottom"/>
            <w:gridSpan w:val="2"/>
          </w:tcPr>
          <w:p>
            <w:pPr>
              <w:jc w:val="right"/>
              <w:ind w:right="1020"/>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19"/>
                <w:szCs w:val="19"/>
                <w:color w:val="auto"/>
              </w:rPr>
            </w:pPr>
          </w:p>
        </w:tc>
        <w:tc>
          <w:tcPr>
            <w:tcW w:w="1600" w:type="dxa"/>
            <w:vAlign w:val="bottom"/>
            <w:gridSpan w:val="2"/>
          </w:tcPr>
          <w:p>
            <w:pPr>
              <w:jc w:val="right"/>
              <w:spacing w:after="0" w:line="223" w:lineRule="exact"/>
              <w:rPr>
                <w:sz w:val="20"/>
                <w:szCs w:val="20"/>
                <w:color w:val="auto"/>
              </w:rPr>
            </w:pPr>
            <w:r>
              <w:rPr>
                <w:rFonts w:ascii="Arial" w:cs="Arial" w:eastAsia="Arial" w:hAnsi="Arial"/>
                <w:sz w:val="18"/>
                <w:szCs w:val="18"/>
                <w:color w:val="auto"/>
              </w:rPr>
              <w:t>5.96%</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2560" w:type="dxa"/>
            <w:vAlign w:val="bottom"/>
            <w:gridSpan w:val="2"/>
            <w:shd w:val="clear" w:color="auto" w:fill="CCEEFF"/>
          </w:tcPr>
          <w:p>
            <w:pPr>
              <w:ind w:left="24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226,826,839</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270,393,094</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560" w:type="dxa"/>
            <w:vAlign w:val="bottom"/>
            <w:gridSpan w:val="2"/>
          </w:tcPr>
          <w:p>
            <w:pPr>
              <w:ind w:left="560"/>
              <w:spacing w:after="0"/>
              <w:rPr>
                <w:sz w:val="20"/>
                <w:szCs w:val="20"/>
                <w:color w:val="auto"/>
              </w:rPr>
            </w:pPr>
            <w:r>
              <w:rPr>
                <w:rFonts w:ascii="Arial" w:cs="Arial" w:eastAsia="Arial" w:hAnsi="Arial"/>
                <w:sz w:val="18"/>
                <w:szCs w:val="18"/>
                <w:color w:val="auto"/>
              </w:rPr>
              <w:t>F-39</w:t>
            </w: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Period from January 11,</w:t>
            </w:r>
          </w:p>
        </w:tc>
      </w:tr>
      <w:tr>
        <w:trPr>
          <w:trHeight w:val="149"/>
        </w:trPr>
        <w:tc>
          <w:tcPr>
            <w:tcW w:w="46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Nine months ended</w:t>
            </w:r>
          </w:p>
        </w:tc>
        <w:tc>
          <w:tcPr>
            <w:tcW w:w="54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2007 (inception) through</w:t>
            </w:r>
          </w:p>
        </w:tc>
      </w:tr>
      <w:tr>
        <w:trPr>
          <w:trHeight w:val="161"/>
        </w:trPr>
        <w:tc>
          <w:tcPr>
            <w:tcW w:w="4660" w:type="dxa"/>
            <w:vAlign w:val="bottom"/>
          </w:tcPr>
          <w:p>
            <w:pPr>
              <w:spacing w:after="0"/>
              <w:rPr>
                <w:sz w:val="20"/>
                <w:szCs w:val="20"/>
                <w:color w:val="auto"/>
              </w:rPr>
            </w:pPr>
            <w:r>
              <w:rPr>
                <w:rFonts w:ascii="Arial" w:cs="Arial" w:eastAsia="Arial" w:hAnsi="Arial"/>
                <w:sz w:val="14"/>
                <w:szCs w:val="14"/>
                <w:b w:val="1"/>
                <w:bCs w:val="1"/>
                <w:color w:val="auto"/>
              </w:rPr>
              <w:t>Per Share Data—(Continued)</w:t>
            </w:r>
          </w:p>
        </w:tc>
        <w:tc>
          <w:tcPr>
            <w:tcW w:w="2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June 30, 2008</w:t>
            </w: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6"/>
              </w:rPr>
              <w:t>September 30, 2007</w:t>
            </w:r>
          </w:p>
        </w:tc>
        <w:tc>
          <w:tcPr>
            <w:tcW w:w="140" w:type="dxa"/>
            <w:vAlign w:val="bottom"/>
          </w:tcPr>
          <w:p>
            <w:pPr>
              <w:spacing w:after="0"/>
              <w:rPr>
                <w:sz w:val="14"/>
                <w:szCs w:val="14"/>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w:t>
            </w:r>
          </w:p>
        </w:tc>
        <w:tc>
          <w:tcPr>
            <w:tcW w:w="2980" w:type="dxa"/>
            <w:vAlign w:val="bottom"/>
            <w:gridSpan w:val="2"/>
            <w:shd w:val="clear" w:color="auto" w:fill="CCEEFF"/>
          </w:tcPr>
          <w:p>
            <w:pPr>
              <w:ind w:left="284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93,588,759</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817,610</w:t>
            </w:r>
            <w:r>
              <w:rPr>
                <w:rFonts w:ascii="Arial" w:cs="Arial" w:eastAsia="Arial" w:hAnsi="Arial"/>
                <w:sz w:val="11"/>
                <w:szCs w:val="11"/>
                <w:color w:val="auto"/>
              </w:rPr>
              <w:t>(4)</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Average debt per share</w:t>
            </w:r>
          </w:p>
        </w:tc>
        <w:tc>
          <w:tcPr>
            <w:tcW w:w="2980" w:type="dxa"/>
            <w:vAlign w:val="bottom"/>
            <w:gridSpan w:val="2"/>
          </w:tcPr>
          <w:p>
            <w:pPr>
              <w:ind w:left="284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680"/>
              <w:spacing w:after="0"/>
              <w:rPr>
                <w:sz w:val="20"/>
                <w:szCs w:val="20"/>
                <w:color w:val="auto"/>
              </w:rPr>
            </w:pPr>
            <w:r>
              <w:rPr>
                <w:rFonts w:ascii="Arial" w:cs="Arial" w:eastAsia="Arial" w:hAnsi="Arial"/>
                <w:sz w:val="18"/>
                <w:szCs w:val="18"/>
                <w:color w:val="auto"/>
              </w:rPr>
              <w:t>4.44</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0.04</w:t>
            </w:r>
            <w:r>
              <w:rPr>
                <w:rFonts w:ascii="Arial" w:cs="Arial" w:eastAsia="Arial" w:hAnsi="Arial"/>
                <w:sz w:val="11"/>
                <w:szCs w:val="11"/>
                <w:color w:val="auto"/>
              </w:rPr>
              <w:t>(4)</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ratio**</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5.78%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Not annualized</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Annualized</w:t>
      </w:r>
    </w:p>
    <w:p>
      <w:pPr>
        <w:spacing w:after="0" w:line="9" w:lineRule="exact"/>
        <w:rPr>
          <w:sz w:val="20"/>
          <w:szCs w:val="20"/>
          <w:color w:val="auto"/>
        </w:rPr>
      </w:pPr>
    </w:p>
    <w:p>
      <w:pPr>
        <w:ind w:left="460" w:right="120" w:hanging="452"/>
        <w:spacing w:after="0" w:line="250"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accounting principles generally accepted in the United States of America.</w:t>
      </w:r>
    </w:p>
    <w:p>
      <w:pPr>
        <w:ind w:left="460" w:right="460" w:hanging="452"/>
        <w:spacing w:after="0" w:line="250"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the Company’s dividend reinvestment plan.</w:t>
      </w:r>
    </w:p>
    <w:p>
      <w:pPr>
        <w:ind w:left="460" w:right="120" w:hanging="452"/>
        <w:spacing w:after="0" w:line="250"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 the nine months ended June 30, 2008, the ratio of operating expenses before management fee waiver to average net assets was 6.21%, and the ratio of total expenses before management fee waiver to average net assets was 8.65%. For the period from April 24, 2007 (initial public offering) through September 30, 2007, the ratio of operating expenses before management fee waiver to average net assets was 4.28%, and the ratio of total expenses before management fee waiver to average net assets was 5.78%.</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Since inception of initial public offering on April 24, 2007.</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CREDIT FACILITY</w:t>
      </w:r>
    </w:p>
    <w:p>
      <w:pPr>
        <w:spacing w:after="0" w:line="96" w:lineRule="exact"/>
        <w:rPr>
          <w:sz w:val="20"/>
          <w:szCs w:val="20"/>
          <w:color w:val="auto"/>
        </w:rPr>
      </w:pPr>
    </w:p>
    <w:p>
      <w:pPr>
        <w:jc w:val="both"/>
        <w:ind w:right="340" w:firstLine="456"/>
        <w:spacing w:after="0" w:line="298" w:lineRule="auto"/>
        <w:rPr>
          <w:sz w:val="20"/>
          <w:szCs w:val="20"/>
          <w:color w:val="auto"/>
        </w:rPr>
      </w:pPr>
      <w:r>
        <w:rPr>
          <w:rFonts w:ascii="Arial" w:cs="Arial" w:eastAsia="Arial" w:hAnsi="Arial"/>
          <w:sz w:val="16"/>
          <w:szCs w:val="16"/>
          <w:color w:val="auto"/>
        </w:rPr>
        <w:t>On June 25, 2007, PennantPark Investment entered into a Senior Secured Revolving Credit Agreement (the “Credit Agreement”) among PennantPark Investment, various lenders and SunTrust Bank, as administrative agent for the lenders. SunTrust Robinson Humphrey Capital Markets acted as the joint lead arranger and book-runner, and Bear Stearns Corporate Lending Inc. acted as joint lead arranger and syndication agent. As of June 30, 2008, there was $204.1 million in outstanding borrowings under the Credit Agreement (including $40.0 million temporary draw), with an average interest rate of 3.65%.</w:t>
      </w:r>
    </w:p>
    <w:p>
      <w:pPr>
        <w:spacing w:after="0" w:line="11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Under the Credit Agreement, the lenders agreed to extend credit to PennantPark Investment in an initial aggregate principal or face amount not exceeding $300,000,000 at any one time outstanding. The Credit Agreement is a five-year revolving facility (with a stated maturity date of June 25, 2012) and is secured by substantially all of the assets in PennantPark Investment’s portfolio. Pricing is set at 100 basis points over LIBOR.</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Separately, Pennant SPV Company, LLC entered into a senior secured credit facility on February 6, 2007 with Bear Stearns Investment Products Inc., as lender. Under the terms of this credit agreement, as amended on March 26, 2007, Bear Stearns Investment Products Inc. agreed to extend credit to Pennant SPV in an aggregate principal of up to $250 million at any one time outstanding. Borrowings under this credit agreement were used to finance investments made by PennantPark Investment prior to the closing of the initial public offering. By its terms this credit agreement matured on the closing date of the initial public offering on April 24, 2007, and accordingly PennantPark Investment caused Pennant SPV to repay the credit facility with Bear Stearns Investment Products Inc. in full.</w:t>
      </w:r>
    </w:p>
    <w:p>
      <w:pPr>
        <w:spacing w:after="0" w:line="144"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Credit Agreement contains customary affirmative and negative covenants, including the maintenance of a minimum stockholders’ equity, the maintenance a ratio not less than 200% of total assets (less total liabilities other than indebtedness) to total indebtedness and restrictions on certain payments and issuance of debt. For a complete list of such covenants, see our current report on Form 8-K, filled June 28, 2007.</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From time to time, PennantPark Investment,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statement of assets and liabilities represent unfunded delayed draws on investments in first lien secured debt.</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20"/>
          </w:cols>
          <w:pgMar w:left="24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19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w:t>
      </w:r>
    </w:p>
    <w:p>
      <w:pPr>
        <w:spacing w:after="0" w:line="326" w:lineRule="exact"/>
        <w:rPr>
          <w:sz w:val="20"/>
          <w:szCs w:val="20"/>
          <w:color w:val="auto"/>
        </w:rPr>
      </w:pPr>
    </w:p>
    <w:p>
      <w:pPr>
        <w:ind w:left="1380" w:hanging="1372"/>
        <w:spacing w:after="0"/>
        <w:tabs>
          <w:tab w:leader="none" w:pos="138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117"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The Index to Financial Statements on page F-1 of this Registration Statement is hereby incorporated by reference.</w:t>
      </w:r>
    </w:p>
    <w:p>
      <w:pPr>
        <w:spacing w:after="0" w:line="117" w:lineRule="exact"/>
        <w:rPr>
          <w:rFonts w:ascii="Arial" w:cs="Arial" w:eastAsia="Arial" w:hAnsi="Arial"/>
          <w:sz w:val="18"/>
          <w:szCs w:val="18"/>
          <w:color w:val="auto"/>
        </w:rPr>
      </w:pPr>
    </w:p>
    <w:p>
      <w:pPr>
        <w:ind w:left="1380" w:hanging="1372"/>
        <w:spacing w:after="0"/>
        <w:tabs>
          <w:tab w:leader="none" w:pos="138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17" w:lineRule="exact"/>
        <w:rPr>
          <w:sz w:val="20"/>
          <w:szCs w:val="20"/>
          <w:color w:val="auto"/>
        </w:rPr>
      </w:pPr>
    </w:p>
    <w:p>
      <w:pPr>
        <w:ind w:left="1380" w:right="160" w:hanging="1372"/>
        <w:spacing w:after="0" w:line="268" w:lineRule="auto"/>
        <w:tabs>
          <w:tab w:leader="none" w:pos="13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Articles of Incorporation of the Registrant (Incorporated by reference to Exhibit 99(a) to the Registrant’s Pre-Effective Amendment No. 1 to the Registration Statement on Form N-2/A (File No. 333-140092), filed on March 5, 2007).</w:t>
      </w:r>
    </w:p>
    <w:p>
      <w:pPr>
        <w:spacing w:after="0" w:line="77" w:lineRule="exact"/>
        <w:rPr>
          <w:rFonts w:ascii="Arial" w:cs="Arial" w:eastAsia="Arial" w:hAnsi="Arial"/>
          <w:sz w:val="18"/>
          <w:szCs w:val="18"/>
          <w:color w:val="auto"/>
        </w:rPr>
      </w:pPr>
    </w:p>
    <w:p>
      <w:pPr>
        <w:ind w:left="1380" w:hanging="1372"/>
        <w:spacing w:after="0" w:line="268" w:lineRule="auto"/>
        <w:tabs>
          <w:tab w:leader="none" w:pos="13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Amended and Restated By-Laws of the Registrant (Incorporated by reference to Exhibit 3.2 to the Registrant’s Report on Form 10-K (File No. 814-00736), filed on December 13, 2007).</w:t>
      </w:r>
    </w:p>
    <w:p>
      <w:pPr>
        <w:sectPr>
          <w:pgSz w:w="11900" w:h="16838" w:orient="portrait"/>
          <w:cols w:equalWidth="0" w:num="1">
            <w:col w:w="11400"/>
          </w:cols>
          <w:pgMar w:left="240" w:top="460" w:right="259" w:bottom="1440" w:gutter="0" w:footer="0" w:header="0"/>
        </w:sectPr>
      </w:pP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(d)(1)*</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Specimen Stock Certificate.</w:t>
      </w:r>
    </w:p>
    <w:p>
      <w:pPr>
        <w:spacing w:after="0" w:line="140"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6"/>
          <w:szCs w:val="16"/>
          <w:color w:val="auto"/>
        </w:rPr>
        <w:t>(d)(2)*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Subscription Certificate.</w:t>
      </w:r>
    </w:p>
    <w:p>
      <w:pPr>
        <w:spacing w:after="0" w:line="140"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6"/>
          <w:szCs w:val="16"/>
          <w:color w:val="auto"/>
        </w:rPr>
        <w:t>(d)(3)*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Indenture.</w:t>
      </w:r>
    </w:p>
    <w:p>
      <w:pPr>
        <w:spacing w:after="0" w:line="140"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6"/>
          <w:szCs w:val="16"/>
          <w:color w:val="auto"/>
        </w:rPr>
        <w:t>(d)(4)*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Subscription Agent Agreement.</w:t>
      </w:r>
    </w:p>
    <w:p>
      <w:pPr>
        <w:spacing w:after="0" w:line="140"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6"/>
          <w:szCs w:val="16"/>
          <w:color w:val="auto"/>
        </w:rPr>
        <w:t>(d)(5)*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Warrant Agreement.</w:t>
      </w:r>
    </w:p>
    <w:p>
      <w:pPr>
        <w:spacing w:after="0" w:line="140"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Dividend Reinvestment Plan.</w:t>
      </w:r>
    </w:p>
    <w:p>
      <w:pPr>
        <w:spacing w:after="0" w:line="139"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Investment Management Agreement between the Registrant and PennantPark Investment Advisers, LLC.</w:t>
      </w:r>
    </w:p>
    <w:p>
      <w:pPr>
        <w:spacing w:after="0" w:line="151"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6"/>
          <w:szCs w:val="16"/>
          <w:color w:val="auto"/>
        </w:rPr>
        <w:t>(h)(1)*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Underwriting Agreement for equity.</w:t>
      </w:r>
    </w:p>
    <w:p>
      <w:pPr>
        <w:spacing w:after="0" w:line="140"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6"/>
          <w:szCs w:val="16"/>
          <w:color w:val="auto"/>
        </w:rPr>
        <w:t>(h)(2)*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Underwriting Agreement for debt.</w:t>
      </w:r>
    </w:p>
    <w:p>
      <w:pPr>
        <w:spacing w:after="0" w:line="140"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(j)(1)*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Custodian Agreement between the Registrant and PFPC Trust Company.</w:t>
      </w:r>
    </w:p>
    <w:p>
      <w:pPr>
        <w:spacing w:after="0" w:line="151"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(k)(1)*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Administration Agreement between the Registrant and PennantPark Investment Administration, LLC.</w:t>
      </w:r>
    </w:p>
    <w:p>
      <w:pPr>
        <w:spacing w:after="0" w:line="139"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(k)(2)*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Stock Transfer Agency Agreement between the Registrant and American Stock Transfer and Trust Company.</w:t>
      </w:r>
    </w:p>
    <w:p>
      <w:pPr>
        <w:spacing w:after="0" w:line="151"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(k)(3)*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Trademark License Agreement.</w:t>
      </w:r>
    </w:p>
    <w:p>
      <w:pPr>
        <w:spacing w:after="0" w:line="151"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6"/>
          <w:szCs w:val="16"/>
          <w:color w:val="auto"/>
        </w:rPr>
        <w:t>(k)(4)</w:t>
      </w:r>
    </w:p>
    <w:p>
      <w:pPr>
        <w:spacing w:after="0" w:line="20" w:lineRule="exact"/>
        <w:rPr>
          <w:sz w:val="20"/>
          <w:szCs w:val="20"/>
          <w:color w:val="auto"/>
        </w:rPr>
      </w:pPr>
      <w:r>
        <w:rPr>
          <w:sz w:val="20"/>
          <w:szCs w:val="20"/>
          <w:color w:val="auto"/>
        </w:rPr>
        <w:br w:type="column"/>
      </w:r>
    </w:p>
    <w:p>
      <w:pPr>
        <w:ind w:right="620"/>
        <w:spacing w:after="0" w:line="268" w:lineRule="auto"/>
        <w:rPr>
          <w:sz w:val="20"/>
          <w:szCs w:val="20"/>
          <w:color w:val="auto"/>
        </w:rPr>
      </w:pPr>
      <w:r>
        <w:rPr>
          <w:rFonts w:ascii="Arial" w:cs="Arial" w:eastAsia="Arial" w:hAnsi="Arial"/>
          <w:sz w:val="18"/>
          <w:szCs w:val="18"/>
          <w:color w:val="auto"/>
        </w:rPr>
        <w:t>Senior Secured Revolving Credit Agreement between Registrant and various lenders (Incorporated by reference to Exhibit 99.2 to the Registrant’s Report on Form 8-K (File No. 814-00736), filed on June 28, 2007).</w:t>
      </w:r>
    </w:p>
    <w:p>
      <w:pPr>
        <w:spacing w:after="0" w:line="78"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(k)(5)*</w:t>
      </w:r>
    </w:p>
    <w:p>
      <w:pPr>
        <w:spacing w:after="0" w:line="20" w:lineRule="exact"/>
        <w:rPr>
          <w:sz w:val="20"/>
          <w:szCs w:val="20"/>
          <w:color w:val="auto"/>
        </w:rPr>
      </w:pPr>
      <w:r>
        <w:rPr>
          <w:sz w:val="20"/>
          <w:szCs w:val="20"/>
          <w:color w:val="auto"/>
        </w:rPr>
        <w:br w:type="column"/>
      </w:r>
    </w:p>
    <w:p>
      <w:pPr>
        <w:ind w:right="340"/>
        <w:spacing w:after="0" w:line="268" w:lineRule="auto"/>
        <w:rPr>
          <w:sz w:val="20"/>
          <w:szCs w:val="20"/>
          <w:color w:val="auto"/>
        </w:rPr>
      </w:pPr>
      <w:r>
        <w:rPr>
          <w:rFonts w:ascii="Arial" w:cs="Arial" w:eastAsia="Arial" w:hAnsi="Arial"/>
          <w:sz w:val="18"/>
          <w:szCs w:val="18"/>
          <w:color w:val="auto"/>
        </w:rPr>
        <w:t>Registration Rights Agreement among the Registrant and the purchasers in a private placement of 320,000 shares of common stock of the Registrant.</w:t>
      </w:r>
    </w:p>
    <w:p>
      <w:pPr>
        <w:spacing w:after="0" w:line="78"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Opinion and Consent of Venable LLP.</w:t>
      </w:r>
    </w:p>
    <w:p>
      <w:pPr>
        <w:spacing w:after="0" w:line="151"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(n)(1)**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Consent of Independent Registered Public Accounting Firm.</w:t>
      </w:r>
    </w:p>
    <w:p>
      <w:pPr>
        <w:spacing w:after="0" w:line="139"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(n)(2)**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Awareness Letter of Independent Registered Public Accounting Firm.</w:t>
      </w:r>
    </w:p>
    <w:p>
      <w:pPr>
        <w:spacing w:after="0" w:line="151"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6"/>
          <w:szCs w:val="16"/>
          <w:color w:val="auto"/>
        </w:rPr>
        <w:t>(r)(1)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289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780"/>
        <w:spacing w:after="0" w:line="268" w:lineRule="auto"/>
        <w:rPr>
          <w:sz w:val="20"/>
          <w:szCs w:val="20"/>
          <w:color w:val="auto"/>
        </w:rPr>
      </w:pPr>
      <w:r>
        <w:rPr>
          <w:rFonts w:ascii="Arial" w:cs="Arial" w:eastAsia="Arial" w:hAnsi="Arial"/>
          <w:sz w:val="18"/>
          <w:szCs w:val="18"/>
          <w:color w:val="auto"/>
        </w:rPr>
        <w:t>Joint Code of Ethics of the Registrant and PennantPark Investment Advisers, LLC (Incorporated by reference to Exhibit 14.1 to the Registrant’s Report on Form 10-K (File No. 814-00736), filed on December 13, 2007).</w:t>
      </w:r>
    </w:p>
    <w:p>
      <w:pPr>
        <w:spacing w:after="0" w:line="118"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ind w:right="9780" w:firstLine="8"/>
        <w:spacing w:after="0" w:line="431" w:lineRule="auto"/>
        <w:tabs>
          <w:tab w:leader="none" w:pos="446" w:val="left"/>
        </w:tabs>
        <w:numPr>
          <w:ilvl w:val="0"/>
          <w:numId w:val="104"/>
        </w:numPr>
        <w:rPr>
          <w:rFonts w:ascii="Arial" w:cs="Arial" w:eastAsia="Arial" w:hAnsi="Arial"/>
          <w:sz w:val="16"/>
          <w:szCs w:val="16"/>
          <w:color w:val="auto"/>
        </w:rPr>
      </w:pPr>
      <w:r>
        <w:rPr>
          <w:rFonts w:ascii="Arial" w:cs="Arial" w:eastAsia="Arial" w:hAnsi="Arial"/>
          <w:sz w:val="16"/>
          <w:szCs w:val="16"/>
          <w:color w:val="auto"/>
        </w:rPr>
        <w:t>Previously filed. ** Filed herewith.</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C-1</w:t>
      </w:r>
    </w:p>
    <w:p>
      <w:pPr>
        <w:sectPr>
          <w:pgSz w:w="11900" w:h="16838" w:orient="portrait"/>
          <w:cols w:equalWidth="0" w:num="1">
            <w:col w:w="11400"/>
          </w:cols>
          <w:pgMar w:left="240" w:top="460" w:right="259" w:bottom="1440" w:gutter="0" w:footer="0" w:header="0"/>
          <w:type w:val="continuous"/>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contained under the heading “Plan of Distribution” in this Registration Statement is hereby incorporated by reference.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27.</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9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following table sets forth the estimated expenses to be incurred by the Registrant in connection with the offering described in this registration statement: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4"/>
          </w:tcPr>
          <w:p>
            <w:pPr>
              <w:spacing w:after="0"/>
              <w:rPr>
                <w:sz w:val="20"/>
                <w:szCs w:val="20"/>
                <w:color w:val="auto"/>
              </w:rPr>
            </w:pPr>
            <w:r>
              <w:rPr>
                <w:rFonts w:ascii="Arial" w:cs="Arial" w:eastAsia="Arial" w:hAnsi="Arial"/>
                <w:sz w:val="18"/>
                <w:szCs w:val="18"/>
                <w:color w:val="auto"/>
              </w:rPr>
              <w:t>NASDAQ listing fee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4"/>
          </w:tcPr>
          <w:p>
            <w:pPr>
              <w:spacing w:after="0"/>
              <w:rPr>
                <w:sz w:val="20"/>
                <w:szCs w:val="20"/>
                <w:color w:val="auto"/>
              </w:rPr>
            </w:pPr>
            <w:r>
              <w:rPr>
                <w:rFonts w:ascii="Arial" w:cs="Arial" w:eastAsia="Arial" w:hAnsi="Arial"/>
                <w:sz w:val="18"/>
                <w:szCs w:val="18"/>
                <w:color w:val="auto"/>
              </w:rPr>
              <w:t>Printing (other than certificates)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4"/>
          </w:tcPr>
          <w:p>
            <w:pPr>
              <w:spacing w:after="0"/>
              <w:rPr>
                <w:sz w:val="20"/>
                <w:szCs w:val="20"/>
                <w:color w:val="auto"/>
              </w:rPr>
            </w:pPr>
            <w:r>
              <w:rPr>
                <w:rFonts w:ascii="Arial" w:cs="Arial" w:eastAsia="Arial" w:hAnsi="Arial"/>
                <w:sz w:val="18"/>
                <w:szCs w:val="18"/>
                <w:color w:val="auto"/>
              </w:rPr>
              <w:t>Accounting fees and expenses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0" w:type="dxa"/>
            <w:vAlign w:val="bottom"/>
          </w:tcPr>
          <w:p>
            <w:pPr>
              <w:spacing w:after="0"/>
              <w:rPr>
                <w:sz w:val="20"/>
                <w:szCs w:val="20"/>
                <w:color w:val="auto"/>
              </w:rPr>
            </w:pPr>
            <w:r>
              <w:rPr>
                <w:rFonts w:ascii="Arial" w:cs="Arial" w:eastAsia="Arial" w:hAnsi="Arial"/>
                <w:sz w:val="18"/>
                <w:szCs w:val="18"/>
                <w:color w:val="auto"/>
              </w:rPr>
              <w:t>Total</w:t>
            </w:r>
          </w:p>
        </w:tc>
        <w:tc>
          <w:tcPr>
            <w:tcW w:w="1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740" w:type="dxa"/>
            <w:vAlign w:val="bottom"/>
            <w:gridSpan w:val="4"/>
            <w:vMerge w:val="restart"/>
          </w:tcPr>
          <w:p>
            <w:pPr>
              <w:ind w:left="460"/>
              <w:spacing w:after="0"/>
              <w:rPr>
                <w:sz w:val="20"/>
                <w:szCs w:val="20"/>
                <w:color w:val="auto"/>
              </w:rPr>
            </w:pPr>
            <w:r>
              <w:rPr>
                <w:rFonts w:ascii="Arial" w:cs="Arial" w:eastAsia="Arial" w:hAnsi="Arial"/>
                <w:sz w:val="18"/>
                <w:szCs w:val="18"/>
                <w:color w:val="auto"/>
              </w:rPr>
              <w:t>All of the expense set forth above shall be borne by the Registrant.</w:t>
            </w: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740" w:type="dxa"/>
            <w:vAlign w:val="bottom"/>
            <w:gridSpan w:val="4"/>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20" w:type="dxa"/>
            <w:vAlign w:val="bottom"/>
          </w:tcPr>
          <w:p>
            <w:pPr>
              <w:spacing w:after="0"/>
              <w:rPr>
                <w:sz w:val="20"/>
                <w:szCs w:val="20"/>
                <w:color w:val="auto"/>
              </w:rPr>
            </w:pPr>
            <w:r>
              <w:rPr>
                <w:rFonts w:ascii="Arial" w:cs="Arial" w:eastAsia="Arial" w:hAnsi="Arial"/>
                <w:sz w:val="18"/>
                <w:szCs w:val="18"/>
                <w:b w:val="1"/>
                <w:bCs w:val="1"/>
                <w:color w:val="auto"/>
              </w:rPr>
              <w:t>Item 28.</w:t>
            </w:r>
          </w:p>
        </w:tc>
        <w:tc>
          <w:tcPr>
            <w:tcW w:w="8920" w:type="dxa"/>
            <w:vAlign w:val="bottom"/>
            <w:gridSpan w:val="3"/>
          </w:tcPr>
          <w:p>
            <w:pPr>
              <w:ind w:left="220"/>
              <w:spacing w:after="0"/>
              <w:rPr>
                <w:sz w:val="20"/>
                <w:szCs w:val="20"/>
                <w:color w:val="auto"/>
              </w:rPr>
            </w:pPr>
            <w:r>
              <w:rPr>
                <w:rFonts w:ascii="Arial" w:cs="Arial" w:eastAsia="Arial" w:hAnsi="Arial"/>
                <w:sz w:val="18"/>
                <w:szCs w:val="18"/>
                <w:b w:val="1"/>
                <w:bCs w:val="1"/>
                <w:color w:val="auto"/>
              </w:rPr>
              <w:t>Persons controlled by or under common control with the registrant</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740" w:type="dxa"/>
            <w:vAlign w:val="bottom"/>
            <w:gridSpan w:val="4"/>
          </w:tcPr>
          <w:p>
            <w:pPr>
              <w:ind w:left="460"/>
              <w:spacing w:after="0"/>
              <w:rPr>
                <w:sz w:val="20"/>
                <w:szCs w:val="20"/>
                <w:color w:val="auto"/>
              </w:rPr>
            </w:pPr>
            <w:r>
              <w:rPr>
                <w:rFonts w:ascii="Arial" w:cs="Arial" w:eastAsia="Arial" w:hAnsi="Arial"/>
                <w:sz w:val="18"/>
                <w:szCs w:val="18"/>
                <w:color w:val="auto"/>
              </w:rPr>
              <w:t>Not Applicable.</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20" w:type="dxa"/>
            <w:vAlign w:val="bottom"/>
          </w:tcPr>
          <w:p>
            <w:pPr>
              <w:spacing w:after="0"/>
              <w:rPr>
                <w:sz w:val="20"/>
                <w:szCs w:val="20"/>
                <w:color w:val="auto"/>
              </w:rPr>
            </w:pPr>
            <w:r>
              <w:rPr>
                <w:rFonts w:ascii="Arial" w:cs="Arial" w:eastAsia="Arial" w:hAnsi="Arial"/>
                <w:sz w:val="18"/>
                <w:szCs w:val="18"/>
                <w:b w:val="1"/>
                <w:bCs w:val="1"/>
                <w:color w:val="auto"/>
              </w:rPr>
              <w:t>Item 29.</w:t>
            </w:r>
          </w:p>
        </w:tc>
        <w:tc>
          <w:tcPr>
            <w:tcW w:w="8920" w:type="dxa"/>
            <w:vAlign w:val="bottom"/>
            <w:gridSpan w:val="3"/>
          </w:tcPr>
          <w:p>
            <w:pPr>
              <w:ind w:left="220"/>
              <w:spacing w:after="0"/>
              <w:rPr>
                <w:sz w:val="20"/>
                <w:szCs w:val="20"/>
                <w:color w:val="auto"/>
              </w:rPr>
            </w:pPr>
            <w:r>
              <w:rPr>
                <w:rFonts w:ascii="Arial" w:cs="Arial" w:eastAsia="Arial" w:hAnsi="Arial"/>
                <w:sz w:val="18"/>
                <w:szCs w:val="18"/>
                <w:b w:val="1"/>
                <w:bCs w:val="1"/>
                <w:color w:val="auto"/>
              </w:rPr>
              <w:t>Number of holders of shares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740" w:type="dxa"/>
            <w:vAlign w:val="bottom"/>
            <w:gridSpan w:val="4"/>
          </w:tcPr>
          <w:p>
            <w:pPr>
              <w:ind w:left="460"/>
              <w:spacing w:after="0"/>
              <w:rPr>
                <w:sz w:val="20"/>
                <w:szCs w:val="20"/>
                <w:color w:val="auto"/>
              </w:rPr>
            </w:pPr>
            <w:r>
              <w:rPr>
                <w:rFonts w:ascii="Arial" w:cs="Arial" w:eastAsia="Arial" w:hAnsi="Arial"/>
                <w:sz w:val="18"/>
                <w:szCs w:val="18"/>
                <w:color w:val="auto"/>
              </w:rPr>
              <w:t>As of September 2, 2008</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Title of Class</w:t>
            </w:r>
          </w:p>
        </w:tc>
        <w:tc>
          <w:tcPr>
            <w:tcW w:w="6780" w:type="dxa"/>
            <w:vAlign w:val="bottom"/>
          </w:tcPr>
          <w:p>
            <w:pPr>
              <w:spacing w:after="0"/>
              <w:rPr>
                <w:sz w:val="24"/>
                <w:szCs w:val="24"/>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89"/>
              </w:rPr>
              <w:t>Number of Record Holders</w:t>
            </w:r>
          </w:p>
        </w:tc>
        <w:tc>
          <w:tcPr>
            <w:tcW w:w="0" w:type="dxa"/>
            <w:vAlign w:val="bottom"/>
          </w:tcPr>
          <w:p>
            <w:pPr>
              <w:spacing w:after="0"/>
              <w:rPr>
                <w:sz w:val="1"/>
                <w:szCs w:val="1"/>
                <w:color w:val="auto"/>
              </w:rPr>
            </w:pPr>
          </w:p>
        </w:tc>
      </w:tr>
      <w:tr>
        <w:trPr>
          <w:trHeight w:val="210"/>
        </w:trPr>
        <w:tc>
          <w:tcPr>
            <w:tcW w:w="820" w:type="dxa"/>
            <w:vAlign w:val="bottom"/>
            <w:shd w:val="clear" w:color="auto" w:fill="CCEEFF"/>
          </w:tcPr>
          <w:p>
            <w:pPr>
              <w:spacing w:after="0"/>
              <w:rPr>
                <w:sz w:val="18"/>
                <w:szCs w:val="18"/>
                <w:color w:val="auto"/>
              </w:rPr>
            </w:pPr>
          </w:p>
        </w:tc>
        <w:tc>
          <w:tcPr>
            <w:tcW w:w="8920" w:type="dxa"/>
            <w:vAlign w:val="bottom"/>
            <w:gridSpan w:val="3"/>
            <w:shd w:val="clear" w:color="auto" w:fill="CCEEFF"/>
          </w:tcPr>
          <w:p>
            <w:pPr>
              <w:jc w:val="center"/>
              <w:ind w:right="5440"/>
              <w:spacing w:after="0"/>
              <w:rPr>
                <w:sz w:val="20"/>
                <w:szCs w:val="20"/>
                <w:color w:val="auto"/>
              </w:rPr>
            </w:pPr>
            <w:r>
              <w:rPr>
                <w:rFonts w:ascii="Arial" w:cs="Arial" w:eastAsia="Arial" w:hAnsi="Arial"/>
                <w:sz w:val="18"/>
                <w:szCs w:val="18"/>
                <w:color w:val="auto"/>
                <w:w w:val="88"/>
              </w:rPr>
              <w:t>Common Stock, $0.001 par value</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w w:val="89"/>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information contained under the heading “Limitation on Liability of Directors and Officers; Indemnification and Advance of Expenses”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Investment Adviser</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Neither the Investment Adviser nor any officer, director or partner of the Investment Adviser has been substantially engaged in any business, profession, vocation or employment since the inception of the Investment Adviser other than as set forth under the headings “Management” and “Business—Our Investment Adviser and Administrator” which are hereby incorporated by reference. Additional information regarding the Adviser and its officers and directors is set forth in its Form ADV, as filed with the Securities and Exchange Commission (SEC File No. 801-67622), and is incorporated herein by reference.</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All accounts, books and other documents required to be maintained by Section 31(a) of the 1940 Act, and the rules thereunder are maintained at the offices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84" w:lineRule="exact"/>
        <w:rPr>
          <w:sz w:val="20"/>
          <w:szCs w:val="20"/>
          <w:color w:val="auto"/>
        </w:rPr>
      </w:pPr>
    </w:p>
    <w:p>
      <w:pPr>
        <w:ind w:left="5580" w:right="2560" w:hanging="4677"/>
        <w:spacing w:after="0" w:line="440" w:lineRule="auto"/>
        <w:tabs>
          <w:tab w:leader="none" w:pos="114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 PennantPark Investment Corporation, 590 Madison Avenue, 15th Floor, New York, NY 10022 C-2</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Transfer Agent, American Stock Transfer and Trust Company, 59 Maiden Lane, New York, NY 10038;</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Custodian, PFPC Trust Company, 8800 Tinicum Boulevard, 4th Floor, Philadelphia, PA 19153;</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Adviser, PennantPark Investment Advisers, LLC, 590 Madison Avenue, 15th Floor, New York, NY 10022</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Registrant hereby undertakes:</w:t>
      </w:r>
    </w:p>
    <w:p>
      <w:pPr>
        <w:spacing w:after="0" w:line="90" w:lineRule="exact"/>
        <w:rPr>
          <w:sz w:val="20"/>
          <w:szCs w:val="20"/>
          <w:color w:val="auto"/>
        </w:rPr>
      </w:pPr>
    </w:p>
    <w:p>
      <w:pPr>
        <w:jc w:val="both"/>
        <w:ind w:left="460" w:right="180" w:firstLine="443"/>
        <w:spacing w:after="0" w:line="259" w:lineRule="auto"/>
        <w:tabs>
          <w:tab w:leader="none" w:pos="114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suspend the offering of its units until it amends its prospectus if (a) subsequent to the effective date of its registration statement, the net asset value declines more than 10 percent from its net asset value as of the effective date of the Registration Statement or (b) the net asset value increases to an amount greater than its net proceeds as stated in the prospectus.</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the registration statement:</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920" w:firstLine="421"/>
        <w:spacing w:after="0" w:line="259" w:lineRule="auto"/>
        <w:tabs>
          <w:tab w:leader="none" w:pos="1598"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59" w:lineRule="exact"/>
        <w:rPr>
          <w:rFonts w:ascii="Arial" w:cs="Arial" w:eastAsia="Arial" w:hAnsi="Arial"/>
          <w:sz w:val="18"/>
          <w:szCs w:val="18"/>
          <w:color w:val="auto"/>
        </w:rPr>
      </w:pPr>
    </w:p>
    <w:p>
      <w:pPr>
        <w:ind w:left="920" w:right="300" w:firstLine="421"/>
        <w:spacing w:after="0" w:line="268" w:lineRule="auto"/>
        <w:tabs>
          <w:tab w:leader="none" w:pos="1647"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0" w:lineRule="exact"/>
        <w:rPr>
          <w:rFonts w:ascii="Arial" w:cs="Arial" w:eastAsia="Arial" w:hAnsi="Arial"/>
          <w:sz w:val="18"/>
          <w:szCs w:val="18"/>
          <w:color w:val="auto"/>
        </w:rPr>
      </w:pPr>
    </w:p>
    <w:p>
      <w:pPr>
        <w:ind w:left="460" w:right="340" w:firstLine="443"/>
        <w:spacing w:after="0" w:line="259" w:lineRule="auto"/>
        <w:tabs>
          <w:tab w:leader="none" w:pos="114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 and</w:t>
      </w:r>
    </w:p>
    <w:p>
      <w:pPr>
        <w:spacing w:after="0" w:line="59"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 and</w:t>
      </w:r>
    </w:p>
    <w:p>
      <w:pPr>
        <w:spacing w:after="0" w:line="50" w:lineRule="exact"/>
        <w:rPr>
          <w:rFonts w:ascii="Arial" w:cs="Arial" w:eastAsia="Arial" w:hAnsi="Arial"/>
          <w:sz w:val="18"/>
          <w:szCs w:val="18"/>
          <w:color w:val="auto"/>
        </w:rPr>
      </w:pPr>
    </w:p>
    <w:p>
      <w:pPr>
        <w:ind w:left="460" w:right="40" w:firstLine="443"/>
        <w:spacing w:after="0" w:line="290" w:lineRule="auto"/>
        <w:tabs>
          <w:tab w:leader="none" w:pos="114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that, for the purpose of determining liability under the Securities Act to any purchaser, if the Registrant is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37" w:lineRule="exact"/>
        <w:rPr>
          <w:rFonts w:ascii="Arial" w:cs="Arial" w:eastAsia="Arial" w:hAnsi="Arial"/>
          <w:sz w:val="16"/>
          <w:szCs w:val="16"/>
          <w:color w:val="auto"/>
        </w:rPr>
      </w:pPr>
    </w:p>
    <w:p>
      <w:pPr>
        <w:jc w:val="both"/>
        <w:ind w:left="460" w:firstLine="443"/>
        <w:spacing w:after="0" w:line="306" w:lineRule="auto"/>
        <w:tabs>
          <w:tab w:leader="none" w:pos="114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purchaser by means of any of the following communications, the undersigned Registrant will be a seller to the purchaser and will be considered to offer or sell such securities to the purchaser:</w:t>
      </w:r>
    </w:p>
    <w:p>
      <w:pPr>
        <w:spacing w:after="0" w:line="51" w:lineRule="exact"/>
        <w:rPr>
          <w:sz w:val="20"/>
          <w:szCs w:val="20"/>
          <w:color w:val="auto"/>
        </w:rPr>
      </w:pPr>
    </w:p>
    <w:p>
      <w:pPr>
        <w:ind w:left="920" w:right="240" w:firstLine="421"/>
        <w:spacing w:after="0" w:line="268" w:lineRule="auto"/>
        <w:tabs>
          <w:tab w:leader="none" w:pos="154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497 under the Securities Act;</w:t>
      </w:r>
    </w:p>
    <w:p>
      <w:pPr>
        <w:spacing w:after="0" w:line="50" w:lineRule="exact"/>
        <w:rPr>
          <w:rFonts w:ascii="Arial" w:cs="Arial" w:eastAsia="Arial" w:hAnsi="Arial"/>
          <w:sz w:val="18"/>
          <w:szCs w:val="18"/>
          <w:color w:val="auto"/>
        </w:rPr>
      </w:pPr>
    </w:p>
    <w:p>
      <w:pPr>
        <w:ind w:left="920" w:right="280" w:firstLine="421"/>
        <w:spacing w:after="0" w:line="332" w:lineRule="auto"/>
        <w:tabs>
          <w:tab w:leader="none" w:pos="159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portion of any advertisement pursuant to Rule 482 under the Securities Act relating to the offering containing material information about the undersigned Registrant or its securities provided by or on behalf of the undersigned Registrant; and</w:t>
      </w:r>
    </w:p>
    <w:p>
      <w:pPr>
        <w:spacing w:after="0" w:line="4" w:lineRule="exact"/>
        <w:rPr>
          <w:rFonts w:ascii="Arial" w:cs="Arial" w:eastAsia="Arial" w:hAnsi="Arial"/>
          <w:sz w:val="16"/>
          <w:szCs w:val="16"/>
          <w:color w:val="auto"/>
        </w:rPr>
      </w:pPr>
    </w:p>
    <w:p>
      <w:pPr>
        <w:ind w:left="1640" w:hanging="299"/>
        <w:spacing w:after="0"/>
        <w:tabs>
          <w:tab w:leader="none" w:pos="16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320"/>
          </w:cols>
          <w:pgMar w:left="240" w:top="459" w:right="3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Pursuant to the requirements of the Securities Act of 1933, the Registrant has duly caused this amendment no. 3 to the Registration Statement to be signed on its behalf by the undersigned, thereunto duly authorized, in the City of New York, and State of New York, on the 5th day of September, 2008.</w:t>
      </w:r>
    </w:p>
    <w:p>
      <w:pPr>
        <w:spacing w:after="0" w:line="342"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H. P</w:t>
            </w:r>
            <w:r>
              <w:rPr>
                <w:rFonts w:ascii="Arial" w:cs="Arial" w:eastAsia="Arial" w:hAnsi="Arial"/>
                <w:sz w:val="14"/>
                <w:szCs w:val="14"/>
                <w:color w:val="auto"/>
              </w:rPr>
              <w:t>ENN</w:t>
            </w:r>
          </w:p>
        </w:tc>
      </w:tr>
      <w:tr>
        <w:trPr>
          <w:trHeight w:val="131"/>
        </w:trPr>
        <w:tc>
          <w:tcPr>
            <w:tcW w:w="380" w:type="dxa"/>
            <w:vAlign w:val="bottom"/>
          </w:tcPr>
          <w:p>
            <w:pPr>
              <w:spacing w:after="0" w:line="131" w:lineRule="exact"/>
              <w:rPr>
                <w:sz w:val="20"/>
                <w:szCs w:val="20"/>
                <w:color w:val="auto"/>
              </w:rPr>
            </w:pPr>
            <w:r>
              <w:rPr>
                <w:rFonts w:ascii="Arial" w:cs="Arial" w:eastAsia="Arial" w:hAnsi="Arial"/>
                <w:sz w:val="14"/>
                <w:szCs w:val="14"/>
                <w:b w:val="1"/>
                <w:bCs w:val="1"/>
                <w:color w:val="auto"/>
                <w:w w:val="84"/>
              </w:rPr>
              <w:t>Name:</w:t>
            </w:r>
          </w:p>
        </w:tc>
        <w:tc>
          <w:tcPr>
            <w:tcW w:w="41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1"/>
              </w:rPr>
              <w:t>Arthur H. Penn</w:t>
            </w:r>
          </w:p>
        </w:tc>
      </w:tr>
      <w:tr>
        <w:trPr>
          <w:trHeight w:val="174"/>
        </w:trPr>
        <w:tc>
          <w:tcPr>
            <w:tcW w:w="38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18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 and Chairman of the Board</w:t>
            </w:r>
          </w:p>
        </w:tc>
      </w:tr>
    </w:tbl>
    <w:p>
      <w:pPr>
        <w:spacing w:after="0" w:line="14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amendment no. 3 to the Registration Statement has been signed by the following persons in the capacities set forth below on the 5th day of September, 2008.</w:t>
      </w:r>
    </w:p>
    <w:p>
      <w:pPr>
        <w:spacing w:after="0" w:line="168" w:lineRule="exact"/>
        <w:rPr>
          <w:sz w:val="20"/>
          <w:szCs w:val="20"/>
          <w:color w:val="auto"/>
        </w:rPr>
      </w:pPr>
    </w:p>
    <w:p>
      <w:pPr>
        <w:ind w:left="2360"/>
        <w:spacing w:after="0"/>
        <w:tabs>
          <w:tab w:leader="none" w:pos="836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Title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0" w:type="dxa"/>
            <w:vAlign w:val="bottom"/>
            <w:tcBorders>
              <w:bottom w:val="single" w:sz="8" w:color="auto"/>
            </w:tcBorders>
          </w:tcPr>
          <w:p>
            <w:pPr>
              <w:jc w:val="right"/>
              <w:ind w:right="1787"/>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H. P</w:t>
            </w:r>
            <w:r>
              <w:rPr>
                <w:rFonts w:ascii="Arial" w:cs="Arial" w:eastAsia="Arial" w:hAnsi="Arial"/>
                <w:sz w:val="14"/>
                <w:szCs w:val="14"/>
                <w:color w:val="auto"/>
              </w:rPr>
              <w:t>ENN</w:t>
            </w:r>
          </w:p>
        </w:tc>
        <w:tc>
          <w:tcPr>
            <w:tcW w:w="6100" w:type="dxa"/>
            <w:vAlign w:val="bottom"/>
          </w:tcPr>
          <w:p>
            <w:pPr>
              <w:jc w:val="center"/>
              <w:ind w:left="752"/>
              <w:spacing w:after="0"/>
              <w:rPr>
                <w:sz w:val="20"/>
                <w:szCs w:val="20"/>
                <w:color w:val="auto"/>
              </w:rPr>
            </w:pPr>
            <w:r>
              <w:rPr>
                <w:rFonts w:ascii="Arial" w:cs="Arial" w:eastAsia="Arial" w:hAnsi="Arial"/>
                <w:sz w:val="18"/>
                <w:szCs w:val="18"/>
                <w:color w:val="auto"/>
                <w:w w:val="90"/>
              </w:rPr>
              <w:t>Chairman of the Board of Directors and Chief Executive Officer (Principal</w:t>
            </w:r>
          </w:p>
        </w:tc>
      </w:tr>
      <w:tr>
        <w:trPr>
          <w:trHeight w:val="202"/>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0" w:type="dxa"/>
            <w:vAlign w:val="bottom"/>
          </w:tcPr>
          <w:p>
            <w:pPr>
              <w:jc w:val="center"/>
              <w:ind w:right="367"/>
              <w:spacing w:after="0"/>
              <w:rPr>
                <w:sz w:val="20"/>
                <w:szCs w:val="20"/>
                <w:color w:val="auto"/>
              </w:rPr>
            </w:pPr>
            <w:r>
              <w:rPr>
                <w:rFonts w:ascii="Arial" w:cs="Arial" w:eastAsia="Arial" w:hAnsi="Arial"/>
                <w:sz w:val="14"/>
                <w:szCs w:val="14"/>
                <w:b w:val="1"/>
                <w:bCs w:val="1"/>
                <w:color w:val="auto"/>
                <w:w w:val="93"/>
              </w:rPr>
              <w:t>Arthur H. Penn</w:t>
            </w:r>
          </w:p>
        </w:tc>
        <w:tc>
          <w:tcPr>
            <w:tcW w:w="6100" w:type="dxa"/>
            <w:vAlign w:val="bottom"/>
          </w:tcPr>
          <w:p>
            <w:pPr>
              <w:jc w:val="center"/>
              <w:ind w:left="772"/>
              <w:spacing w:after="0" w:line="202" w:lineRule="exact"/>
              <w:rPr>
                <w:sz w:val="20"/>
                <w:szCs w:val="20"/>
                <w:color w:val="auto"/>
              </w:rPr>
            </w:pPr>
            <w:r>
              <w:rPr>
                <w:rFonts w:ascii="Arial" w:cs="Arial" w:eastAsia="Arial" w:hAnsi="Arial"/>
                <w:sz w:val="18"/>
                <w:szCs w:val="18"/>
                <w:color w:val="auto"/>
                <w:w w:val="92"/>
              </w:rPr>
              <w:t>Executive Officer)</w:t>
            </w:r>
          </w:p>
        </w:tc>
      </w:tr>
      <w:tr>
        <w:trPr>
          <w:trHeight w:val="426"/>
        </w:trPr>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jc w:val="right"/>
              <w:ind w:right="1987"/>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VIV</w:t>
            </w:r>
            <w:r>
              <w:rPr>
                <w:rFonts w:ascii="Arial" w:cs="Arial" w:eastAsia="Arial" w:hAnsi="Arial"/>
                <w:sz w:val="18"/>
                <w:szCs w:val="18"/>
                <w:color w:val="auto"/>
              </w:rPr>
              <w:t xml:space="preserve"> E</w:t>
            </w:r>
            <w:r>
              <w:rPr>
                <w:rFonts w:ascii="Arial" w:cs="Arial" w:eastAsia="Arial" w:hAnsi="Arial"/>
                <w:sz w:val="14"/>
                <w:szCs w:val="14"/>
                <w:color w:val="auto"/>
              </w:rPr>
              <w:t>FRAT</w:t>
            </w:r>
          </w:p>
        </w:tc>
        <w:tc>
          <w:tcPr>
            <w:tcW w:w="6100" w:type="dxa"/>
            <w:vAlign w:val="bottom"/>
          </w:tcPr>
          <w:p>
            <w:pPr>
              <w:jc w:val="center"/>
              <w:ind w:left="772"/>
              <w:spacing w:after="0"/>
              <w:rPr>
                <w:sz w:val="20"/>
                <w:szCs w:val="20"/>
                <w:color w:val="auto"/>
              </w:rPr>
            </w:pPr>
            <w:r>
              <w:rPr>
                <w:rFonts w:ascii="Arial" w:cs="Arial" w:eastAsia="Arial" w:hAnsi="Arial"/>
                <w:sz w:val="18"/>
                <w:szCs w:val="18"/>
                <w:color w:val="auto"/>
                <w:w w:val="90"/>
              </w:rPr>
              <w:t>Chief Financial Officer and Treasurer (Principal Financial and Accounting</w:t>
            </w:r>
          </w:p>
        </w:tc>
      </w:tr>
      <w:tr>
        <w:trPr>
          <w:trHeight w:val="202"/>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0" w:type="dxa"/>
            <w:vAlign w:val="bottom"/>
          </w:tcPr>
          <w:p>
            <w:pPr>
              <w:jc w:val="center"/>
              <w:ind w:right="367"/>
              <w:spacing w:after="0"/>
              <w:rPr>
                <w:sz w:val="20"/>
                <w:szCs w:val="20"/>
                <w:color w:val="auto"/>
              </w:rPr>
            </w:pPr>
            <w:r>
              <w:rPr>
                <w:rFonts w:ascii="Arial" w:cs="Arial" w:eastAsia="Arial" w:hAnsi="Arial"/>
                <w:sz w:val="14"/>
                <w:szCs w:val="14"/>
                <w:b w:val="1"/>
                <w:bCs w:val="1"/>
                <w:color w:val="auto"/>
                <w:w w:val="91"/>
              </w:rPr>
              <w:t>Aviv Efrat</w:t>
            </w:r>
          </w:p>
        </w:tc>
        <w:tc>
          <w:tcPr>
            <w:tcW w:w="6100" w:type="dxa"/>
            <w:vAlign w:val="bottom"/>
          </w:tcPr>
          <w:p>
            <w:pPr>
              <w:jc w:val="center"/>
              <w:ind w:left="772"/>
              <w:spacing w:after="0" w:line="202" w:lineRule="exact"/>
              <w:rPr>
                <w:sz w:val="20"/>
                <w:szCs w:val="20"/>
                <w:color w:val="auto"/>
              </w:rPr>
            </w:pPr>
            <w:r>
              <w:rPr>
                <w:rFonts w:ascii="Arial" w:cs="Arial" w:eastAsia="Arial" w:hAnsi="Arial"/>
                <w:sz w:val="18"/>
                <w:szCs w:val="18"/>
                <w:color w:val="auto"/>
                <w:w w:val="94"/>
              </w:rPr>
              <w:t>Officer)</w:t>
            </w:r>
          </w:p>
        </w:tc>
      </w:tr>
      <w:tr>
        <w:trPr>
          <w:trHeight w:val="426"/>
        </w:trPr>
        <w:tc>
          <w:tcPr>
            <w:tcW w:w="5040" w:type="dxa"/>
            <w:vAlign w:val="bottom"/>
            <w:gridSpan w:val="3"/>
          </w:tcPr>
          <w:p>
            <w:pPr>
              <w:jc w:val="right"/>
              <w:ind w:right="2287"/>
              <w:spacing w:after="0"/>
              <w:rPr>
                <w:sz w:val="20"/>
                <w:szCs w:val="20"/>
                <w:color w:val="auto"/>
              </w:rPr>
            </w:pPr>
            <w:r>
              <w:rPr>
                <w:rFonts w:ascii="Arial" w:cs="Arial" w:eastAsia="Arial" w:hAnsi="Arial"/>
                <w:sz w:val="18"/>
                <w:szCs w:val="18"/>
                <w:color w:val="auto"/>
              </w:rPr>
              <w:t>*</w:t>
            </w:r>
          </w:p>
        </w:tc>
        <w:tc>
          <w:tcPr>
            <w:tcW w:w="6100" w:type="dxa"/>
            <w:vAlign w:val="bottom"/>
          </w:tcPr>
          <w:p>
            <w:pPr>
              <w:spacing w:after="0"/>
              <w:rPr>
                <w:sz w:val="24"/>
                <w:szCs w:val="24"/>
                <w:color w:val="auto"/>
              </w:rPr>
            </w:pPr>
          </w:p>
        </w:tc>
      </w:tr>
      <w:tr>
        <w:trPr>
          <w:trHeight w:val="238"/>
        </w:trPr>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0" w:type="dxa"/>
            <w:vAlign w:val="bottom"/>
            <w:tcBorders>
              <w:top w:val="single" w:sz="8" w:color="auto"/>
            </w:tcBorders>
          </w:tcPr>
          <w:p>
            <w:pPr>
              <w:jc w:val="center"/>
              <w:ind w:right="367"/>
              <w:spacing w:after="0"/>
              <w:rPr>
                <w:sz w:val="20"/>
                <w:szCs w:val="20"/>
                <w:color w:val="auto"/>
              </w:rPr>
            </w:pPr>
            <w:r>
              <w:rPr>
                <w:rFonts w:ascii="Arial" w:cs="Arial" w:eastAsia="Arial" w:hAnsi="Arial"/>
                <w:sz w:val="14"/>
                <w:szCs w:val="14"/>
                <w:b w:val="1"/>
                <w:bCs w:val="1"/>
                <w:color w:val="auto"/>
                <w:w w:val="89"/>
              </w:rPr>
              <w:t>Adam K. Bernstein</w:t>
            </w:r>
          </w:p>
        </w:tc>
        <w:tc>
          <w:tcPr>
            <w:tcW w:w="6100" w:type="dxa"/>
            <w:vAlign w:val="bottom"/>
          </w:tcPr>
          <w:p>
            <w:pPr>
              <w:jc w:val="center"/>
              <w:ind w:left="752"/>
              <w:spacing w:after="0"/>
              <w:rPr>
                <w:sz w:val="20"/>
                <w:szCs w:val="20"/>
                <w:color w:val="auto"/>
              </w:rPr>
            </w:pPr>
            <w:r>
              <w:rPr>
                <w:rFonts w:ascii="Arial" w:cs="Arial" w:eastAsia="Arial" w:hAnsi="Arial"/>
                <w:sz w:val="18"/>
                <w:szCs w:val="18"/>
                <w:color w:val="auto"/>
                <w:w w:val="91"/>
              </w:rPr>
              <w:t>Director</w:t>
            </w:r>
          </w:p>
        </w:tc>
      </w:tr>
      <w:tr>
        <w:trPr>
          <w:trHeight w:val="417"/>
        </w:trPr>
        <w:tc>
          <w:tcPr>
            <w:tcW w:w="504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6100" w:type="dxa"/>
            <w:vAlign w:val="bottom"/>
          </w:tcPr>
          <w:p>
            <w:pPr>
              <w:spacing w:after="0"/>
              <w:rPr>
                <w:sz w:val="24"/>
                <w:szCs w:val="24"/>
                <w:color w:val="auto"/>
              </w:rPr>
            </w:pPr>
          </w:p>
        </w:tc>
      </w:tr>
      <w:tr>
        <w:trPr>
          <w:trHeight w:val="238"/>
        </w:trPr>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600" w:type="dxa"/>
            <w:vAlign w:val="bottom"/>
            <w:tcBorders>
              <w:top w:val="single" w:sz="8" w:color="auto"/>
            </w:tcBorders>
          </w:tcPr>
          <w:p>
            <w:pPr>
              <w:jc w:val="center"/>
              <w:ind w:right="367"/>
              <w:spacing w:after="0"/>
              <w:rPr>
                <w:sz w:val="20"/>
                <w:szCs w:val="20"/>
                <w:color w:val="auto"/>
              </w:rPr>
            </w:pPr>
            <w:r>
              <w:rPr>
                <w:rFonts w:ascii="Arial" w:cs="Arial" w:eastAsia="Arial" w:hAnsi="Arial"/>
                <w:sz w:val="14"/>
                <w:szCs w:val="14"/>
                <w:b w:val="1"/>
                <w:bCs w:val="1"/>
                <w:color w:val="auto"/>
                <w:w w:val="85"/>
              </w:rPr>
              <w:t>Jeffrey Flug</w:t>
            </w:r>
          </w:p>
        </w:tc>
        <w:tc>
          <w:tcPr>
            <w:tcW w:w="6100" w:type="dxa"/>
            <w:vAlign w:val="bottom"/>
          </w:tcPr>
          <w:p>
            <w:pPr>
              <w:jc w:val="center"/>
              <w:ind w:left="752"/>
              <w:spacing w:after="0"/>
              <w:rPr>
                <w:sz w:val="20"/>
                <w:szCs w:val="20"/>
                <w:color w:val="auto"/>
              </w:rPr>
            </w:pPr>
            <w:r>
              <w:rPr>
                <w:rFonts w:ascii="Arial" w:cs="Arial" w:eastAsia="Arial" w:hAnsi="Arial"/>
                <w:sz w:val="18"/>
                <w:szCs w:val="18"/>
                <w:color w:val="auto"/>
                <w:w w:val="91"/>
              </w:rPr>
              <w:t>Director</w:t>
            </w:r>
          </w:p>
        </w:tc>
      </w:tr>
      <w:tr>
        <w:trPr>
          <w:trHeight w:val="417"/>
        </w:trPr>
        <w:tc>
          <w:tcPr>
            <w:tcW w:w="5040" w:type="dxa"/>
            <w:vAlign w:val="bottom"/>
            <w:gridSpan w:val="3"/>
          </w:tcPr>
          <w:p>
            <w:pPr>
              <w:jc w:val="right"/>
              <w:ind w:right="2287"/>
              <w:spacing w:after="0"/>
              <w:rPr>
                <w:sz w:val="20"/>
                <w:szCs w:val="20"/>
                <w:color w:val="auto"/>
              </w:rPr>
            </w:pPr>
            <w:r>
              <w:rPr>
                <w:rFonts w:ascii="Arial" w:cs="Arial" w:eastAsia="Arial" w:hAnsi="Arial"/>
                <w:sz w:val="18"/>
                <w:szCs w:val="18"/>
                <w:color w:val="auto"/>
              </w:rPr>
              <w:t>*</w:t>
            </w:r>
          </w:p>
        </w:tc>
        <w:tc>
          <w:tcPr>
            <w:tcW w:w="6100" w:type="dxa"/>
            <w:vAlign w:val="bottom"/>
          </w:tcPr>
          <w:p>
            <w:pPr>
              <w:spacing w:after="0"/>
              <w:rPr>
                <w:sz w:val="24"/>
                <w:szCs w:val="24"/>
                <w:color w:val="auto"/>
              </w:rPr>
            </w:pPr>
          </w:p>
        </w:tc>
      </w:tr>
      <w:tr>
        <w:trPr>
          <w:trHeight w:val="238"/>
        </w:trPr>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0" w:type="dxa"/>
            <w:vAlign w:val="bottom"/>
            <w:tcBorders>
              <w:top w:val="single" w:sz="8" w:color="auto"/>
            </w:tcBorders>
          </w:tcPr>
          <w:p>
            <w:pPr>
              <w:jc w:val="center"/>
              <w:ind w:right="367"/>
              <w:spacing w:after="0"/>
              <w:rPr>
                <w:sz w:val="20"/>
                <w:szCs w:val="20"/>
                <w:color w:val="auto"/>
              </w:rPr>
            </w:pPr>
            <w:r>
              <w:rPr>
                <w:rFonts w:ascii="Arial" w:cs="Arial" w:eastAsia="Arial" w:hAnsi="Arial"/>
                <w:sz w:val="14"/>
                <w:szCs w:val="14"/>
                <w:b w:val="1"/>
                <w:bCs w:val="1"/>
                <w:color w:val="auto"/>
                <w:w w:val="88"/>
              </w:rPr>
              <w:t>Marshall Brozost</w:t>
            </w:r>
          </w:p>
        </w:tc>
        <w:tc>
          <w:tcPr>
            <w:tcW w:w="6100" w:type="dxa"/>
            <w:vAlign w:val="bottom"/>
          </w:tcPr>
          <w:p>
            <w:pPr>
              <w:jc w:val="center"/>
              <w:ind w:left="752"/>
              <w:spacing w:after="0"/>
              <w:rPr>
                <w:sz w:val="20"/>
                <w:szCs w:val="20"/>
                <w:color w:val="auto"/>
              </w:rPr>
            </w:pPr>
            <w:r>
              <w:rPr>
                <w:rFonts w:ascii="Arial" w:cs="Arial" w:eastAsia="Arial" w:hAnsi="Arial"/>
                <w:sz w:val="18"/>
                <w:szCs w:val="18"/>
                <w:color w:val="auto"/>
                <w:w w:val="91"/>
              </w:rPr>
              <w:t>Director</w:t>
            </w:r>
          </w:p>
        </w:tc>
      </w:tr>
      <w:tr>
        <w:trPr>
          <w:trHeight w:val="417"/>
        </w:trPr>
        <w:tc>
          <w:tcPr>
            <w:tcW w:w="5040" w:type="dxa"/>
            <w:vAlign w:val="bottom"/>
            <w:gridSpan w:val="3"/>
          </w:tcPr>
          <w:p>
            <w:pPr>
              <w:jc w:val="right"/>
              <w:ind w:right="2287"/>
              <w:spacing w:after="0"/>
              <w:rPr>
                <w:sz w:val="20"/>
                <w:szCs w:val="20"/>
                <w:color w:val="auto"/>
              </w:rPr>
            </w:pPr>
            <w:r>
              <w:rPr>
                <w:rFonts w:ascii="Arial" w:cs="Arial" w:eastAsia="Arial" w:hAnsi="Arial"/>
                <w:sz w:val="18"/>
                <w:szCs w:val="18"/>
                <w:color w:val="auto"/>
              </w:rPr>
              <w:t>*</w:t>
            </w:r>
          </w:p>
        </w:tc>
        <w:tc>
          <w:tcPr>
            <w:tcW w:w="6100" w:type="dxa"/>
            <w:vAlign w:val="bottom"/>
          </w:tcPr>
          <w:p>
            <w:pPr>
              <w:spacing w:after="0"/>
              <w:rPr>
                <w:sz w:val="24"/>
                <w:szCs w:val="24"/>
                <w:color w:val="auto"/>
              </w:rPr>
            </w:pPr>
          </w:p>
        </w:tc>
      </w:tr>
      <w:tr>
        <w:trPr>
          <w:trHeight w:val="238"/>
        </w:trPr>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0" w:type="dxa"/>
            <w:vAlign w:val="bottom"/>
            <w:tcBorders>
              <w:top w:val="single" w:sz="8" w:color="auto"/>
            </w:tcBorders>
          </w:tcPr>
          <w:p>
            <w:pPr>
              <w:jc w:val="center"/>
              <w:ind w:right="367"/>
              <w:spacing w:after="0"/>
              <w:rPr>
                <w:sz w:val="20"/>
                <w:szCs w:val="20"/>
                <w:color w:val="auto"/>
              </w:rPr>
            </w:pPr>
            <w:r>
              <w:rPr>
                <w:rFonts w:ascii="Arial" w:cs="Arial" w:eastAsia="Arial" w:hAnsi="Arial"/>
                <w:sz w:val="14"/>
                <w:szCs w:val="14"/>
                <w:b w:val="1"/>
                <w:bCs w:val="1"/>
                <w:color w:val="auto"/>
                <w:w w:val="88"/>
              </w:rPr>
              <w:t>Samuel L. Katz</w:t>
            </w:r>
          </w:p>
        </w:tc>
        <w:tc>
          <w:tcPr>
            <w:tcW w:w="6100" w:type="dxa"/>
            <w:vAlign w:val="bottom"/>
          </w:tcPr>
          <w:p>
            <w:pPr>
              <w:jc w:val="center"/>
              <w:ind w:left="752"/>
              <w:spacing w:after="0"/>
              <w:rPr>
                <w:sz w:val="20"/>
                <w:szCs w:val="20"/>
                <w:color w:val="auto"/>
              </w:rPr>
            </w:pPr>
            <w:r>
              <w:rPr>
                <w:rFonts w:ascii="Arial" w:cs="Arial" w:eastAsia="Arial" w:hAnsi="Arial"/>
                <w:sz w:val="18"/>
                <w:szCs w:val="18"/>
                <w:color w:val="auto"/>
                <w:w w:val="91"/>
              </w:rPr>
              <w:t>Director</w:t>
            </w:r>
          </w:p>
        </w:tc>
      </w:tr>
    </w:tbl>
    <w:p>
      <w:pPr>
        <w:spacing w:after="0" w:line="181" w:lineRule="exact"/>
        <w:rPr>
          <w:sz w:val="20"/>
          <w:szCs w:val="20"/>
          <w:color w:val="auto"/>
        </w:rPr>
      </w:pPr>
    </w:p>
    <w:p>
      <w:pPr>
        <w:ind w:left="5580" w:right="1660" w:hanging="5572"/>
        <w:spacing w:after="0" w:line="440" w:lineRule="auto"/>
        <w:tabs>
          <w:tab w:leader="none" w:pos="45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Signed by Aviv Efrat on behalf of those identified pursuant to his designation as an attorney-in-fact signed by each on April 1, 2008. C-5</w:t>
      </w:r>
    </w:p>
    <w:p>
      <w:pPr>
        <w:sectPr>
          <w:pgSz w:w="11900" w:h="16838" w:orient="portrait"/>
          <w:cols w:equalWidth="0" w:num="1">
            <w:col w:w="11420"/>
          </w:cols>
          <w:pgMar w:left="240" w:top="460"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(n)(1)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6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consent to the use of our report dated December 12, 2007 for the PennantPark Investment Corporation and to the references to our firm under the headings “Selected Financial Data”, “Senior Securities”, and “Independent Registered Public Accounting Firm” in Amendment No. 3 to the Registration Statement on Form N-2.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5, 2008</w:t>
      </w:r>
    </w:p>
    <w:p>
      <w:pPr>
        <w:sectPr>
          <w:pgSz w:w="11900" w:h="16838" w:orient="portrait"/>
          <w:cols w:equalWidth="0" w:num="1">
            <w:col w:w="11420"/>
          </w:cols>
          <w:pgMar w:left="240" w:top="125"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(n)(2)</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Awareness Letter of Independent Registered Public Accounting Firm</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Re: Securities Act Registration No. 333-150033 and Investment Company Act of 1940 File No. 814-00736.</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With respect to the amendment to the subject registration statement, we acknowledge our awareness of the use therein of our report dated August 5, 2008 related to our review of interim financial information.</w:t>
      </w:r>
    </w:p>
    <w:p>
      <w:pPr>
        <w:spacing w:after="0" w:line="132"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5, 2008</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1)"/>
      <w:numFmt w:val="decimal"/>
      <w:start w:val="1"/>
    </w:lvl>
  </w:abstractNum>
  <w:abstractNum w:abstractNumId="3">
    <w:nsid w:val="39386575"/>
    <w:multiLevelType w:val="hybridMultilevel"/>
    <w:lvl w:ilvl="0">
      <w:lvlJc w:val="left"/>
      <w:lvlText w:val="•"/>
      <w:numFmt w:val="bullet"/>
      <w:start w:val="1"/>
    </w:lvl>
  </w:abstractNum>
  <w:abstractNum w:abstractNumId="4">
    <w:nsid w:val="1CF10FD8"/>
    <w:multiLevelType w:val="hybridMultilevel"/>
    <w:lvl w:ilvl="0">
      <w:lvlJc w:val="left"/>
      <w:lvlText w:val="(%1)"/>
      <w:numFmt w:val="decimal"/>
      <w:start w:val="1"/>
    </w:lvl>
  </w:abstractNum>
  <w:abstractNum w:abstractNumId="5">
    <w:nsid w:val="180115BE"/>
    <w:multiLevelType w:val="hybridMultilevel"/>
    <w:lvl w:ilvl="0">
      <w:lvlJc w:val="left"/>
      <w:lvlText w:val="(%1)"/>
      <w:numFmt w:val="decimal"/>
      <w:start w:val="8"/>
    </w:lvl>
  </w:abstractNum>
  <w:abstractNum w:abstractNumId="6">
    <w:nsid w:val="235BA861"/>
    <w:multiLevelType w:val="hybridMultilevel"/>
    <w:lvl w:ilvl="0">
      <w:lvlJc w:val="left"/>
      <w:lvlText w:val="•"/>
      <w:numFmt w:val="bullet"/>
      <w:start w:val="1"/>
    </w:lvl>
  </w:abstractNum>
  <w:abstractNum w:abstractNumId="7">
    <w:nsid w:val="47398C89"/>
    <w:multiLevelType w:val="hybridMultilevel"/>
    <w:lvl w:ilvl="0">
      <w:lvlJc w:val="left"/>
      <w:lvlText w:val="(%1)"/>
      <w:numFmt w:val="decimal"/>
      <w:start w:val="1"/>
    </w:lvl>
  </w:abstractNum>
  <w:abstractNum w:abstractNumId="8">
    <w:nsid w:val="354FE9F9"/>
    <w:multiLevelType w:val="hybridMultilevel"/>
    <w:lvl w:ilvl="0">
      <w:lvlJc w:val="left"/>
      <w:lvlText w:val="•"/>
      <w:numFmt w:val="bullet"/>
      <w:start w:val="1"/>
    </w:lvl>
  </w:abstractNum>
  <w:abstractNum w:abstractNumId="9">
    <w:nsid w:val="15B5AF5C"/>
    <w:multiLevelType w:val="hybridMultilevel"/>
    <w:lvl w:ilvl="0">
      <w:lvlJc w:val="left"/>
      <w:lvlText w:val="•"/>
      <w:numFmt w:val="bullet"/>
      <w:start w:val="1"/>
    </w:lvl>
  </w:abstractNum>
  <w:abstractNum w:abstractNumId="10">
    <w:nsid w:val="741226BB"/>
    <w:multiLevelType w:val="hybridMultilevel"/>
    <w:lvl w:ilvl="0">
      <w:lvlJc w:val="left"/>
      <w:lvlText w:val="•"/>
      <w:numFmt w:val="bullet"/>
      <w:start w:val="1"/>
    </w:lvl>
  </w:abstractNum>
  <w:abstractNum w:abstractNumId="11">
    <w:nsid w:val="D34B6A8"/>
    <w:multiLevelType w:val="hybridMultilevel"/>
    <w:lvl w:ilvl="0">
      <w:lvlJc w:val="left"/>
      <w:lvlText w:val="•"/>
      <w:numFmt w:val="bullet"/>
      <w:start w:val="1"/>
    </w:lvl>
  </w:abstractNum>
  <w:abstractNum w:abstractNumId="12">
    <w:nsid w:val="10233C99"/>
    <w:multiLevelType w:val="hybridMultilevel"/>
    <w:lvl w:ilvl="0">
      <w:lvlJc w:val="left"/>
      <w:lvlText w:val="•"/>
      <w:numFmt w:val="bullet"/>
      <w:start w:val="1"/>
    </w:lvl>
  </w:abstractNum>
  <w:abstractNum w:abstractNumId="13">
    <w:nsid w:val="3F6AB60F"/>
    <w:multiLevelType w:val="hybridMultilevel"/>
    <w:lvl w:ilvl="0">
      <w:lvlJc w:val="left"/>
      <w:lvlText w:val="(%1)"/>
      <w:numFmt w:val="decimal"/>
      <w:start w:val="1"/>
    </w:lvl>
  </w:abstractNum>
  <w:abstractNum w:abstractNumId="14">
    <w:nsid w:val="61574095"/>
    <w:multiLevelType w:val="hybridMultilevel"/>
    <w:lvl w:ilvl="0">
      <w:lvlJc w:val="left"/>
      <w:lvlText w:val="*"/>
      <w:numFmt w:val="bullet"/>
      <w:start w:val="1"/>
    </w:lvl>
  </w:abstractNum>
  <w:abstractNum w:abstractNumId="15">
    <w:nsid w:val="7E0C57B1"/>
    <w:multiLevelType w:val="hybridMultilevel"/>
    <w:lvl w:ilvl="0">
      <w:lvlJc w:val="left"/>
      <w:lvlText w:val="(%1)"/>
      <w:numFmt w:val="decimal"/>
      <w:start w:val="1"/>
    </w:lvl>
  </w:abstractNum>
  <w:abstractNum w:abstractNumId="16">
    <w:nsid w:val="77AE35EB"/>
    <w:multiLevelType w:val="hybridMultilevel"/>
    <w:lvl w:ilvl="0">
      <w:lvlJc w:val="left"/>
      <w:lvlText w:val="•"/>
      <w:numFmt w:val="bullet"/>
      <w:start w:val="1"/>
    </w:lvl>
  </w:abstractNum>
  <w:abstractNum w:abstractNumId="17">
    <w:nsid w:val="579BE4F1"/>
    <w:multiLevelType w:val="hybridMultilevel"/>
    <w:lvl w:ilvl="0">
      <w:lvlJc w:val="left"/>
      <w:lvlText w:val="(%1)"/>
      <w:numFmt w:val="decimal"/>
      <w:start w:val="1"/>
    </w:lvl>
  </w:abstractNum>
  <w:abstractNum w:abstractNumId="18">
    <w:nsid w:val="310C50B3"/>
    <w:multiLevelType w:val="hybridMultilevel"/>
    <w:lvl w:ilvl="0">
      <w:lvlJc w:val="left"/>
      <w:lvlText w:val="(%1)"/>
      <w:numFmt w:val="decimal"/>
      <w:start w:val="4"/>
    </w:lvl>
  </w:abstractNum>
  <w:abstractNum w:abstractNumId="19">
    <w:nsid w:val="5FF87E05"/>
    <w:multiLevelType w:val="hybridMultilevel"/>
    <w:lvl w:ilvl="0">
      <w:lvlJc w:val="left"/>
      <w:lvlText w:val="•"/>
      <w:numFmt w:val="bullet"/>
      <w:start w:val="1"/>
    </w:lvl>
  </w:abstractNum>
  <w:abstractNum w:abstractNumId="20">
    <w:nsid w:val="2F305DEF"/>
    <w:multiLevelType w:val="hybridMultilevel"/>
    <w:lvl w:ilvl="0">
      <w:lvlJc w:val="left"/>
      <w:lvlText w:val="•"/>
      <w:numFmt w:val="bullet"/>
      <w:start w:val="1"/>
    </w:lvl>
  </w:abstractNum>
  <w:abstractNum w:abstractNumId="21">
    <w:nsid w:val="25A70BF7"/>
    <w:multiLevelType w:val="hybridMultilevel"/>
    <w:lvl w:ilvl="0">
      <w:lvlJc w:val="left"/>
      <w:lvlText w:val="(%1)"/>
      <w:numFmt w:val="decimal"/>
      <w:start w:val="1"/>
    </w:lvl>
  </w:abstractNum>
  <w:abstractNum w:abstractNumId="22">
    <w:nsid w:val="1DBABF00"/>
    <w:multiLevelType w:val="hybridMultilevel"/>
    <w:lvl w:ilvl="0">
      <w:lvlJc w:val="left"/>
      <w:lvlText w:val="(%1)"/>
      <w:numFmt w:val="decimal"/>
      <w:start w:val="1"/>
    </w:lvl>
  </w:abstractNum>
  <w:abstractNum w:abstractNumId="23">
    <w:nsid w:val="4AD084E9"/>
    <w:multiLevelType w:val="hybridMultilevel"/>
    <w:lvl w:ilvl="0">
      <w:lvlJc w:val="left"/>
      <w:lvlText w:val="*"/>
      <w:numFmt w:val="bullet"/>
      <w:start w:val="1"/>
    </w:lvl>
  </w:abstractNum>
  <w:abstractNum w:abstractNumId="24">
    <w:nsid w:val="1F48EAA1"/>
    <w:multiLevelType w:val="hybridMultilevel"/>
    <w:lvl w:ilvl="0">
      <w:lvlJc w:val="left"/>
      <w:lvlText w:val="•"/>
      <w:numFmt w:val="bullet"/>
      <w:start w:val="1"/>
    </w:lvl>
  </w:abstractNum>
  <w:abstractNum w:abstractNumId="25">
    <w:nsid w:val="1381823A"/>
    <w:multiLevelType w:val="hybridMultilevel"/>
    <w:lvl w:ilvl="0">
      <w:lvlJc w:val="left"/>
      <w:lvlText w:val="(%1)"/>
      <w:numFmt w:val="decimal"/>
      <w:start w:val="1"/>
    </w:lvl>
  </w:abstractNum>
  <w:abstractNum w:abstractNumId="26">
    <w:nsid w:val="5DB70AE5"/>
    <w:multiLevelType w:val="hybridMultilevel"/>
    <w:lvl w:ilvl="0">
      <w:lvlJc w:val="left"/>
      <w:lvlText w:val="•"/>
      <w:numFmt w:val="bullet"/>
      <w:start w:val="1"/>
    </w:lvl>
  </w:abstractNum>
  <w:abstractNum w:abstractNumId="27">
    <w:nsid w:val="100F8FCA"/>
    <w:multiLevelType w:val="hybridMultilevel"/>
    <w:lvl w:ilvl="0">
      <w:lvlJc w:val="left"/>
      <w:lvlText w:val="•"/>
      <w:numFmt w:val="bullet"/>
      <w:start w:val="1"/>
    </w:lvl>
  </w:abstractNum>
  <w:abstractNum w:abstractNumId="28">
    <w:nsid w:val="6590700B"/>
    <w:multiLevelType w:val="hybridMultilevel"/>
    <w:lvl w:ilvl="0">
      <w:lvlJc w:val="left"/>
      <w:lvlText w:val="•"/>
      <w:numFmt w:val="bullet"/>
      <w:start w:val="1"/>
    </w:lvl>
  </w:abstractNum>
  <w:abstractNum w:abstractNumId="29">
    <w:nsid w:val="15014ACB"/>
    <w:multiLevelType w:val="hybridMultilevel"/>
    <w:lvl w:ilvl="0">
      <w:lvlJc w:val="left"/>
      <w:lvlText w:val="•"/>
      <w:numFmt w:val="bullet"/>
      <w:start w:val="1"/>
    </w:lvl>
  </w:abstractNum>
  <w:abstractNum w:abstractNumId="30">
    <w:nsid w:val="5F5E7FD0"/>
    <w:multiLevelType w:val="hybridMultilevel"/>
    <w:lvl w:ilvl="0">
      <w:lvlJc w:val="left"/>
      <w:lvlText w:val="•"/>
      <w:numFmt w:val="bullet"/>
      <w:start w:val="1"/>
    </w:lvl>
  </w:abstractNum>
  <w:abstractNum w:abstractNumId="31">
    <w:nsid w:val="98A3148"/>
    <w:multiLevelType w:val="hybridMultilevel"/>
    <w:lvl w:ilvl="0">
      <w:lvlJc w:val="left"/>
      <w:lvlText w:val="•"/>
      <w:numFmt w:val="bullet"/>
      <w:start w:val="1"/>
    </w:lvl>
  </w:abstractNum>
  <w:abstractNum w:abstractNumId="32">
    <w:nsid w:val="799D0247"/>
    <w:multiLevelType w:val="hybridMultilevel"/>
    <w:lvl w:ilvl="0">
      <w:lvlJc w:val="left"/>
      <w:lvlText w:val="(%1)"/>
      <w:numFmt w:val="decimal"/>
      <w:start w:val="1"/>
    </w:lvl>
  </w:abstractNum>
  <w:abstractNum w:abstractNumId="33">
    <w:nsid w:val="6B94764"/>
    <w:multiLevelType w:val="hybridMultilevel"/>
    <w:lvl w:ilvl="0">
      <w:lvlJc w:val="left"/>
      <w:lvlText w:val="(%1)"/>
      <w:numFmt w:val="decimal"/>
      <w:start w:val="1"/>
    </w:lvl>
  </w:abstractNum>
  <w:abstractNum w:abstractNumId="34">
    <w:nsid w:val="42C296BD"/>
    <w:multiLevelType w:val="hybridMultilevel"/>
    <w:lvl w:ilvl="0">
      <w:lvlJc w:val="left"/>
      <w:lvlText w:val="(%1)"/>
      <w:numFmt w:val="decimal"/>
      <w:start w:val="1"/>
    </w:lvl>
  </w:abstractNum>
  <w:abstractNum w:abstractNumId="35">
    <w:nsid w:val="168E121F"/>
    <w:multiLevelType w:val="hybridMultilevel"/>
    <w:lvl w:ilvl="0">
      <w:lvlJc w:val="left"/>
      <w:lvlText w:val="(%1)"/>
      <w:numFmt w:val="decimal"/>
      <w:start w:val="2"/>
    </w:lvl>
  </w:abstractNum>
  <w:abstractNum w:abstractNumId="36">
    <w:nsid w:val="1EBA5D23"/>
    <w:multiLevelType w:val="hybridMultilevel"/>
    <w:lvl w:ilvl="0">
      <w:lvlJc w:val="left"/>
      <w:lvlText w:val="*"/>
      <w:numFmt w:val="bullet"/>
      <w:start w:val="1"/>
    </w:lvl>
  </w:abstractNum>
  <w:abstractNum w:abstractNumId="37">
    <w:nsid w:val="661E3F1E"/>
    <w:multiLevelType w:val="hybridMultilevel"/>
    <w:lvl w:ilvl="0">
      <w:lvlJc w:val="left"/>
      <w:lvlText w:val="(%1)"/>
      <w:numFmt w:val="decimal"/>
      <w:start w:val="1"/>
    </w:lvl>
  </w:abstractNum>
  <w:abstractNum w:abstractNumId="38">
    <w:nsid w:val="5DC79EA8"/>
    <w:multiLevelType w:val="hybridMultilevel"/>
    <w:lvl w:ilvl="0">
      <w:lvlJc w:val="left"/>
      <w:lvlText w:val="•"/>
      <w:numFmt w:val="bullet"/>
      <w:start w:val="1"/>
    </w:lvl>
  </w:abstractNum>
  <w:abstractNum w:abstractNumId="39">
    <w:nsid w:val="540A471C"/>
    <w:multiLevelType w:val="hybridMultilevel"/>
    <w:lvl w:ilvl="0">
      <w:lvlJc w:val="left"/>
      <w:lvlText w:val="•"/>
      <w:numFmt w:val="bullet"/>
      <w:start w:val="1"/>
    </w:lvl>
  </w:abstractNum>
  <w:abstractNum w:abstractNumId="40">
    <w:nsid w:val="7BD3EE7B"/>
    <w:multiLevelType w:val="hybridMultilevel"/>
    <w:lvl w:ilvl="0">
      <w:lvlJc w:val="left"/>
      <w:lvlText w:val="="/>
      <w:numFmt w:val="bullet"/>
      <w:start w:val="1"/>
    </w:lvl>
  </w:abstractNum>
  <w:abstractNum w:abstractNumId="41">
    <w:nsid w:val="51D9C564"/>
    <w:multiLevelType w:val="hybridMultilevel"/>
    <w:lvl w:ilvl="0">
      <w:lvlJc w:val="left"/>
      <w:lvlText w:val="="/>
      <w:numFmt w:val="bullet"/>
      <w:start w:val="1"/>
    </w:lvl>
  </w:abstractNum>
  <w:abstractNum w:abstractNumId="42">
    <w:nsid w:val="613EFDC5"/>
    <w:multiLevelType w:val="hybridMultilevel"/>
    <w:lvl w:ilvl="0">
      <w:lvlJc w:val="left"/>
      <w:lvlText w:val="(*)"/>
      <w:numFmt w:val="bullet"/>
      <w:start w:val="1"/>
    </w:lvl>
    <w:lvl w:ilvl="1">
      <w:lvlJc w:val="left"/>
      <w:lvlText w:val="="/>
      <w:numFmt w:val="bullet"/>
      <w:start w:val="1"/>
    </w:lvl>
  </w:abstractNum>
  <w:abstractNum w:abstractNumId="43">
    <w:nsid w:val="BF72B14"/>
    <w:multiLevelType w:val="hybridMultilevel"/>
    <w:lvl w:ilvl="0">
      <w:lvlJc w:val="left"/>
      <w:lvlText w:val="(%1)"/>
      <w:numFmt w:val="decimal"/>
      <w:start w:val="1"/>
    </w:lvl>
  </w:abstractNum>
  <w:abstractNum w:abstractNumId="44">
    <w:nsid w:val="11447B73"/>
    <w:multiLevelType w:val="hybridMultilevel"/>
    <w:lvl w:ilvl="0">
      <w:lvlJc w:val="left"/>
      <w:lvlText w:val="•"/>
      <w:numFmt w:val="bullet"/>
      <w:start w:val="1"/>
    </w:lvl>
  </w:abstractNum>
  <w:abstractNum w:abstractNumId="45">
    <w:nsid w:val="42963E5A"/>
    <w:multiLevelType w:val="hybridMultilevel"/>
    <w:lvl w:ilvl="0">
      <w:lvlJc w:val="left"/>
      <w:lvlText w:val="•"/>
      <w:numFmt w:val="bullet"/>
      <w:start w:val="1"/>
    </w:lvl>
  </w:abstractNum>
  <w:abstractNum w:abstractNumId="46">
    <w:nsid w:val="A0382C5"/>
    <w:multiLevelType w:val="hybridMultilevel"/>
    <w:lvl w:ilvl="0">
      <w:lvlJc w:val="left"/>
      <w:lvlText w:val="•"/>
      <w:numFmt w:val="bullet"/>
      <w:start w:val="1"/>
    </w:lvl>
  </w:abstractNum>
  <w:abstractNum w:abstractNumId="47">
    <w:nsid w:val="8F2B15E"/>
    <w:multiLevelType w:val="hybridMultilevel"/>
    <w:lvl w:ilvl="0">
      <w:lvlJc w:val="left"/>
      <w:lvlText w:val="•"/>
      <w:numFmt w:val="bullet"/>
      <w:start w:val="1"/>
    </w:lvl>
  </w:abstractNum>
  <w:abstractNum w:abstractNumId="48">
    <w:nsid w:val="1A32234B"/>
    <w:multiLevelType w:val="hybridMultilevel"/>
    <w:lvl w:ilvl="0">
      <w:lvlJc w:val="left"/>
      <w:lvlText w:val="•"/>
      <w:numFmt w:val="bullet"/>
      <w:start w:val="1"/>
    </w:lvl>
  </w:abstractNum>
  <w:abstractNum w:abstractNumId="49">
    <w:nsid w:val="3B0FD379"/>
    <w:multiLevelType w:val="hybridMultilevel"/>
    <w:lvl w:ilvl="0">
      <w:lvlJc w:val="left"/>
      <w:lvlText w:val="•"/>
      <w:numFmt w:val="bullet"/>
      <w:start w:val="1"/>
    </w:lvl>
  </w:abstractNum>
  <w:abstractNum w:abstractNumId="50">
    <w:nsid w:val="68EB2F63"/>
    <w:multiLevelType w:val="hybridMultilevel"/>
    <w:lvl w:ilvl="0">
      <w:lvlJc w:val="left"/>
      <w:lvlText w:val="•"/>
      <w:numFmt w:val="bullet"/>
      <w:start w:val="1"/>
    </w:lvl>
  </w:abstractNum>
  <w:abstractNum w:abstractNumId="51">
    <w:nsid w:val="4962813B"/>
    <w:multiLevelType w:val="hybridMultilevel"/>
    <w:lvl w:ilvl="0">
      <w:lvlJc w:val="left"/>
      <w:lvlText w:val="•"/>
      <w:numFmt w:val="bullet"/>
      <w:start w:val="1"/>
    </w:lvl>
  </w:abstractNum>
  <w:abstractNum w:abstractNumId="52">
    <w:nsid w:val="60B6DF70"/>
    <w:multiLevelType w:val="hybridMultilevel"/>
    <w:lvl w:ilvl="0">
      <w:lvlJc w:val="left"/>
      <w:lvlText w:val="•"/>
      <w:numFmt w:val="bullet"/>
      <w:start w:val="1"/>
    </w:lvl>
  </w:abstractNum>
  <w:abstractNum w:abstractNumId="53">
    <w:nsid w:val="6A5EE64"/>
    <w:multiLevelType w:val="hybridMultilevel"/>
    <w:lvl w:ilvl="0">
      <w:lvlJc w:val="left"/>
      <w:lvlText w:val="•"/>
      <w:numFmt w:val="bullet"/>
      <w:start w:val="1"/>
    </w:lvl>
  </w:abstractNum>
  <w:abstractNum w:abstractNumId="54">
    <w:nsid w:val="14330624"/>
    <w:multiLevelType w:val="hybridMultilevel"/>
    <w:lvl w:ilvl="0">
      <w:lvlJc w:val="left"/>
      <w:lvlText w:val="•"/>
      <w:numFmt w:val="bullet"/>
      <w:start w:val="1"/>
    </w:lvl>
  </w:abstractNum>
  <w:abstractNum w:abstractNumId="55">
    <w:nsid w:val="7FFFCA11"/>
    <w:multiLevelType w:val="hybridMultilevel"/>
    <w:lvl w:ilvl="0">
      <w:lvlJc w:val="left"/>
      <w:lvlText w:val="•"/>
      <w:numFmt w:val="bullet"/>
      <w:start w:val="1"/>
    </w:lvl>
  </w:abstractNum>
  <w:abstractNum w:abstractNumId="56">
    <w:nsid w:val="1A27709E"/>
    <w:multiLevelType w:val="hybridMultilevel"/>
    <w:lvl w:ilvl="0">
      <w:lvlJc w:val="left"/>
      <w:lvlText w:val="•"/>
      <w:numFmt w:val="bullet"/>
      <w:start w:val="1"/>
    </w:lvl>
  </w:abstractNum>
  <w:abstractNum w:abstractNumId="57">
    <w:nsid w:val="71EA1109"/>
    <w:multiLevelType w:val="hybridMultilevel"/>
    <w:lvl w:ilvl="0">
      <w:lvlJc w:val="left"/>
      <w:lvlText w:val="•"/>
      <w:numFmt w:val="bullet"/>
      <w:start w:val="1"/>
    </w:lvl>
  </w:abstractNum>
  <w:abstractNum w:abstractNumId="58">
    <w:nsid w:val="100F59DC"/>
    <w:multiLevelType w:val="hybridMultilevel"/>
    <w:lvl w:ilvl="0">
      <w:lvlJc w:val="left"/>
      <w:lvlText w:val="•"/>
      <w:numFmt w:val="bullet"/>
      <w:start w:val="1"/>
    </w:lvl>
  </w:abstractNum>
  <w:abstractNum w:abstractNumId="59">
    <w:nsid w:val="7FB7E0AA"/>
    <w:multiLevelType w:val="hybridMultilevel"/>
    <w:lvl w:ilvl="0">
      <w:lvlJc w:val="left"/>
      <w:lvlText w:val="•"/>
      <w:numFmt w:val="bullet"/>
      <w:start w:val="1"/>
    </w:lvl>
  </w:abstractNum>
  <w:abstractNum w:abstractNumId="60">
    <w:nsid w:val="6EB5BD4"/>
    <w:multiLevelType w:val="hybridMultilevel"/>
    <w:lvl w:ilvl="0">
      <w:lvlJc w:val="left"/>
      <w:lvlText w:val="•"/>
      <w:numFmt w:val="bullet"/>
      <w:start w:val="1"/>
    </w:lvl>
  </w:abstractNum>
  <w:abstractNum w:abstractNumId="61">
    <w:nsid w:val="6F6DD9AC"/>
    <w:multiLevelType w:val="hybridMultilevel"/>
    <w:lvl w:ilvl="0">
      <w:lvlJc w:val="left"/>
      <w:lvlText w:val="•"/>
      <w:numFmt w:val="bullet"/>
      <w:start w:val="1"/>
    </w:lvl>
  </w:abstractNum>
  <w:abstractNum w:abstractNumId="62">
    <w:nsid w:val="94211F2"/>
    <w:multiLevelType w:val="hybridMultilevel"/>
    <w:lvl w:ilvl="0">
      <w:lvlJc w:val="left"/>
      <w:lvlText w:val="•"/>
      <w:numFmt w:val="bullet"/>
      <w:start w:val="1"/>
    </w:lvl>
  </w:abstractNum>
  <w:abstractNum w:abstractNumId="63">
    <w:nsid w:val="885E1B"/>
    <w:multiLevelType w:val="hybridMultilevel"/>
    <w:lvl w:ilvl="0">
      <w:lvlJc w:val="left"/>
      <w:lvlText w:val="•"/>
      <w:numFmt w:val="bullet"/>
      <w:start w:val="1"/>
    </w:lvl>
  </w:abstractNum>
  <w:abstractNum w:abstractNumId="64">
    <w:nsid w:val="76272110"/>
    <w:multiLevelType w:val="hybridMultilevel"/>
    <w:lvl w:ilvl="0">
      <w:lvlJc w:val="left"/>
      <w:lvlText w:val="•"/>
      <w:numFmt w:val="bullet"/>
      <w:start w:val="1"/>
    </w:lvl>
  </w:abstractNum>
  <w:abstractNum w:abstractNumId="65">
    <w:nsid w:val="4C04A8AF"/>
    <w:multiLevelType w:val="hybridMultilevel"/>
    <w:lvl w:ilvl="0">
      <w:lvlJc w:val="left"/>
      <w:lvlText w:val="•"/>
      <w:numFmt w:val="bullet"/>
      <w:start w:val="1"/>
    </w:lvl>
  </w:abstractNum>
  <w:abstractNum w:abstractNumId="66">
    <w:nsid w:val="1716703B"/>
    <w:multiLevelType w:val="hybridMultilevel"/>
    <w:lvl w:ilvl="0">
      <w:lvlJc w:val="left"/>
      <w:lvlText w:val="•"/>
      <w:numFmt w:val="bullet"/>
      <w:start w:val="1"/>
    </w:lvl>
  </w:abstractNum>
  <w:abstractNum w:abstractNumId="67">
    <w:nsid w:val="14E17E33"/>
    <w:multiLevelType w:val="hybridMultilevel"/>
    <w:lvl w:ilvl="0">
      <w:lvlJc w:val="left"/>
      <w:lvlText w:val="•"/>
      <w:numFmt w:val="bullet"/>
      <w:start w:val="1"/>
    </w:lvl>
  </w:abstractNum>
  <w:abstractNum w:abstractNumId="68">
    <w:nsid w:val="3222E7CD"/>
    <w:multiLevelType w:val="hybridMultilevel"/>
    <w:lvl w:ilvl="0">
      <w:lvlJc w:val="left"/>
      <w:lvlText w:val="•"/>
      <w:numFmt w:val="bullet"/>
      <w:start w:val="1"/>
    </w:lvl>
  </w:abstractNum>
  <w:abstractNum w:abstractNumId="69">
    <w:nsid w:val="74DE0EE3"/>
    <w:multiLevelType w:val="hybridMultilevel"/>
    <w:lvl w:ilvl="0">
      <w:lvlJc w:val="left"/>
      <w:lvlText w:val="(%1)"/>
      <w:numFmt w:val="decimal"/>
      <w:start w:val="1"/>
    </w:lvl>
    <w:lvl w:ilvl="1">
      <w:lvlJc w:val="left"/>
      <w:lvlText w:val="(%2)"/>
      <w:numFmt w:val="lowerLetter"/>
      <w:start w:val="1"/>
    </w:lvl>
  </w:abstractNum>
  <w:abstractNum w:abstractNumId="70">
    <w:nsid w:val="68EBC550"/>
    <w:multiLevelType w:val="hybridMultilevel"/>
    <w:lvl w:ilvl="0">
      <w:lvlJc w:val="left"/>
      <w:lvlText w:val="(%1)"/>
      <w:numFmt w:val="decimal"/>
      <w:start w:val="4"/>
    </w:lvl>
  </w:abstractNum>
  <w:abstractNum w:abstractNumId="71">
    <w:nsid w:val="2DF6D648"/>
    <w:multiLevelType w:val="hybridMultilevel"/>
    <w:lvl w:ilvl="0">
      <w:lvlJc w:val="left"/>
      <w:lvlText w:val="•"/>
      <w:numFmt w:val="bullet"/>
      <w:start w:val="1"/>
    </w:lvl>
  </w:abstractNum>
  <w:abstractNum w:abstractNumId="72">
    <w:nsid w:val="46B7D447"/>
    <w:multiLevelType w:val="hybridMultilevel"/>
    <w:lvl w:ilvl="0">
      <w:lvlJc w:val="left"/>
      <w:lvlText w:val="•"/>
      <w:numFmt w:val="bullet"/>
      <w:start w:val="1"/>
    </w:lvl>
  </w:abstractNum>
  <w:abstractNum w:abstractNumId="73">
    <w:nsid w:val="4A2AC315"/>
    <w:multiLevelType w:val="hybridMultilevel"/>
    <w:lvl w:ilvl="0">
      <w:lvlJc w:val="left"/>
      <w:lvlText w:val="•"/>
      <w:numFmt w:val="bullet"/>
      <w:start w:val="1"/>
    </w:lvl>
  </w:abstractNum>
  <w:abstractNum w:abstractNumId="74">
    <w:nsid w:val="39EE015C"/>
    <w:multiLevelType w:val="hybridMultilevel"/>
    <w:lvl w:ilvl="0">
      <w:lvlJc w:val="left"/>
      <w:lvlText w:val="•"/>
      <w:numFmt w:val="bullet"/>
      <w:start w:val="1"/>
    </w:lvl>
  </w:abstractNum>
  <w:abstractNum w:abstractNumId="75">
    <w:nsid w:val="57FC4FBB"/>
    <w:multiLevelType w:val="hybridMultilevel"/>
    <w:lvl w:ilvl="0">
      <w:lvlJc w:val="left"/>
      <w:lvlText w:val="•"/>
      <w:numFmt w:val="bullet"/>
      <w:start w:val="1"/>
    </w:lvl>
  </w:abstractNum>
  <w:abstractNum w:abstractNumId="76">
    <w:nsid w:val="CC1016F"/>
    <w:multiLevelType w:val="hybridMultilevel"/>
    <w:lvl w:ilvl="0">
      <w:lvlJc w:val="left"/>
      <w:lvlText w:val="•"/>
      <w:numFmt w:val="bullet"/>
      <w:start w:val="1"/>
    </w:lvl>
    <w:lvl w:ilvl="1">
      <w:lvlJc w:val="left"/>
      <w:lvlText w:val="•"/>
      <w:numFmt w:val="bullet"/>
      <w:start w:val="1"/>
    </w:lvl>
  </w:abstractNum>
  <w:abstractNum w:abstractNumId="77">
    <w:nsid w:val="43F18422"/>
    <w:multiLevelType w:val="hybridMultilevel"/>
    <w:lvl w:ilvl="0">
      <w:lvlJc w:val="left"/>
      <w:lvlText w:val="•"/>
      <w:numFmt w:val="bullet"/>
      <w:start w:val="1"/>
    </w:lvl>
  </w:abstractNum>
  <w:abstractNum w:abstractNumId="78">
    <w:nsid w:val="60EF0119"/>
    <w:multiLevelType w:val="hybridMultilevel"/>
    <w:lvl w:ilvl="0">
      <w:lvlJc w:val="left"/>
      <w:lvlText w:val="1"/>
      <w:numFmt w:val="bullet"/>
      <w:start w:val="1"/>
    </w:lvl>
  </w:abstractNum>
  <w:abstractNum w:abstractNumId="79">
    <w:nsid w:val="26F324BA"/>
    <w:multiLevelType w:val="hybridMultilevel"/>
    <w:lvl w:ilvl="0">
      <w:lvlJc w:val="left"/>
      <w:lvlText w:val="$"/>
      <w:numFmt w:val="bullet"/>
      <w:start w:val="1"/>
    </w:lvl>
  </w:abstractNum>
  <w:abstractNum w:abstractNumId="80">
    <w:nsid w:val="7F01579B"/>
    <w:multiLevelType w:val="hybridMultilevel"/>
    <w:lvl w:ilvl="0">
      <w:lvlJc w:val="left"/>
      <w:lvlText w:val="(%1)"/>
      <w:numFmt w:val="decimal"/>
      <w:start w:val="1"/>
    </w:lvl>
  </w:abstractNum>
  <w:abstractNum w:abstractNumId="81">
    <w:nsid w:val="49DA307D"/>
    <w:multiLevelType w:val="hybridMultilevel"/>
    <w:lvl w:ilvl="0">
      <w:lvlJc w:val="left"/>
      <w:lvlText w:val="*"/>
      <w:numFmt w:val="bullet"/>
      <w:start w:val="1"/>
    </w:lvl>
  </w:abstractNum>
  <w:abstractNum w:abstractNumId="82">
    <w:nsid w:val="7055A5F5"/>
    <w:multiLevelType w:val="hybridMultilevel"/>
    <w:lvl w:ilvl="0">
      <w:lvlJc w:val="left"/>
      <w:lvlText w:val="(%1)"/>
      <w:numFmt w:val="lowerLetter"/>
      <w:start w:val="1"/>
    </w:lvl>
  </w:abstractNum>
  <w:abstractNum w:abstractNumId="83">
    <w:nsid w:val="5FB8370B"/>
    <w:multiLevelType w:val="hybridMultilevel"/>
    <w:lvl w:ilvl="0">
      <w:lvlJc w:val="left"/>
      <w:lvlText w:val="(%1)"/>
      <w:numFmt w:val="decimal"/>
      <w:start w:val="1"/>
    </w:lvl>
  </w:abstractNum>
  <w:abstractNum w:abstractNumId="84">
    <w:nsid w:val="50801EE1"/>
    <w:multiLevelType w:val="hybridMultilevel"/>
    <w:lvl w:ilvl="0">
      <w:lvlJc w:val="left"/>
      <w:lvlText w:val="(%1)"/>
      <w:numFmt w:val="lowerLetter"/>
      <w:start w:val="2"/>
    </w:lvl>
  </w:abstractNum>
  <w:abstractNum w:abstractNumId="85">
    <w:nsid w:val="488AC1A"/>
    <w:multiLevelType w:val="hybridMultilevel"/>
    <w:lvl w:ilvl="0">
      <w:lvlJc w:val="left"/>
      <w:lvlText w:val="(%1)"/>
      <w:numFmt w:val="lowerLetter"/>
      <w:start w:val="5"/>
    </w:lvl>
  </w:abstractNum>
  <w:abstractNum w:abstractNumId="86">
    <w:nsid w:val="5FB8011C"/>
    <w:multiLevelType w:val="hybridMultilevel"/>
    <w:lvl w:ilvl="0">
      <w:lvlJc w:val="left"/>
      <w:lvlText w:val="(%1)"/>
      <w:numFmt w:val="decimal"/>
      <w:start w:val="1"/>
    </w:lvl>
  </w:abstractNum>
  <w:abstractNum w:abstractNumId="87">
    <w:nsid w:val="6AA78F7F"/>
    <w:multiLevelType w:val="hybridMultilevel"/>
    <w:lvl w:ilvl="0">
      <w:lvlJc w:val="left"/>
      <w:lvlText w:val="*"/>
      <w:numFmt w:val="bullet"/>
      <w:start w:val="1"/>
    </w:lvl>
  </w:abstractNum>
  <w:abstractNum w:abstractNumId="88">
    <w:nsid w:val="7672BD23"/>
    <w:multiLevelType w:val="hybridMultilevel"/>
    <w:lvl w:ilvl="0">
      <w:lvlJc w:val="left"/>
      <w:lvlText w:val="(%1)"/>
      <w:numFmt w:val="decimal"/>
      <w:start w:val="1"/>
    </w:lvl>
  </w:abstractNum>
  <w:abstractNum w:abstractNumId="89">
    <w:nsid w:val="6FC75AF8"/>
    <w:multiLevelType w:val="hybridMultilevel"/>
    <w:lvl w:ilvl="0">
      <w:lvlJc w:val="left"/>
      <w:lvlText w:val="(%1)"/>
      <w:numFmt w:val="lowerLetter"/>
      <w:start w:val="6"/>
    </w:lvl>
  </w:abstractNum>
  <w:abstractNum w:abstractNumId="90">
    <w:nsid w:val="6A5F7029"/>
    <w:multiLevelType w:val="hybridMultilevel"/>
    <w:lvl w:ilvl="0">
      <w:lvlJc w:val="left"/>
      <w:lvlText w:val="(%1)"/>
      <w:numFmt w:val="decimal"/>
      <w:start w:val="1"/>
    </w:lvl>
  </w:abstractNum>
  <w:abstractNum w:abstractNumId="91">
    <w:nsid w:val="7D5E18F8"/>
    <w:multiLevelType w:val="hybridMultilevel"/>
    <w:lvl w:ilvl="0">
      <w:lvlJc w:val="left"/>
      <w:lvlText w:val="(%1)"/>
      <w:numFmt w:val="decimal"/>
      <w:start w:val="1"/>
    </w:lvl>
  </w:abstractNum>
  <w:abstractNum w:abstractNumId="92">
    <w:nsid w:val="5F3534A4"/>
    <w:multiLevelType w:val="hybridMultilevel"/>
    <w:lvl w:ilvl="0">
      <w:lvlJc w:val="left"/>
      <w:lvlText w:val="(%1)"/>
      <w:numFmt w:val="decimal"/>
      <w:start w:val="3"/>
    </w:lvl>
  </w:abstractNum>
  <w:abstractNum w:abstractNumId="93">
    <w:nsid w:val="73A1821B"/>
    <w:multiLevelType w:val="hybridMultilevel"/>
    <w:lvl w:ilvl="0">
      <w:lvlJc w:val="left"/>
      <w:lvlText w:val="*"/>
      <w:numFmt w:val="bullet"/>
      <w:start w:val="1"/>
    </w:lvl>
  </w:abstractNum>
  <w:abstractNum w:abstractNumId="94">
    <w:nsid w:val="7DE67713"/>
    <w:multiLevelType w:val="hybridMultilevel"/>
    <w:lvl w:ilvl="0">
      <w:lvlJc w:val="left"/>
      <w:lvlText w:val="(%1)"/>
      <w:numFmt w:val="lowerLetter"/>
      <w:start w:val="1"/>
    </w:lvl>
  </w:abstractNum>
  <w:abstractNum w:abstractNumId="95">
    <w:nsid w:val="555C55B5"/>
    <w:multiLevelType w:val="hybridMultilevel"/>
    <w:lvl w:ilvl="0">
      <w:lvlJc w:val="left"/>
      <w:lvlText w:val="(%1)"/>
      <w:numFmt w:val="lowerRoman"/>
      <w:start w:val="1"/>
    </w:lvl>
  </w:abstractNum>
  <w:abstractNum w:abstractNumId="96">
    <w:nsid w:val="3FA62ACA"/>
    <w:multiLevelType w:val="hybridMultilevel"/>
    <w:lvl w:ilvl="0">
      <w:lvlJc w:val="left"/>
      <w:lvlText w:val="(%1)"/>
      <w:numFmt w:val="lowerLetter"/>
      <w:start w:val="3"/>
    </w:lvl>
  </w:abstractNum>
  <w:abstractNum w:abstractNumId="97">
    <w:nsid w:val="14FCE74E"/>
    <w:multiLevelType w:val="hybridMultilevel"/>
    <w:lvl w:ilvl="0">
      <w:lvlJc w:val="left"/>
      <w:lvlText w:val="(%1)"/>
      <w:numFmt w:val="lowerLetter"/>
      <w:start w:val="5"/>
    </w:lvl>
  </w:abstractNum>
  <w:abstractNum w:abstractNumId="98">
    <w:nsid w:val="6A3DD3E8"/>
    <w:multiLevelType w:val="hybridMultilevel"/>
    <w:lvl w:ilvl="0">
      <w:lvlJc w:val="left"/>
      <w:lvlText w:val="(%1)"/>
      <w:numFmt w:val="decimal"/>
      <w:start w:val="1"/>
    </w:lvl>
  </w:abstractNum>
  <w:abstractNum w:abstractNumId="99">
    <w:nsid w:val="71C91298"/>
    <w:multiLevelType w:val="hybridMultilevel"/>
    <w:lvl w:ilvl="0">
      <w:lvlJc w:val="left"/>
      <w:lvlText w:val="*"/>
      <w:numFmt w:val="bullet"/>
      <w:start w:val="1"/>
    </w:lvl>
  </w:abstractNum>
  <w:abstractNum w:abstractNumId="100">
    <w:nsid w:val="9DAF632"/>
    <w:multiLevelType w:val="hybridMultilevel"/>
    <w:lvl w:ilvl="0">
      <w:lvlJc w:val="left"/>
      <w:lvlText w:val="(%1)"/>
      <w:numFmt w:val="decimal"/>
      <w:start w:val="1"/>
    </w:lvl>
  </w:abstractNum>
  <w:abstractNum w:abstractNumId="101">
    <w:nsid w:val="53299938"/>
    <w:multiLevelType w:val="hybridMultilevel"/>
    <w:lvl w:ilvl="0">
      <w:lvlJc w:val="left"/>
      <w:lvlText w:val="%1."/>
      <w:numFmt w:val="decimal"/>
      <w:start w:val="1"/>
    </w:lvl>
  </w:abstractNum>
  <w:abstractNum w:abstractNumId="102">
    <w:nsid w:val="1FBFE8E0"/>
    <w:multiLevelType w:val="hybridMultilevel"/>
    <w:lvl w:ilvl="0">
      <w:lvlJc w:val="left"/>
      <w:lvlText w:val="(%1)"/>
      <w:numFmt w:val="lowerLetter"/>
      <w:start w:val="1"/>
    </w:lvl>
  </w:abstractNum>
  <w:abstractNum w:abstractNumId="103">
    <w:nsid w:val="5092CA79"/>
    <w:multiLevelType w:val="hybridMultilevel"/>
    <w:lvl w:ilvl="0">
      <w:lvlJc w:val="left"/>
      <w:lvlText w:val="*"/>
      <w:numFmt w:val="bullet"/>
      <w:start w:val="1"/>
    </w:lvl>
  </w:abstractNum>
  <w:abstractNum w:abstractNumId="104">
    <w:nsid w:val="1D545C4D"/>
    <w:multiLevelType w:val="hybridMultilevel"/>
    <w:lvl w:ilvl="0">
      <w:lvlJc w:val="left"/>
      <w:lvlText w:val="(%1)"/>
      <w:numFmt w:val="decimal"/>
      <w:start w:val="1"/>
    </w:lvl>
  </w:abstractNum>
  <w:abstractNum w:abstractNumId="105">
    <w:nsid w:val="59ADEA3D"/>
    <w:multiLevelType w:val="hybridMultilevel"/>
    <w:lvl w:ilvl="0">
      <w:lvlJc w:val="left"/>
      <w:lvlText w:val="(%1)"/>
      <w:numFmt w:val="decimal"/>
      <w:start w:val="2"/>
    </w:lvl>
  </w:abstractNum>
  <w:abstractNum w:abstractNumId="106">
    <w:nsid w:val="288F1A34"/>
    <w:multiLevelType w:val="hybridMultilevel"/>
    <w:lvl w:ilvl="0">
      <w:lvlJc w:val="left"/>
      <w:lvlText w:val="(%1)"/>
      <w:numFmt w:val="decimal"/>
      <w:start w:val="1"/>
    </w:lvl>
    <w:lvl w:ilvl="1">
      <w:lvlJc w:val="left"/>
      <w:lvlText w:val="(%2)"/>
      <w:numFmt w:val="lowerRoman"/>
      <w:start w:val="1"/>
    </w:lvl>
  </w:abstractNum>
  <w:abstractNum w:abstractNumId="107">
    <w:nsid w:val="2A155DBC"/>
    <w:multiLevelType w:val="hybridMultilevel"/>
    <w:lvl w:ilvl="0">
      <w:lvlJc w:val="left"/>
      <w:lvlText w:val="(%1)"/>
      <w:numFmt w:val="lowerRoman"/>
      <w:start w:val="1"/>
    </w:lvl>
  </w:abstractNum>
  <w:abstractNum w:abstractNumId="108">
    <w:nsid w:val="1D9F6E5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2019-12-15T15:59:10Z</dcterms:created>
  <dcterms:modified xsi:type="dcterms:W3CDTF">2019-12-15T15:59:10Z</dcterms:modified>
</cp:coreProperties>
</file>