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266700</wp:posOffset>
            </wp:positionV>
            <wp:extent cx="713613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100"/>
                    </a:xfrm>
                    <a:prstGeom prst="rect">
                      <a:avLst/>
                    </a:prstGeom>
                    <a:noFill/>
                  </pic:spPr>
                </pic:pic>
              </a:graphicData>
            </a:graphic>
          </wp:anchor>
        </w:drawing>
        <w:t>UNITED STATES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1779270</wp:posOffset>
            </wp:positionH>
            <wp:positionV relativeFrom="paragraph">
              <wp:posOffset>66040</wp:posOffset>
            </wp:positionV>
            <wp:extent cx="3583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60"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FORM 8-K</w:t>
      </w:r>
    </w:p>
    <w:p>
      <w:pPr>
        <w:spacing w:after="0" w:line="229"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Pursuant to Section 13 or 15(d) of the</w:t>
      </w:r>
    </w:p>
    <w:p>
      <w:pPr>
        <w:spacing w:after="0" w:line="2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Securities Exchange Act of 1934</w:t>
      </w:r>
    </w:p>
    <w:p>
      <w:pPr>
        <w:spacing w:after="0" w:line="200" w:lineRule="exact"/>
        <w:rPr>
          <w:sz w:val="24"/>
          <w:szCs w:val="24"/>
          <w:color w:val="auto"/>
        </w:rPr>
      </w:pPr>
    </w:p>
    <w:p>
      <w:pPr>
        <w:spacing w:after="0" w:line="250"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Date of Report: May 04, 2011</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(Date of earliest event reported)</w:t>
      </w:r>
    </w:p>
    <w:p>
      <w:pPr>
        <w:spacing w:after="0" w:line="200" w:lineRule="exact"/>
        <w:rPr>
          <w:sz w:val="24"/>
          <w:szCs w:val="24"/>
          <w:color w:val="auto"/>
        </w:rPr>
      </w:pPr>
    </w:p>
    <w:p>
      <w:pPr>
        <w:spacing w:after="0" w:line="223"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50"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3280" w:type="dxa"/>
            <w:vAlign w:val="bottom"/>
          </w:tcPr>
          <w:p>
            <w:pPr>
              <w:jc w:val="center"/>
              <w:ind w:right="670"/>
              <w:spacing w:after="0"/>
              <w:rPr>
                <w:sz w:val="20"/>
                <w:szCs w:val="20"/>
                <w:color w:val="auto"/>
              </w:rPr>
            </w:pPr>
            <w:r>
              <w:rPr>
                <w:rFonts w:ascii="Arial" w:cs="Arial" w:eastAsia="Arial" w:hAnsi="Arial"/>
                <w:sz w:val="18"/>
                <w:szCs w:val="18"/>
                <w:b w:val="1"/>
                <w:bCs w:val="1"/>
                <w:color w:val="auto"/>
                <w:w w:val="96"/>
              </w:rPr>
              <w:t>Maryland</w:t>
            </w:r>
          </w:p>
        </w:tc>
        <w:tc>
          <w:tcPr>
            <w:tcW w:w="280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814-00736</w:t>
            </w:r>
          </w:p>
        </w:tc>
        <w:tc>
          <w:tcPr>
            <w:tcW w:w="2740" w:type="dxa"/>
            <w:vAlign w:val="bottom"/>
          </w:tcPr>
          <w:p>
            <w:pPr>
              <w:jc w:val="right"/>
              <w:ind w:right="330"/>
              <w:spacing w:after="0"/>
              <w:rPr>
                <w:sz w:val="20"/>
                <w:szCs w:val="20"/>
                <w:color w:val="auto"/>
              </w:rPr>
            </w:pPr>
            <w:r>
              <w:rPr>
                <w:rFonts w:ascii="Arial" w:cs="Arial" w:eastAsia="Arial" w:hAnsi="Arial"/>
                <w:sz w:val="18"/>
                <w:szCs w:val="18"/>
                <w:b w:val="1"/>
                <w:bCs w:val="1"/>
                <w:color w:val="auto"/>
              </w:rPr>
              <w:t>20-8250744</w:t>
            </w:r>
          </w:p>
        </w:tc>
      </w:tr>
      <w:tr>
        <w:trPr>
          <w:trHeight w:val="216"/>
        </w:trPr>
        <w:tc>
          <w:tcPr>
            <w:tcW w:w="3280" w:type="dxa"/>
            <w:vAlign w:val="bottom"/>
          </w:tcPr>
          <w:p>
            <w:pPr>
              <w:jc w:val="center"/>
              <w:ind w:right="610"/>
              <w:spacing w:after="0"/>
              <w:rPr>
                <w:sz w:val="20"/>
                <w:szCs w:val="20"/>
                <w:color w:val="auto"/>
              </w:rPr>
            </w:pPr>
            <w:r>
              <w:rPr>
                <w:rFonts w:ascii="Arial" w:cs="Arial" w:eastAsia="Arial" w:hAnsi="Arial"/>
                <w:sz w:val="18"/>
                <w:szCs w:val="18"/>
                <w:color w:val="auto"/>
                <w:w w:val="92"/>
              </w:rPr>
              <w:t>(State or other jurisdiction</w:t>
            </w:r>
          </w:p>
        </w:tc>
        <w:tc>
          <w:tcPr>
            <w:tcW w:w="2800" w:type="dxa"/>
            <w:vAlign w:val="bottom"/>
          </w:tcPr>
          <w:p>
            <w:pPr>
              <w:jc w:val="center"/>
              <w:ind w:right="190"/>
              <w:spacing w:after="0"/>
              <w:rPr>
                <w:sz w:val="20"/>
                <w:szCs w:val="20"/>
                <w:color w:val="auto"/>
              </w:rPr>
            </w:pPr>
            <w:r>
              <w:rPr>
                <w:rFonts w:ascii="Arial" w:cs="Arial" w:eastAsia="Arial" w:hAnsi="Arial"/>
                <w:sz w:val="18"/>
                <w:szCs w:val="18"/>
                <w:color w:val="auto"/>
                <w:w w:val="91"/>
              </w:rPr>
              <w:t>(Commission</w:t>
            </w:r>
          </w:p>
        </w:tc>
        <w:tc>
          <w:tcPr>
            <w:tcW w:w="2740" w:type="dxa"/>
            <w:vAlign w:val="bottom"/>
          </w:tcPr>
          <w:p>
            <w:pPr>
              <w:jc w:val="center"/>
              <w:ind w:left="970"/>
              <w:spacing w:after="0"/>
              <w:rPr>
                <w:sz w:val="20"/>
                <w:szCs w:val="20"/>
                <w:color w:val="auto"/>
              </w:rPr>
            </w:pPr>
            <w:r>
              <w:rPr>
                <w:rFonts w:ascii="Arial" w:cs="Arial" w:eastAsia="Arial" w:hAnsi="Arial"/>
                <w:sz w:val="18"/>
                <w:szCs w:val="18"/>
                <w:color w:val="auto"/>
                <w:w w:val="92"/>
              </w:rPr>
              <w:t>(IRS Employer</w:t>
            </w:r>
          </w:p>
        </w:tc>
      </w:tr>
      <w:tr>
        <w:trPr>
          <w:trHeight w:val="230"/>
        </w:trPr>
        <w:tc>
          <w:tcPr>
            <w:tcW w:w="3280" w:type="dxa"/>
            <w:vAlign w:val="bottom"/>
          </w:tcPr>
          <w:p>
            <w:pPr>
              <w:jc w:val="center"/>
              <w:ind w:right="610"/>
              <w:spacing w:after="0"/>
              <w:rPr>
                <w:sz w:val="20"/>
                <w:szCs w:val="20"/>
                <w:color w:val="auto"/>
              </w:rPr>
            </w:pPr>
            <w:r>
              <w:rPr>
                <w:rFonts w:ascii="Arial" w:cs="Arial" w:eastAsia="Arial" w:hAnsi="Arial"/>
                <w:sz w:val="18"/>
                <w:szCs w:val="18"/>
                <w:color w:val="auto"/>
                <w:w w:val="93"/>
              </w:rPr>
              <w:t>of incorporation)</w:t>
            </w:r>
          </w:p>
        </w:tc>
        <w:tc>
          <w:tcPr>
            <w:tcW w:w="2800" w:type="dxa"/>
            <w:vAlign w:val="bottom"/>
          </w:tcPr>
          <w:p>
            <w:pPr>
              <w:jc w:val="center"/>
              <w:ind w:right="250"/>
              <w:spacing w:after="0"/>
              <w:rPr>
                <w:sz w:val="20"/>
                <w:szCs w:val="20"/>
                <w:color w:val="auto"/>
              </w:rPr>
            </w:pPr>
            <w:r>
              <w:rPr>
                <w:rFonts w:ascii="Arial" w:cs="Arial" w:eastAsia="Arial" w:hAnsi="Arial"/>
                <w:sz w:val="18"/>
                <w:szCs w:val="18"/>
                <w:color w:val="auto"/>
                <w:w w:val="94"/>
              </w:rPr>
              <w:t>File Number)</w:t>
            </w:r>
          </w:p>
        </w:tc>
        <w:tc>
          <w:tcPr>
            <w:tcW w:w="2740" w:type="dxa"/>
            <w:vAlign w:val="bottom"/>
          </w:tcPr>
          <w:p>
            <w:pPr>
              <w:jc w:val="center"/>
              <w:ind w:left="970"/>
              <w:spacing w:after="0"/>
              <w:rPr>
                <w:sz w:val="20"/>
                <w:szCs w:val="20"/>
                <w:color w:val="auto"/>
              </w:rPr>
            </w:pPr>
            <w:r>
              <w:rPr>
                <w:rFonts w:ascii="Arial" w:cs="Arial" w:eastAsia="Arial" w:hAnsi="Arial"/>
                <w:sz w:val="18"/>
                <w:szCs w:val="18"/>
                <w:color w:val="auto"/>
                <w:w w:val="95"/>
              </w:rPr>
              <w:t>Identification Number)</w:t>
            </w:r>
          </w:p>
        </w:tc>
      </w:tr>
      <w:tr>
        <w:trPr>
          <w:trHeight w:val="441"/>
        </w:trPr>
        <w:tc>
          <w:tcPr>
            <w:tcW w:w="328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590 Madison Avenue, 15th Floor,</w:t>
            </w:r>
          </w:p>
        </w:tc>
        <w:tc>
          <w:tcPr>
            <w:tcW w:w="280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20"/>
        </w:trPr>
        <w:tc>
          <w:tcPr>
            <w:tcW w:w="3280" w:type="dxa"/>
            <w:vAlign w:val="bottom"/>
          </w:tcPr>
          <w:p>
            <w:pPr>
              <w:jc w:val="center"/>
              <w:ind w:right="670"/>
              <w:spacing w:after="0"/>
              <w:rPr>
                <w:sz w:val="20"/>
                <w:szCs w:val="20"/>
                <w:color w:val="auto"/>
              </w:rPr>
            </w:pPr>
            <w:r>
              <w:rPr>
                <w:rFonts w:ascii="Arial" w:cs="Arial" w:eastAsia="Arial" w:hAnsi="Arial"/>
                <w:sz w:val="18"/>
                <w:szCs w:val="18"/>
                <w:b w:val="1"/>
                <w:bCs w:val="1"/>
                <w:color w:val="auto"/>
                <w:w w:val="95"/>
              </w:rPr>
              <w:t>New York, NY</w:t>
            </w:r>
          </w:p>
        </w:tc>
        <w:tc>
          <w:tcPr>
            <w:tcW w:w="2800" w:type="dxa"/>
            <w:vAlign w:val="bottom"/>
          </w:tcPr>
          <w:p>
            <w:pPr>
              <w:spacing w:after="0"/>
              <w:rPr>
                <w:sz w:val="19"/>
                <w:szCs w:val="19"/>
                <w:color w:val="auto"/>
              </w:rPr>
            </w:pPr>
          </w:p>
        </w:tc>
        <w:tc>
          <w:tcPr>
            <w:tcW w:w="2740" w:type="dxa"/>
            <w:vAlign w:val="bottom"/>
          </w:tcPr>
          <w:p>
            <w:pPr>
              <w:jc w:val="right"/>
              <w:ind w:right="550"/>
              <w:spacing w:after="0"/>
              <w:rPr>
                <w:sz w:val="20"/>
                <w:szCs w:val="20"/>
                <w:color w:val="auto"/>
              </w:rPr>
            </w:pPr>
            <w:r>
              <w:rPr>
                <w:rFonts w:ascii="Arial" w:cs="Arial" w:eastAsia="Arial" w:hAnsi="Arial"/>
                <w:sz w:val="18"/>
                <w:szCs w:val="18"/>
                <w:b w:val="1"/>
                <w:bCs w:val="1"/>
                <w:color w:val="auto"/>
              </w:rPr>
              <w:t>10022</w:t>
            </w:r>
          </w:p>
        </w:tc>
      </w:tr>
      <w:tr>
        <w:trPr>
          <w:trHeight w:val="216"/>
        </w:trPr>
        <w:tc>
          <w:tcPr>
            <w:tcW w:w="3280" w:type="dxa"/>
            <w:vAlign w:val="bottom"/>
          </w:tcPr>
          <w:p>
            <w:pPr>
              <w:jc w:val="center"/>
              <w:ind w:right="610"/>
              <w:spacing w:after="0"/>
              <w:rPr>
                <w:sz w:val="20"/>
                <w:szCs w:val="20"/>
                <w:color w:val="auto"/>
              </w:rPr>
            </w:pPr>
            <w:r>
              <w:rPr>
                <w:rFonts w:ascii="Arial" w:cs="Arial" w:eastAsia="Arial" w:hAnsi="Arial"/>
                <w:sz w:val="18"/>
                <w:szCs w:val="18"/>
                <w:color w:val="auto"/>
                <w:w w:val="92"/>
              </w:rPr>
              <w:t>(Address of principal executive</w:t>
            </w:r>
          </w:p>
        </w:tc>
        <w:tc>
          <w:tcPr>
            <w:tcW w:w="2800" w:type="dxa"/>
            <w:vAlign w:val="bottom"/>
          </w:tcPr>
          <w:p>
            <w:pPr>
              <w:spacing w:after="0"/>
              <w:rPr>
                <w:sz w:val="18"/>
                <w:szCs w:val="18"/>
                <w:color w:val="auto"/>
              </w:rPr>
            </w:pPr>
          </w:p>
        </w:tc>
        <w:tc>
          <w:tcPr>
            <w:tcW w:w="2740" w:type="dxa"/>
            <w:vAlign w:val="bottom"/>
          </w:tcPr>
          <w:p>
            <w:pPr>
              <w:jc w:val="center"/>
              <w:ind w:left="970"/>
              <w:spacing w:after="0"/>
              <w:rPr>
                <w:sz w:val="20"/>
                <w:szCs w:val="20"/>
                <w:color w:val="auto"/>
              </w:rPr>
            </w:pPr>
            <w:r>
              <w:rPr>
                <w:rFonts w:ascii="Arial" w:cs="Arial" w:eastAsia="Arial" w:hAnsi="Arial"/>
                <w:sz w:val="18"/>
                <w:szCs w:val="18"/>
                <w:color w:val="auto"/>
                <w:w w:val="94"/>
              </w:rPr>
              <w:t>(Zip Code)</w:t>
            </w:r>
          </w:p>
        </w:tc>
      </w:tr>
      <w:tr>
        <w:trPr>
          <w:trHeight w:val="230"/>
        </w:trPr>
        <w:tc>
          <w:tcPr>
            <w:tcW w:w="3280" w:type="dxa"/>
            <w:vAlign w:val="bottom"/>
          </w:tcPr>
          <w:p>
            <w:pPr>
              <w:jc w:val="center"/>
              <w:ind w:right="670"/>
              <w:spacing w:after="0"/>
              <w:rPr>
                <w:sz w:val="20"/>
                <w:szCs w:val="20"/>
                <w:color w:val="auto"/>
              </w:rPr>
            </w:pPr>
            <w:r>
              <w:rPr>
                <w:rFonts w:ascii="Arial" w:cs="Arial" w:eastAsia="Arial" w:hAnsi="Arial"/>
                <w:sz w:val="18"/>
                <w:szCs w:val="18"/>
                <w:color w:val="auto"/>
                <w:w w:val="96"/>
              </w:rPr>
              <w:t>offices)</w:t>
            </w:r>
          </w:p>
        </w:tc>
        <w:tc>
          <w:tcPr>
            <w:tcW w:w="2800" w:type="dxa"/>
            <w:vAlign w:val="bottom"/>
          </w:tcPr>
          <w:p>
            <w:pPr>
              <w:spacing w:after="0"/>
              <w:rPr>
                <w:sz w:val="20"/>
                <w:szCs w:val="20"/>
                <w:color w:val="auto"/>
              </w:rPr>
            </w:pPr>
          </w:p>
        </w:tc>
        <w:tc>
          <w:tcPr>
            <w:tcW w:w="2740" w:type="dxa"/>
            <w:vAlign w:val="bottom"/>
          </w:tcPr>
          <w:p>
            <w:pPr>
              <w:spacing w:after="0"/>
              <w:rPr>
                <w:sz w:val="20"/>
                <w:szCs w:val="20"/>
                <w:color w:val="auto"/>
              </w:rPr>
            </w:pPr>
          </w:p>
        </w:tc>
      </w:tr>
    </w:tbl>
    <w:p>
      <w:pPr>
        <w:spacing w:after="0" w:line="225"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50"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560"/>
          </w:cols>
          <w:pgMar w:left="320" w:top="1026" w:right="10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4, 2011, PennantPark Investment Corporation issued a press release announcing its financial results for the quarter ended March 31, 2011. A copy of the press release is furnished as exhibit 99.1 to this report pursuant to Item 2.02 on Form 8-K and Regulation FD.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41" w:lineRule="exact"/>
        <w:rPr>
          <w:sz w:val="20"/>
          <w:szCs w:val="20"/>
          <w:color w:val="auto"/>
        </w:rPr>
      </w:pPr>
    </w:p>
    <w:p>
      <w:pPr>
        <w:ind w:left="600" w:right="926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360" w:hanging="592"/>
        <w:spacing w:after="0" w:line="250"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40" w:hanging="592"/>
        <w:spacing w:after="0" w:line="250"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of PennantPark Investment Corporation dated May 04,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Dated: May 04, 2011</w:t>
      </w:r>
      <w:r>
        <w:rPr>
          <w:sz w:val="20"/>
          <w:szCs w:val="20"/>
          <w:color w:val="auto"/>
        </w:rPr>
        <w:tab/>
      </w: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By: /s/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-10160</wp:posOffset>
            </wp:positionV>
            <wp:extent cx="11849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4910" cy="8255"/>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2867025</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980" w:type="dxa"/>
            <w:vAlign w:val="bottom"/>
            <w:gridSpan w:val="3"/>
          </w:tcPr>
          <w:p>
            <w:pPr>
              <w:ind w:left="18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14"/>
        </w:trPr>
        <w:tc>
          <w:tcPr>
            <w:tcW w:w="238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93"/>
              </w:rPr>
              <w:t>Exhibit No.</w:t>
            </w:r>
          </w:p>
        </w:tc>
        <w:tc>
          <w:tcPr>
            <w:tcW w:w="472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8"/>
                <w:szCs w:val="18"/>
                <w:b w:val="1"/>
                <w:bCs w:val="1"/>
                <w:color w:val="auto"/>
                <w:w w:val="90"/>
              </w:rPr>
              <w:t>Description</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60" w:type="dxa"/>
            <w:vAlign w:val="bottom"/>
            <w:gridSpan w:val="2"/>
            <w:vMerge w:val="restart"/>
          </w:tcPr>
          <w:p>
            <w:pPr>
              <w:jc w:val="center"/>
              <w:ind w:right="17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7980" w:type="dxa"/>
            <w:vAlign w:val="bottom"/>
            <w:gridSpan w:val="3"/>
          </w:tcPr>
          <w:p>
            <w:pPr>
              <w:jc w:val="center"/>
              <w:ind w:left="2270"/>
              <w:spacing w:after="0"/>
              <w:rPr>
                <w:sz w:val="20"/>
                <w:szCs w:val="20"/>
                <w:color w:val="auto"/>
              </w:rPr>
            </w:pPr>
            <w:r>
              <w:rPr>
                <w:rFonts w:ascii="Arial" w:cs="Arial" w:eastAsia="Arial" w:hAnsi="Arial"/>
                <w:sz w:val="18"/>
                <w:szCs w:val="18"/>
                <w:color w:val="auto"/>
                <w:w w:val="88"/>
              </w:rPr>
              <w:t>Press Release of PennantPark Investment Corporation dated</w:t>
            </w:r>
          </w:p>
        </w:tc>
        <w:tc>
          <w:tcPr>
            <w:tcW w:w="0" w:type="dxa"/>
            <w:vAlign w:val="bottom"/>
          </w:tcPr>
          <w:p>
            <w:pPr>
              <w:spacing w:after="0"/>
              <w:rPr>
                <w:sz w:val="1"/>
                <w:szCs w:val="1"/>
                <w:color w:val="auto"/>
              </w:rPr>
            </w:pPr>
          </w:p>
        </w:tc>
      </w:tr>
      <w:tr>
        <w:trPr>
          <w:trHeight w:val="122"/>
        </w:trPr>
        <w:tc>
          <w:tcPr>
            <w:tcW w:w="3260" w:type="dxa"/>
            <w:vAlign w:val="bottom"/>
            <w:gridSpan w:val="2"/>
            <w:vMerge w:val="continue"/>
          </w:tcPr>
          <w:p>
            <w:pPr>
              <w:spacing w:after="0"/>
              <w:rPr>
                <w:sz w:val="10"/>
                <w:szCs w:val="10"/>
                <w:color w:val="auto"/>
              </w:rPr>
            </w:pPr>
          </w:p>
        </w:tc>
        <w:tc>
          <w:tcPr>
            <w:tcW w:w="7980" w:type="dxa"/>
            <w:vAlign w:val="bottom"/>
            <w:gridSpan w:val="3"/>
            <w:vMerge w:val="restart"/>
          </w:tcPr>
          <w:p>
            <w:pPr>
              <w:jc w:val="center"/>
              <w:ind w:left="2290"/>
              <w:spacing w:after="0"/>
              <w:rPr>
                <w:sz w:val="20"/>
                <w:szCs w:val="20"/>
                <w:color w:val="auto"/>
              </w:rPr>
            </w:pPr>
            <w:r>
              <w:rPr>
                <w:rFonts w:ascii="Arial" w:cs="Arial" w:eastAsia="Arial" w:hAnsi="Arial"/>
                <w:sz w:val="18"/>
                <w:szCs w:val="18"/>
                <w:color w:val="auto"/>
                <w:w w:val="91"/>
              </w:rPr>
              <w:t>May 04, 2011</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9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193"/>
        </w:trPr>
        <w:tc>
          <w:tcPr>
            <w:tcW w:w="2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380" w:type="dxa"/>
            <w:vAlign w:val="bottom"/>
            <w:shd w:val="clear" w:color="auto" w:fill="808080"/>
          </w:tcPr>
          <w:p>
            <w:pPr>
              <w:spacing w:after="0"/>
              <w:rPr>
                <w:sz w:val="6"/>
                <w:szCs w:val="6"/>
                <w:color w:val="auto"/>
              </w:rPr>
            </w:pPr>
          </w:p>
        </w:tc>
        <w:tc>
          <w:tcPr>
            <w:tcW w:w="880" w:type="dxa"/>
            <w:vAlign w:val="bottom"/>
            <w:shd w:val="clear" w:color="auto" w:fill="808080"/>
          </w:tcPr>
          <w:p>
            <w:pPr>
              <w:spacing w:after="0"/>
              <w:rPr>
                <w:sz w:val="6"/>
                <w:szCs w:val="6"/>
                <w:color w:val="auto"/>
              </w:rPr>
            </w:pPr>
          </w:p>
        </w:tc>
        <w:tc>
          <w:tcPr>
            <w:tcW w:w="4720" w:type="dxa"/>
            <w:vAlign w:val="bottom"/>
            <w:shd w:val="clear" w:color="auto" w:fill="808080"/>
          </w:tcPr>
          <w:p>
            <w:pPr>
              <w:spacing w:after="0"/>
              <w:rPr>
                <w:sz w:val="6"/>
                <w:szCs w:val="6"/>
                <w:color w:val="auto"/>
              </w:rPr>
            </w:pPr>
          </w:p>
        </w:tc>
        <w:tc>
          <w:tcPr>
            <w:tcW w:w="900" w:type="dxa"/>
            <w:vAlign w:val="bottom"/>
            <w:shd w:val="clear" w:color="auto" w:fill="808080"/>
          </w:tcPr>
          <w:p>
            <w:pPr>
              <w:spacing w:after="0"/>
              <w:rPr>
                <w:sz w:val="6"/>
                <w:szCs w:val="6"/>
                <w:color w:val="auto"/>
              </w:rPr>
            </w:pPr>
          </w:p>
        </w:tc>
        <w:tc>
          <w:tcPr>
            <w:tcW w:w="236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99"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198120</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84277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427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760"/>
        <w:spacing w:after="0" w:line="271" w:lineRule="auto"/>
        <w:rPr>
          <w:sz w:val="20"/>
          <w:szCs w:val="20"/>
          <w:color w:val="auto"/>
        </w:rPr>
      </w:pPr>
      <w:r>
        <w:rPr>
          <w:rFonts w:ascii="Arial" w:cs="Arial" w:eastAsia="Arial" w:hAnsi="Arial"/>
          <w:sz w:val="27"/>
          <w:szCs w:val="27"/>
          <w:b w:val="1"/>
          <w:bCs w:val="1"/>
          <w:color w:val="auto"/>
        </w:rPr>
        <w:t>PennantPark Investment Corporation Announces Financial Results for the Quarter Ended March 31, 2011</w:t>
      </w:r>
    </w:p>
    <w:p>
      <w:pPr>
        <w:spacing w:after="0" w:line="176"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 xml:space="preserve">NEW YORK, NY--(Marketwire - May 4, 2011) - PennantPark Investment Corporation (NASDAQ: </w:t>
      </w:r>
      <w:r>
        <w:rPr>
          <w:rFonts w:ascii="Arial" w:cs="Arial" w:eastAsia="Arial" w:hAnsi="Arial"/>
          <w:sz w:val="18"/>
          <w:szCs w:val="18"/>
          <w:u w:val="single" w:color="auto"/>
          <w:color w:val="auto"/>
        </w:rPr>
        <w:t>PNNT</w:t>
      </w:r>
      <w:r>
        <w:rPr>
          <w:rFonts w:ascii="Arial" w:cs="Arial" w:eastAsia="Arial" w:hAnsi="Arial"/>
          <w:sz w:val="18"/>
          <w:szCs w:val="18"/>
          <w:color w:val="auto"/>
        </w:rPr>
        <w:t>) or "we," "our," "us" or "Company" today announces financial results for its second fiscal quarter ended March 31, 2011. References to "our SBIC" refer to our wholly owned small business investment company, PennantPark SBIC LP ("SBIC 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HIGHLIGHTS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Quarter Ended March 31,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 millions,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Assets and Liabilities:</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Investment portfolio</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514.0</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(Cost $152.8)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SBA debentures</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59.5</w:t>
            </w: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02"/>
        </w:trPr>
        <w:tc>
          <w:tcPr>
            <w:tcW w:w="4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Yield on debt investments</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13.5%</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32"/>
        </w:trPr>
        <w:tc>
          <w:tcPr>
            <w:tcW w:w="4420" w:type="dxa"/>
            <w:vAlign w:val="bottom"/>
          </w:tcPr>
          <w:p>
            <w:pPr>
              <w:spacing w:after="0"/>
              <w:rPr>
                <w:sz w:val="20"/>
                <w:szCs w:val="20"/>
                <w:color w:val="auto"/>
              </w:rPr>
            </w:pPr>
            <w:r>
              <w:rPr>
                <w:rFonts w:ascii="Arial" w:cs="Arial" w:eastAsia="Arial" w:hAnsi="Arial"/>
                <w:sz w:val="18"/>
                <w:szCs w:val="18"/>
                <w:color w:val="auto"/>
              </w:rPr>
              <w:t>Operating Results:</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 income</w:t>
            </w:r>
          </w:p>
        </w:tc>
        <w:tc>
          <w:tcPr>
            <w:tcW w:w="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Net investment income per share</w:t>
            </w:r>
          </w:p>
        </w:tc>
        <w:tc>
          <w:tcPr>
            <w:tcW w:w="6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declared per share</w:t>
            </w:r>
          </w:p>
        </w:tc>
        <w:tc>
          <w:tcPr>
            <w:tcW w:w="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r>
      <w:tr>
        <w:trPr>
          <w:trHeight w:val="216"/>
        </w:trPr>
        <w:tc>
          <w:tcPr>
            <w:tcW w:w="4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Portfolio Activity:</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Purchases of long term investments</w:t>
            </w:r>
          </w:p>
        </w:tc>
        <w:tc>
          <w:tcPr>
            <w:tcW w:w="6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repayments of long term investments</w:t>
            </w:r>
          </w:p>
        </w:tc>
        <w:tc>
          <w:tcPr>
            <w:tcW w:w="6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r>
      <w:tr>
        <w:trPr>
          <w:trHeight w:val="216"/>
        </w:trPr>
        <w:tc>
          <w:tcPr>
            <w:tcW w:w="4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Number of new portfolio companies invested</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4420" w:type="dxa"/>
            <w:vAlign w:val="bottom"/>
          </w:tcPr>
          <w:p>
            <w:pPr>
              <w:ind w:left="340"/>
              <w:spacing w:after="0"/>
              <w:rPr>
                <w:sz w:val="20"/>
                <w:szCs w:val="20"/>
                <w:color w:val="auto"/>
              </w:rPr>
            </w:pPr>
            <w:r>
              <w:rPr>
                <w:rFonts w:ascii="Arial" w:cs="Arial" w:eastAsia="Arial" w:hAnsi="Arial"/>
                <w:sz w:val="18"/>
                <w:szCs w:val="18"/>
                <w:color w:val="auto"/>
              </w:rPr>
              <w:t>Number of existing portfolio companies invested</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Number of portfolio companies at end of period</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AT 10:00 A.M. ET ON MAY 5, 2011</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 will host a conference call at 10:00 a.m. (Eastern Time) on Thursday, May 5, 2011 to discuss the quarterly financial results. All interested parties are welcome to participate. You can access the conference call by dialing (888) 505-4389 approximately 5-10 minutes prior to the call. International callers should dial (719) 325-2434. All callers should reference PennantPark Investment Corporation. An archived replay of the call will be available through May 19, 2011 by calling (888) 203-1112. International callers please dial (719) 457-0820. For all phone replays, please reference conference ID #9651181.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2011, our portfolio totaled $758.7 million and consisted of $303.7 million of senior secured loans, $141.5 million of second lien secured debt, $249.9 million of subordinated debt and $63.6 million of preferred and common equity investments. This compares to our portfolio as of September 30, 2010, which totaled $664.7 million and consisted of $234.6 million of senior secured loans, $156.7 million of second lien secured debt, $223.9 million of subordinated debt and $49.5 million of preferred and common equity investments.</w:t>
      </w:r>
    </w:p>
    <w:p>
      <w:pPr>
        <w:spacing w:after="0" w:line="21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of March 31, 2011, our overall portfolio consisted of 47 companies with an average investment size of $16.1 million and a weighted average yield on debt investments of 13.5%, and was invested 40% in senior secured loans, 19% in second lien secured debt, 33% in subordinated debt and 8% in preferred and common equity investments. This compares to our portfolio as of September 30, 2010, which consisted of 43 companies with an average investment size of $15.5 million, and a weighted average yield on debt investments of 12.7%, and was invested 35% in senior secured loans, 24% in second lien secured debt, 34% in subordinated debt and 7% in preferred and common equity investments.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2011, we invested $96.6 million in four new and two existing portfolio companies with a weighted average yield on debt investments of 13.6%. Sales and repayments of long-term investments for the three months ended March 31, 2011 totaled $51.6 million. This compares to the three months ended March 31, 2010, in which we invested $68.5 million in three new and four existing portfolio companies with a weighted average yield on debt investments of 13.7%. Sales and repayments of long term investments for the three months ended March 31, 2010 totaled $6.7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400685</wp:posOffset>
            </wp:positionV>
            <wp:extent cx="71361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436" w:right="339" w:bottom="100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results of operations for the three and six months ended March 31, 2011 and 2010.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Investment income for the three and six months ended March 31, 2011 was $22.7 million and $42.7 million, respectively, and was primarily attributable to $8.0 million and $15.1 million from senior secured loans, $2.8 million and $6.0 million from second lien secured debt investments, and $8.6 million and $16.3 million from subordinated debt investments, respectively. This compares to investment income for the three and six months ended March 31, 2010, which was $13.5 million and $27.1 million, respectively, and was primarily attributable to $3.2 million and $6.7 million from senior secured loans, $3.3 million and $6.5 million from second lien secured debt investments and $5.9 million and $11.3 million from subordinated debt investments, respectively. The increase in investment income compared with the same period in the prior year is due to the growth of our portfolio and rotation out of our lower yielding investments.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Expenses for the three and six months ended March 31, 2011, totaled $9.6 million and $18.4 million, respectively. Base management fee for the same respective periods totaled $3.6 million and $7.1 million, performance-based incentive fees totaled $3.3 million and $6.1 million, credit facility and SBA debentures expenses totaled $1.1 million and $2.2 million, general and administrative expenses totaled $1.5 million and $2.8 million, respectively, and excise tax for the six months ended March 31, 2011 totaled $0.2 million. This compares to expenses for the three and six months ended March 31, 2010, which totaled $6.5 million and $12.8 million, respectively. Base management fee for the same respective periods totaled $2.8 million and $5.3 million, performance-based incentive fees totaled $1.8 million and $3.6 million, credit facility expenses totaled $0.8 million and $1.6 million, general and administrative expenses totaled $1.1 million and $2.2 million, respectively, and excise tax for the six months ended March 31, 2010 totaled $0.1 million. The increase in expenses is due to the growth of both the portfolio and net investment income.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Net investment income totaled $13.2 million and $24.3 million, or $0.32 and $0.63 per share, for the three and six months ended March 31, 2011, respectively. For the same respective periods in the prior year, net investment income totaled $7.1 million and $14.3 million, or $0.26 and $0.54 per share.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Sales and repayments of long-term investments for the three and six months ended March 31, 2011 totaled $51.6 million and $137.1 million and realized gains totaled $0.3 million and $2.6 million, respectively, due to sales of lower yielding investments and refinancing of our debt investments. Sales and repayments of long-term investments for the three and six months ended March 31, 2010 totaled $6.7 million and $23.5 million and realized losses totaled $0.1 million and $16.7 million, respectively, due to sales and repayments of our debt investments.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Unrealized Appreciation or Depreciation on Investments and Credit Facility</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three and six months ended March 31, 2011, our investments had a net change in unrealized appreciation of $4.8 million and $23.5 million, respectively. For the three and six months ended March 31, 2010, our investments had a net change in unrealized appreciation of $9.9 million and $33.8 million, respectively. The decrease in the net change in unrealized appreciation compared to the prior year is the result of changes in the leveraged credit markets over the comparable periods. On March 31, 2011 and September 30, 2010, net unrealized appreciation on investments totaled $31.5 million and $8.0 million, respectively.</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and six months ended March 31, 2011, our long-term credit facility had a net change in unrealized appreciation of $4.7 million and $11.3 million, respectively. For the three and six months ended March 31, 2010, our long-term credit facility had a net change in unrealized appreciation of $19.9 million and $25.7 million, respectively. The net change in unrealized appreciation over the prior year is the result of the credit facility approaching maturity and the reduced borrowings outstanding. On March 31, 2011 and September 30, 2010, net unrealized depreciation on our long-term credit facility totaled $2.7 million and $14.0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increase in net assets resulting from operations totaled $13.6 million and $39.1 million, respectively, or $0.33 per share and $1.01 per share, respectively, for the three and six months ended March 31, 2011. This compares to a net (decrease) increase in net assets resulting from operations which totaled $(3.0) million and $5.6 million, respectively, or $(0.11) per share or $0.21 per share, for the three and six months ended March 31, 2010. This increase in net assets from operations is due to the continued growth in net investment income which is a result of growing our portfolio offset by the appreciation in the value of our long-term credit facility as it approaches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556895</wp:posOffset>
            </wp:positionV>
            <wp:extent cx="71361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liquidity and capital resources are derived from our credit facility, Small Business Administration ("SBA") debentures and cash flows from operations, including investment sales and repayments, and income earned. Our primary use of funds from operations includes investments in portfolio companies and other operating expenses we incur. We used, and expect to continue to use, these capital resources as well as proceeds from the rotation of our portfolio, and from public and private offerings of securities to finance our investment objectives.</w:t>
      </w:r>
    </w:p>
    <w:p>
      <w:pPr>
        <w:spacing w:after="0" w:line="21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As of March 31, 2011, we had $152.8 million in outstanding borrowings on our credit facility, with a fair market value of $150.2 million and a weighted average interest rate at that time of 1.31%, exclusive of the fee on the undrawn commitment of 0.20%. Our senior secured revolving credit facility, which matures in June 2012, had $162.2 million of remaining unused borrowing capacity as of March 31, 2011.</w:t>
      </w:r>
    </w:p>
    <w:p>
      <w:pPr>
        <w:spacing w:after="0" w:line="21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of March 31, 2011, we had funded SBIC LP with $50.0 million of equity capital, had SBA debentures outstanding of $59.5 million with a weighted average interest rate of 3.65%, exclusive of 3.43% of upfront fees. The SBA debentures had $40.5 million of remaining unused borrowing capacity subject to customary regulatory requirements as of March 31, 2011. Of the $59.5 million of SBA debentures outstanding, $45.0 million is fixed for 10-years with a rate of 4.45%, inclusive of the SBA annual fee, and $14.5 million is temporary financing currently bearing a weighted average rate of 1.18% that will reset to a market-driven rate in September 2011 and will remain fixed thereafter for 10 years.</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2011, we had approximately $57.6 million of assets bearing a coupon of 9% or lower. We will seek to rotate out of these assets into new, higher yielding investments over time.</w:t>
      </w:r>
    </w:p>
    <w:p>
      <w:pPr>
        <w:spacing w:after="0" w:line="19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On February 11, 2011, we sold 9.2 million shares of our common stock at a price of $12.40 per share resulting in net proceeds of $108.3 million. This compares to selling 5.75 million shares at a price of $10.00 per share resulting in net proceeds of $54.3 million for the same period in the prior year.</w:t>
      </w:r>
    </w:p>
    <w:p>
      <w:pPr>
        <w:spacing w:after="0" w:line="15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six months ended March 31, 2011, we generated operating cash flows primarily from interest earned on debt investments and sales and repayments of investments. Our primary use of funds from operations during the same period consisted of investments in portfolio companies, payments of fees and other operating expenses we incurred. Our operating activities used cash of $54.5 million for the six months ended March 31, 2011, and our financing activities provided cash of $54.2 million for the same period, primarily from net repayments under our credit facility, SBA debentures issued, and our common stock offering.</w:t>
      </w:r>
    </w:p>
    <w:p>
      <w:pPr>
        <w:spacing w:after="0" w:line="2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six months ended March 31, 2010, we generated operating cash flows primarily from interest earned on debt investments, and our primary use of funds from operations during the same period consisted of investments in portfolio companies, payments of fees and other operating expenses we incurred. Our operating activities used cash of $78.8 million for the six months ended March 31, 2010, and our financing activities provided cash of $46.5 million for the same period, primarily from our common stock offering.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and six months ended March 31, 2011, we declared distributions of $0.27 and $0.53 per share, respectively, for total distributions of $12.3 million and $21.7 million, respectively. For the same periods in the prior year, we declared distributions of $0.26 and $0.51 per share, respectively, for total distributions of $8.2 million and $14.7 million, respectively. Tax characteristics of all distributions will be reported to stockholders on Form 1099-DIV after the end of the calendar year.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Company makes available on its website its report on Form 10-Q filed with the Securities Exchange Commission and stockholders may find the report on </w:t>
      </w:r>
      <w:r>
        <w:rPr>
          <w:rFonts w:ascii="Arial" w:cs="Arial" w:eastAsia="Arial" w:hAnsi="Arial"/>
          <w:sz w:val="18"/>
          <w:szCs w:val="18"/>
          <w:u w:val="single" w:color="auto"/>
          <w:color w:val="auto"/>
        </w:rPr>
        <w:t>www.pennantpark.com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543560</wp:posOffset>
            </wp:positionV>
            <wp:extent cx="713613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3"/>
              </w:rPr>
              <w:t>March 31, 2011</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(unaudited)</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September 30, 2010</w:t>
            </w:r>
          </w:p>
        </w:tc>
      </w:tr>
      <w:tr>
        <w:trPr>
          <w:trHeight w:val="202"/>
        </w:trPr>
        <w:tc>
          <w:tcPr>
            <w:tcW w:w="790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79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Non-controlled, non-affiliated investments, at fair value (cost—$698,256,084 and $631,280,755,</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731,730,316</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641,290,626</w:t>
            </w:r>
          </w:p>
        </w:tc>
      </w:tr>
      <w:tr>
        <w:trPr>
          <w:trHeight w:val="202"/>
        </w:trPr>
        <w:tc>
          <w:tcPr>
            <w:tcW w:w="7900" w:type="dxa"/>
            <w:vAlign w:val="bottom"/>
          </w:tcPr>
          <w:p>
            <w:pPr>
              <w:ind w:left="180"/>
              <w:spacing w:after="0" w:line="201" w:lineRule="exact"/>
              <w:rPr>
                <w:sz w:val="20"/>
                <w:szCs w:val="20"/>
                <w:color w:val="auto"/>
              </w:rPr>
            </w:pPr>
            <w:r>
              <w:rPr>
                <w:rFonts w:ascii="Arial" w:cs="Arial" w:eastAsia="Arial" w:hAnsi="Arial"/>
                <w:sz w:val="18"/>
                <w:szCs w:val="18"/>
                <w:color w:val="auto"/>
              </w:rPr>
              <w:t>Non-controlled, affiliated investments, at fair value (cost—$17,875,050 and $17,427,648,</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0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15,919,916</w:t>
            </w:r>
          </w:p>
        </w:tc>
        <w:tc>
          <w:tcPr>
            <w:tcW w:w="3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15,433,680</w:t>
            </w:r>
          </w:p>
        </w:tc>
      </w:tr>
      <w:tr>
        <w:trPr>
          <w:trHeight w:val="223"/>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Controlled, affiliated investments, at fair value (cost—$11,000,100 and $8,000,100, respectively)</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11,000,000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Total of Investments, at fair value (cost—$727,131,234 and $656,708,503, respectively)</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758,650,232</w:t>
            </w: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664,724,406</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1,546,429</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1,814,451</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Interest receivable</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11,576,869</w:t>
            </w: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12,814,096</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investments sold</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30,254,774</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3,139,923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1,886,119</w:t>
            </w:r>
          </w:p>
        </w:tc>
        <w:tc>
          <w:tcPr>
            <w:tcW w:w="100" w:type="dxa"/>
            <w:vAlign w:val="bottom"/>
          </w:tcPr>
          <w:p>
            <w:pPr>
              <w:spacing w:after="0"/>
              <w:rPr>
                <w:sz w:val="19"/>
                <w:szCs w:val="19"/>
                <w:color w:val="auto"/>
              </w:rPr>
            </w:pPr>
          </w:p>
        </w:tc>
      </w:tr>
      <w:tr>
        <w:trPr>
          <w:trHeight w:val="256"/>
        </w:trPr>
        <w:tc>
          <w:tcPr>
            <w:tcW w:w="790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774,913,453</w:t>
            </w:r>
          </w:p>
        </w:tc>
        <w:tc>
          <w:tcPr>
            <w:tcW w:w="38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711,493,846</w:t>
            </w:r>
          </w:p>
        </w:tc>
      </w:tr>
      <w:tr>
        <w:trPr>
          <w:trHeight w:val="210"/>
        </w:trPr>
        <w:tc>
          <w:tcPr>
            <w:tcW w:w="79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12,286,331</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9,401,281</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12,375,000</w:t>
            </w: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52,785,000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18,633,872</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22,203,434</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Credit facility payable (cost—$152,838,800 and $233,100,000, respectively)</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150,183,371</w:t>
            </w: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219,141,125</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59,500,000</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14,500,000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292,514</w:t>
            </w: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215,135</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3,589,342</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3,286,816</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Performance-based incentive fee payable</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3,338,434</w:t>
            </w: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2,239,011</w:t>
            </w:r>
          </w:p>
        </w:tc>
      </w:tr>
      <w:tr>
        <w:trPr>
          <w:trHeight w:val="223"/>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694,751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00" w:type="dxa"/>
            <w:vAlign w:val="bottom"/>
          </w:tcPr>
          <w:p>
            <w:pPr>
              <w:ind w:left="114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260,893,615</w:t>
            </w: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324,918,623</w:t>
            </w:r>
          </w:p>
        </w:tc>
      </w:tr>
      <w:tr>
        <w:trPr>
          <w:trHeight w:val="20"/>
        </w:trPr>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900" w:type="dxa"/>
            <w:vAlign w:val="bottom"/>
          </w:tcPr>
          <w:p>
            <w:pPr>
              <w:spacing w:after="0" w:line="201" w:lineRule="exact"/>
              <w:rPr>
                <w:sz w:val="20"/>
                <w:szCs w:val="20"/>
                <w:color w:val="auto"/>
              </w:rPr>
            </w:pPr>
            <w:r>
              <w:rPr>
                <w:rFonts w:ascii="Arial" w:cs="Arial" w:eastAsia="Arial" w:hAnsi="Arial"/>
                <w:sz w:val="18"/>
                <w:szCs w:val="18"/>
                <w:color w:val="auto"/>
                <w:w w:val="94"/>
              </w:rPr>
              <w:t>Common stock, par value $0.001 per share, 100,000,000 shares authorized, 45,504,932 and 36,158,772</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00" w:type="dxa"/>
            <w:vAlign w:val="bottom"/>
          </w:tcPr>
          <w:p>
            <w:pPr>
              <w:ind w:left="180"/>
              <w:spacing w:after="0"/>
              <w:rPr>
                <w:sz w:val="20"/>
                <w:szCs w:val="20"/>
                <w:color w:val="auto"/>
              </w:rPr>
            </w:pPr>
            <w:r>
              <w:rPr>
                <w:rFonts w:ascii="Arial" w:cs="Arial" w:eastAsia="Arial" w:hAnsi="Arial"/>
                <w:sz w:val="18"/>
                <w:szCs w:val="18"/>
                <w:color w:val="auto"/>
              </w:rPr>
              <w:t>shares issued and outstanding, respectively</w:t>
            </w:r>
          </w:p>
        </w:tc>
        <w:tc>
          <w:tcPr>
            <w:tcW w:w="14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45,505</w:t>
            </w:r>
          </w:p>
        </w:tc>
        <w:tc>
          <w:tcPr>
            <w:tcW w:w="38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36,159</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538,546,978</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428,675,184</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4,584,659</w:t>
            </w: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1,800,646</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(63,331,731)</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(65,911,544)</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1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31,518,998</w:t>
            </w:r>
          </w:p>
        </w:tc>
        <w:tc>
          <w:tcPr>
            <w:tcW w:w="38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8,015,903</w:t>
            </w:r>
          </w:p>
        </w:tc>
      </w:tr>
      <w:tr>
        <w:trPr>
          <w:trHeight w:val="223"/>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2,655,429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13,958,875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00" w:type="dxa"/>
            <w:vAlign w:val="bottom"/>
          </w:tcPr>
          <w:p>
            <w:pPr>
              <w:ind w:left="1140"/>
              <w:spacing w:after="0"/>
              <w:rPr>
                <w:sz w:val="20"/>
                <w:szCs w:val="20"/>
                <w:color w:val="auto"/>
              </w:rPr>
            </w:pPr>
            <w:r>
              <w:rPr>
                <w:rFonts w:ascii="Arial" w:cs="Arial" w:eastAsia="Arial" w:hAnsi="Arial"/>
                <w:sz w:val="18"/>
                <w:szCs w:val="18"/>
                <w:b w:val="1"/>
                <w:bCs w:val="1"/>
                <w:color w:val="auto"/>
              </w:rPr>
              <w:t>Total net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514,019,838</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386,575,223</w:t>
            </w:r>
          </w:p>
        </w:tc>
      </w:tr>
      <w:tr>
        <w:trPr>
          <w:trHeight w:val="20"/>
        </w:trPr>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b w:val="1"/>
                <w:bCs w:val="1"/>
                <w:color w:val="auto"/>
              </w:rPr>
              <w:t>Total liabilities and net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774,913,453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711,493,846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b w:val="1"/>
                <w:bCs w:val="1"/>
                <w:color w:val="auto"/>
              </w:rPr>
              <w:t>Net asset value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11.30</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10.69</w:t>
            </w:r>
          </w:p>
        </w:tc>
      </w:tr>
      <w:tr>
        <w:trPr>
          <w:trHeight w:val="20"/>
        </w:trPr>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495"/>
        </w:trPr>
        <w:tc>
          <w:tcPr>
            <w:tcW w:w="790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-1270000</wp:posOffset>
            </wp:positionV>
            <wp:extent cx="713232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62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1"/>
        </w:trPr>
        <w:tc>
          <w:tcPr>
            <w:tcW w:w="5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5"/>
              </w:rPr>
              <w:t>Three Months Ended March 31,</w:t>
            </w:r>
          </w:p>
        </w:tc>
        <w:tc>
          <w:tcPr>
            <w:tcW w:w="120" w:type="dxa"/>
            <w:vAlign w:val="bottom"/>
          </w:tcPr>
          <w:p>
            <w:pPr>
              <w:spacing w:after="0"/>
              <w:rPr>
                <w:sz w:val="24"/>
                <w:szCs w:val="24"/>
                <w:color w:val="auto"/>
              </w:rPr>
            </w:pPr>
          </w:p>
        </w:tc>
        <w:tc>
          <w:tcPr>
            <w:tcW w:w="30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Six Months Ended March 31,</w:t>
            </w:r>
          </w:p>
        </w:tc>
      </w:tr>
      <w:tr>
        <w:trPr>
          <w:trHeight w:val="223"/>
        </w:trPr>
        <w:tc>
          <w:tcPr>
            <w:tcW w:w="5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r>
      <w:tr>
        <w:trPr>
          <w:trHeight w:val="202"/>
        </w:trPr>
        <w:tc>
          <w:tcPr>
            <w:tcW w:w="5000" w:type="dxa"/>
            <w:vAlign w:val="bottom"/>
          </w:tcPr>
          <w:p>
            <w:pPr>
              <w:spacing w:after="0" w:line="201" w:lineRule="exact"/>
              <w:rPr>
                <w:sz w:val="20"/>
                <w:szCs w:val="20"/>
                <w:color w:val="auto"/>
              </w:rPr>
            </w:pPr>
            <w:r>
              <w:rPr>
                <w:rFonts w:ascii="Arial" w:cs="Arial" w:eastAsia="Arial" w:hAnsi="Arial"/>
                <w:sz w:val="18"/>
                <w:szCs w:val="18"/>
                <w:b w:val="1"/>
                <w:bCs w:val="1"/>
                <w:color w:val="auto"/>
              </w:rPr>
              <w:t>Investment income: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5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20,836,197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12,783,931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39,395,362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25,735,164</w:t>
            </w:r>
          </w:p>
        </w:tc>
      </w:tr>
      <w:tr>
        <w:trPr>
          <w:trHeight w:val="216"/>
        </w:trPr>
        <w:tc>
          <w:tcPr>
            <w:tcW w:w="5000" w:type="dxa"/>
            <w:vAlign w:val="bottom"/>
          </w:tcPr>
          <w:p>
            <w:pPr>
              <w:ind w:left="5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1,233,863</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412,482</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2,080,447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732,085</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ind w:left="50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381,222</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328,580</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744,654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656,229</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ind w:left="500"/>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260,167</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470,167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3"/>
        </w:trPr>
        <w:tc>
          <w:tcPr>
            <w:tcW w:w="50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investment income</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22,711,449</w:t>
            </w:r>
          </w:p>
        </w:tc>
        <w:tc>
          <w:tcPr>
            <w:tcW w:w="120" w:type="dxa"/>
            <w:vAlign w:val="bottom"/>
            <w:shd w:val="clear" w:color="auto" w:fill="CCEEFF"/>
          </w:tcPr>
          <w:p>
            <w:pPr>
              <w:spacing w:after="0"/>
              <w:rPr>
                <w:sz w:val="19"/>
                <w:szCs w:val="19"/>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13,524,993</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42,690,630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27,123,478</w:t>
            </w:r>
          </w:p>
        </w:tc>
      </w:tr>
      <w:tr>
        <w:trPr>
          <w:trHeight w:val="216"/>
        </w:trPr>
        <w:tc>
          <w:tcPr>
            <w:tcW w:w="5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ind w:left="500"/>
              <w:spacing w:after="0"/>
              <w:rPr>
                <w:sz w:val="20"/>
                <w:szCs w:val="20"/>
                <w:color w:val="auto"/>
              </w:rPr>
            </w:pPr>
            <w:r>
              <w:rPr>
                <w:rFonts w:ascii="Arial" w:cs="Arial" w:eastAsia="Arial" w:hAnsi="Arial"/>
                <w:sz w:val="18"/>
                <w:szCs w:val="18"/>
                <w:color w:val="auto"/>
              </w:rPr>
              <w:t>Base management fee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3,589,342</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2,772,132</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7,087,936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5,296,785</w:t>
            </w:r>
          </w:p>
        </w:tc>
      </w:tr>
      <w:tr>
        <w:trPr>
          <w:trHeight w:val="216"/>
        </w:trPr>
        <w:tc>
          <w:tcPr>
            <w:tcW w:w="5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Performance-based incentive fee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3,338,434</w:t>
            </w: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1,764,607</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6,131,428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3,573,987</w:t>
            </w:r>
          </w:p>
        </w:tc>
      </w:tr>
      <w:tr>
        <w:trPr>
          <w:trHeight w:val="202"/>
        </w:trPr>
        <w:tc>
          <w:tcPr>
            <w:tcW w:w="5000" w:type="dxa"/>
            <w:vAlign w:val="bottom"/>
          </w:tcPr>
          <w:p>
            <w:pPr>
              <w:ind w:left="500"/>
              <w:spacing w:after="0" w:line="201" w:lineRule="exact"/>
              <w:rPr>
                <w:sz w:val="20"/>
                <w:szCs w:val="20"/>
                <w:color w:val="auto"/>
              </w:rPr>
            </w:pPr>
            <w:r>
              <w:rPr>
                <w:rFonts w:ascii="Arial" w:cs="Arial" w:eastAsia="Arial" w:hAnsi="Arial"/>
                <w:sz w:val="18"/>
                <w:szCs w:val="18"/>
                <w:color w:val="auto"/>
              </w:rPr>
              <w:t>Interest and expenses on the credit facility and SBA</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000" w:type="dxa"/>
            <w:vAlign w:val="bottom"/>
          </w:tcPr>
          <w:p>
            <w:pPr>
              <w:ind w:left="660"/>
              <w:spacing w:after="0"/>
              <w:rPr>
                <w:sz w:val="20"/>
                <w:szCs w:val="20"/>
                <w:color w:val="auto"/>
              </w:rPr>
            </w:pPr>
            <w:r>
              <w:rPr>
                <w:rFonts w:ascii="Arial" w:cs="Arial" w:eastAsia="Arial" w:hAnsi="Arial"/>
                <w:sz w:val="18"/>
                <w:szCs w:val="18"/>
                <w:color w:val="auto"/>
              </w:rPr>
              <w:t>debentures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1,086,523</w:t>
            </w: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838,275</w:t>
            </w:r>
          </w:p>
        </w:tc>
        <w:tc>
          <w:tcPr>
            <w:tcW w:w="12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2,221,950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1,656,958</w:t>
            </w:r>
          </w:p>
        </w:tc>
      </w:tr>
      <w:tr>
        <w:trPr>
          <w:trHeight w:val="216"/>
        </w:trPr>
        <w:tc>
          <w:tcPr>
            <w:tcW w:w="5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Administrative services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650,662</w:t>
            </w: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539,619</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1,229,717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1,097,123</w:t>
            </w:r>
          </w:p>
        </w:tc>
      </w:tr>
      <w:tr>
        <w:trPr>
          <w:trHeight w:val="216"/>
        </w:trPr>
        <w:tc>
          <w:tcPr>
            <w:tcW w:w="5000" w:type="dxa"/>
            <w:vAlign w:val="bottom"/>
          </w:tcPr>
          <w:p>
            <w:pPr>
              <w:ind w:left="500"/>
              <w:spacing w:after="0"/>
              <w:rPr>
                <w:sz w:val="20"/>
                <w:szCs w:val="20"/>
                <w:color w:val="auto"/>
              </w:rPr>
            </w:pPr>
            <w:r>
              <w:rPr>
                <w:rFonts w:ascii="Arial" w:cs="Arial" w:eastAsia="Arial" w:hAnsi="Arial"/>
                <w:sz w:val="18"/>
                <w:szCs w:val="18"/>
                <w:color w:val="auto"/>
              </w:rPr>
              <w:t>Other general and administrative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847,668</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560,974</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1,531,027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1,104,389</w:t>
            </w: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Expenses before taxes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9,512,629</w:t>
            </w: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6,475,607</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18,202,058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12,729,242</w:t>
            </w:r>
          </w:p>
        </w:tc>
      </w:tr>
      <w:tr>
        <w:trPr>
          <w:trHeight w:val="216"/>
        </w:trPr>
        <w:tc>
          <w:tcPr>
            <w:tcW w:w="5000" w:type="dxa"/>
            <w:vAlign w:val="bottom"/>
          </w:tcPr>
          <w:p>
            <w:pPr>
              <w:ind w:left="500"/>
              <w:spacing w:after="0"/>
              <w:rPr>
                <w:sz w:val="20"/>
                <w:szCs w:val="20"/>
                <w:color w:val="auto"/>
              </w:rPr>
            </w:pPr>
            <w:r>
              <w:rPr>
                <w:rFonts w:ascii="Arial" w:cs="Arial" w:eastAsia="Arial" w:hAnsi="Arial"/>
                <w:sz w:val="18"/>
                <w:szCs w:val="18"/>
                <w:color w:val="auto"/>
              </w:rPr>
              <w:t>Excise tax</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39,857</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(9,072)</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158,824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97,890</w:t>
            </w:r>
          </w:p>
        </w:tc>
        <w:tc>
          <w:tcPr>
            <w:tcW w:w="120" w:type="dxa"/>
            <w:vAlign w:val="bottom"/>
          </w:tcPr>
          <w:p>
            <w:pPr>
              <w:spacing w:after="0"/>
              <w:rPr>
                <w:sz w:val="18"/>
                <w:szCs w:val="18"/>
                <w:color w:val="auto"/>
              </w:rPr>
            </w:pP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9,552,486</w:t>
            </w: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6,466,535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18,360,882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12,827,132</w:t>
            </w:r>
          </w:p>
        </w:tc>
      </w:tr>
      <w:tr>
        <w:trPr>
          <w:trHeight w:val="27"/>
        </w:trPr>
        <w:tc>
          <w:tcPr>
            <w:tcW w:w="5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23"/>
        </w:trPr>
        <w:tc>
          <w:tcPr>
            <w:tcW w:w="5000" w:type="dxa"/>
            <w:vAlign w:val="bottom"/>
          </w:tcPr>
          <w:p>
            <w:pPr>
              <w:ind w:left="540"/>
              <w:spacing w:after="0"/>
              <w:rPr>
                <w:sz w:val="20"/>
                <w:szCs w:val="20"/>
                <w:color w:val="auto"/>
              </w:rPr>
            </w:pPr>
            <w:r>
              <w:rPr>
                <w:rFonts w:ascii="Arial" w:cs="Arial" w:eastAsia="Arial" w:hAnsi="Arial"/>
                <w:sz w:val="18"/>
                <w:szCs w:val="18"/>
                <w:b w:val="1"/>
                <w:bCs w:val="1"/>
                <w:color w:val="auto"/>
              </w:rPr>
              <w:t>Net investment income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13,158,963</w:t>
            </w:r>
          </w:p>
        </w:tc>
        <w:tc>
          <w:tcPr>
            <w:tcW w:w="12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7,058,458</w:t>
            </w:r>
          </w:p>
        </w:tc>
        <w:tc>
          <w:tcPr>
            <w:tcW w:w="12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24,329,748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14,296,346</w:t>
            </w:r>
          </w:p>
        </w:tc>
      </w:tr>
      <w:tr>
        <w:trPr>
          <w:trHeight w:val="216"/>
        </w:trPr>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5000" w:type="dxa"/>
            <w:vAlign w:val="bottom"/>
          </w:tcPr>
          <w:p>
            <w:pPr>
              <w:spacing w:after="0" w:line="198" w:lineRule="exact"/>
              <w:rPr>
                <w:sz w:val="20"/>
                <w:szCs w:val="20"/>
                <w:color w:val="auto"/>
              </w:rPr>
            </w:pPr>
            <w:r>
              <w:rPr>
                <w:rFonts w:ascii="Arial" w:cs="Arial" w:eastAsia="Arial" w:hAnsi="Arial"/>
                <w:sz w:val="18"/>
                <w:szCs w:val="18"/>
                <w:b w:val="1"/>
                <w:bCs w:val="1"/>
                <w:color w:val="auto"/>
                <w:w w:val="94"/>
              </w:rPr>
              <w:t>Realized and unrealized gain (loss) on investments and credit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000" w:type="dxa"/>
            <w:vAlign w:val="bottom"/>
          </w:tcPr>
          <w:p>
            <w:pPr>
              <w:ind w:left="180"/>
              <w:spacing w:after="0"/>
              <w:rPr>
                <w:sz w:val="20"/>
                <w:szCs w:val="20"/>
                <w:color w:val="auto"/>
              </w:rPr>
            </w:pPr>
            <w:r>
              <w:rPr>
                <w:rFonts w:ascii="Arial" w:cs="Arial" w:eastAsia="Arial" w:hAnsi="Arial"/>
                <w:sz w:val="18"/>
                <w:szCs w:val="18"/>
                <w:b w:val="1"/>
                <w:bCs w:val="1"/>
                <w:color w:val="auto"/>
              </w:rPr>
              <w:t>facility: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1"/>
              </w:rPr>
              <w:t>Net realized gain (loss) on non-controlled, non-affiliated investments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286,452</w:t>
            </w: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(140,986)</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2,579,813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(16,744,851)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Non-controlled, non-affiliated investments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4,711,487</w:t>
            </w: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9,895,674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23,464,360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33,989,336</w:t>
            </w:r>
          </w:p>
        </w:tc>
      </w:tr>
      <w:tr>
        <w:trPr>
          <w:trHeight w:val="216"/>
        </w:trPr>
        <w:tc>
          <w:tcPr>
            <w:tcW w:w="5000" w:type="dxa"/>
            <w:vAlign w:val="bottom"/>
          </w:tcPr>
          <w:p>
            <w:pPr>
              <w:ind w:left="500"/>
              <w:spacing w:after="0"/>
              <w:rPr>
                <w:sz w:val="20"/>
                <w:szCs w:val="20"/>
                <w:color w:val="auto"/>
              </w:rPr>
            </w:pPr>
            <w:r>
              <w:rPr>
                <w:rFonts w:ascii="Arial" w:cs="Arial" w:eastAsia="Arial" w:hAnsi="Arial"/>
                <w:sz w:val="18"/>
                <w:szCs w:val="18"/>
                <w:color w:val="auto"/>
              </w:rPr>
              <w:t>Non-controlled, affiliated investments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129,006</w:t>
            </w:r>
          </w:p>
        </w:tc>
        <w:tc>
          <w:tcPr>
            <w:tcW w:w="1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8,425</w:t>
            </w:r>
          </w:p>
        </w:tc>
        <w:tc>
          <w:tcPr>
            <w:tcW w:w="1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38,835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(204,099)</w:t>
            </w:r>
          </w:p>
        </w:tc>
      </w:tr>
      <w:tr>
        <w:trPr>
          <w:trHeight w:val="216"/>
        </w:trPr>
        <w:tc>
          <w:tcPr>
            <w:tcW w:w="50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Controlled, affiliated investments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ind w:left="540"/>
              <w:spacing w:after="0"/>
              <w:rPr>
                <w:sz w:val="20"/>
                <w:szCs w:val="20"/>
                <w:color w:val="auto"/>
              </w:rPr>
            </w:pPr>
            <w:r>
              <w:rPr>
                <w:rFonts w:ascii="Arial" w:cs="Arial" w:eastAsia="Arial" w:hAnsi="Arial"/>
                <w:sz w:val="18"/>
                <w:szCs w:val="18"/>
                <w:color w:val="auto"/>
              </w:rPr>
              <w:t>Credit facility unrealized (appreciation)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(4,698,821)</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(19,852,714)</w:t>
            </w:r>
          </w:p>
        </w:tc>
        <w:tc>
          <w:tcPr>
            <w:tcW w:w="12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(11,303,446)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(25,691,628)</w:t>
            </w:r>
          </w:p>
        </w:tc>
      </w:tr>
      <w:tr>
        <w:trPr>
          <w:trHeight w:val="27"/>
        </w:trPr>
        <w:tc>
          <w:tcPr>
            <w:tcW w:w="5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3"/>
        </w:trPr>
        <w:tc>
          <w:tcPr>
            <w:tcW w:w="50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w w:val="99"/>
              </w:rPr>
              <w:t>Net change in unrealized appreciation (depreciation)</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141,572</w:t>
            </w:r>
          </w:p>
        </w:tc>
        <w:tc>
          <w:tcPr>
            <w:tcW w:w="120" w:type="dxa"/>
            <w:vAlign w:val="bottom"/>
            <w:shd w:val="clear" w:color="auto" w:fill="CCEEFF"/>
          </w:tcPr>
          <w:p>
            <w:pPr>
              <w:spacing w:after="0"/>
              <w:rPr>
                <w:sz w:val="19"/>
                <w:szCs w:val="19"/>
                <w:color w:val="auto"/>
              </w:rPr>
            </w:pPr>
          </w:p>
        </w:tc>
        <w:tc>
          <w:tcPr>
            <w:tcW w:w="1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(9,948,615)</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12,199,649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8,093,609</w:t>
            </w:r>
          </w:p>
        </w:tc>
      </w:tr>
      <w:tr>
        <w:trPr>
          <w:trHeight w:val="216"/>
        </w:trPr>
        <w:tc>
          <w:tcPr>
            <w:tcW w:w="5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realized and unrealized gain (loss) from investments and credit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7"/>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facility</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428,024</w:t>
            </w:r>
          </w:p>
        </w:tc>
        <w:tc>
          <w:tcPr>
            <w:tcW w:w="120" w:type="dxa"/>
            <w:vAlign w:val="bottom"/>
            <w:shd w:val="clear" w:color="auto" w:fill="CCEEFF"/>
          </w:tcPr>
          <w:p>
            <w:pPr>
              <w:spacing w:after="0"/>
              <w:rPr>
                <w:sz w:val="20"/>
                <w:szCs w:val="20"/>
                <w:color w:val="auto"/>
              </w:rPr>
            </w:pPr>
          </w:p>
        </w:tc>
        <w:tc>
          <w:tcPr>
            <w:tcW w:w="1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(10,089,601)</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14,779,462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(8,651,242)</w:t>
            </w:r>
          </w:p>
        </w:tc>
      </w:tr>
      <w:tr>
        <w:trPr>
          <w:trHeight w:val="216"/>
        </w:trPr>
        <w:tc>
          <w:tcPr>
            <w:tcW w:w="5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57"/>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Net increase (decrease) in net assets resulting from operations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13,586,987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(3,031,143)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39,109,210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5,645,104</w:t>
            </w:r>
          </w:p>
        </w:tc>
      </w:tr>
      <w:tr>
        <w:trPr>
          <w:trHeight w:val="209"/>
        </w:trPr>
        <w:tc>
          <w:tcPr>
            <w:tcW w:w="5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02"/>
        </w:trPr>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Net increase (decrease) in net assets resulting from operations per</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share</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0.21</w:t>
            </w: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Net investment income per common share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0.54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ABOUT PENNANTPARK INVESTMENT CORPORATION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PennantPark Investment Corporation is a business development company which principally invests in U.S. middle-market private companies in the form of senior secured loans, mezzanine debt and equity investments. From time to time, we may also invest in public companies whose securities are thinly traded. PennantPark Investment Corporation is managed by PennantPark Investment Advisers, LLC.</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8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Reception: (212) 905-1000</w:t>
      </w:r>
    </w:p>
    <w:p>
      <w:pPr>
        <w:sectPr>
          <w:pgSz w:w="11900" w:h="16838" w:orient="portrait"/>
          <w:cols w:equalWidth="0" w:num="1">
            <w:col w:w="11240"/>
          </w:cols>
          <w:pgMar w:left="320" w:top="513" w:right="339" w:bottom="0" w:gutter="0" w:footer="0" w:header="0"/>
        </w:sectPr>
      </w:pPr>
    </w:p>
    <w:bookmarkStart w:id="9" w:name="page10"/>
    <w:bookmarkEnd w:id="9"/>
    <w:p>
      <w:pPr>
        <w:spacing w:after="0"/>
        <w:rPr>
          <w:sz w:val="20"/>
          <w:szCs w:val="20"/>
          <w:color w:val="auto"/>
        </w:rPr>
      </w:pPr>
      <w:r>
        <w:rPr>
          <w:rFonts w:ascii="Arial" w:cs="Arial" w:eastAsia="Arial" w:hAnsi="Arial"/>
          <w:sz w:val="16"/>
          <w:szCs w:val="16"/>
          <w:u w:val="single" w:color="auto"/>
          <w:color w:val="auto"/>
        </w:rPr>
        <w:t>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136130" cy="450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sectPr>
      <w:pgSz w:w="11900" w:h="16838" w:orient="portrait"/>
      <w:cols w:equalWidth="0" w:num="1">
        <w:col w:w="10139"/>
      </w:cols>
      <w:pgMar w:left="32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2020-05-05T15:06:54Z</dcterms:created>
  <dcterms:modified xsi:type="dcterms:W3CDTF">2020-05-05T15:06:54Z</dcterms:modified>
</cp:coreProperties>
</file>