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89"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2"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DECEMBER 31, 2016</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23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0" w:lineRule="exact"/>
        <w:rPr>
          <w:sz w:val="24"/>
          <w:szCs w:val="24"/>
          <w:color w:val="auto"/>
        </w:rPr>
      </w:pPr>
    </w:p>
    <w:p>
      <w:pPr>
        <w:spacing w:after="0" w:line="237" w:lineRule="exact"/>
        <w:rPr>
          <w:sz w:val="24"/>
          <w:szCs w:val="24"/>
          <w:color w:val="auto"/>
        </w:rPr>
      </w:pPr>
    </w:p>
    <w:p>
      <w:pPr>
        <w:ind w:left="3680"/>
        <w:spacing w:after="0"/>
        <w:tabs>
          <w:tab w:leader="none" w:pos="68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4076700</wp:posOffset>
            </wp:positionH>
            <wp:positionV relativeFrom="paragraph">
              <wp:posOffset>-1270</wp:posOffset>
            </wp:positionV>
            <wp:extent cx="274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814-00736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PENNANTPARK INVESTMENT CORPORATION</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193675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340" w:type="dxa"/>
        <w:tblCellMar>
          <w:top w:w="0" w:type="dxa"/>
          <w:left w:w="0" w:type="dxa"/>
          <w:bottom w:w="0" w:type="dxa"/>
          <w:right w:w="0" w:type="dxa"/>
        </w:tblCellMar>
      </w:tblPr>
      <w:tr>
        <w:trPr>
          <w:trHeight w:val="186"/>
        </w:trPr>
        <w:tc>
          <w:tcPr>
            <w:tcW w:w="5980" w:type="dxa"/>
            <w:vAlign w:val="bottom"/>
          </w:tcPr>
          <w:p>
            <w:pPr>
              <w:jc w:val="center"/>
              <w:ind w:right="2914"/>
              <w:spacing w:after="0"/>
              <w:rPr>
                <w:sz w:val="20"/>
                <w:szCs w:val="20"/>
                <w:color w:val="auto"/>
              </w:rPr>
            </w:pPr>
            <w:r>
              <w:rPr>
                <w:rFonts w:ascii="Arial" w:cs="Arial" w:eastAsia="Arial" w:hAnsi="Arial"/>
                <w:sz w:val="14"/>
                <w:szCs w:val="14"/>
                <w:b w:val="1"/>
                <w:bCs w:val="1"/>
                <w:color w:val="auto"/>
              </w:rPr>
              <w:t>MARYLAND</w:t>
            </w:r>
          </w:p>
        </w:tc>
        <w:tc>
          <w:tcPr>
            <w:tcW w:w="2080" w:type="dxa"/>
            <w:vAlign w:val="bottom"/>
          </w:tcPr>
          <w:p>
            <w:pPr>
              <w:jc w:val="right"/>
              <w:ind w:right="475"/>
              <w:spacing w:after="0"/>
              <w:rPr>
                <w:sz w:val="20"/>
                <w:szCs w:val="20"/>
                <w:color w:val="auto"/>
              </w:rPr>
            </w:pPr>
            <w:r>
              <w:rPr>
                <w:rFonts w:ascii="Arial" w:cs="Arial" w:eastAsia="Arial" w:hAnsi="Arial"/>
                <w:sz w:val="14"/>
                <w:szCs w:val="14"/>
                <w:b w:val="1"/>
                <w:bCs w:val="1"/>
                <w:color w:val="auto"/>
              </w:rPr>
              <w:t>20-8250744</w:t>
            </w:r>
          </w:p>
        </w:tc>
      </w:tr>
      <w:tr>
        <w:trPr>
          <w:trHeight w:val="154"/>
        </w:trPr>
        <w:tc>
          <w:tcPr>
            <w:tcW w:w="5980" w:type="dxa"/>
            <w:vAlign w:val="bottom"/>
          </w:tcPr>
          <w:p>
            <w:pPr>
              <w:jc w:val="center"/>
              <w:ind w:right="2894"/>
              <w:spacing w:after="0"/>
              <w:rPr>
                <w:sz w:val="20"/>
                <w:szCs w:val="20"/>
                <w:color w:val="auto"/>
              </w:rPr>
            </w:pPr>
            <w:r>
              <w:rPr>
                <w:rFonts w:ascii="Arial" w:cs="Arial" w:eastAsia="Arial" w:hAnsi="Arial"/>
                <w:sz w:val="12"/>
                <w:szCs w:val="12"/>
                <w:b w:val="1"/>
                <w:bCs w:val="1"/>
                <w:color w:val="auto"/>
                <w:w w:val="88"/>
              </w:rPr>
              <w:t>(State or other jurisdiction of incorporation or organization)</w:t>
            </w:r>
          </w:p>
        </w:tc>
        <w:tc>
          <w:tcPr>
            <w:tcW w:w="2080" w:type="dxa"/>
            <w:vAlign w:val="bottom"/>
          </w:tcPr>
          <w:p>
            <w:pPr>
              <w:jc w:val="center"/>
              <w:ind w:left="235"/>
              <w:spacing w:after="0"/>
              <w:rPr>
                <w:sz w:val="20"/>
                <w:szCs w:val="20"/>
                <w:color w:val="auto"/>
              </w:rPr>
            </w:pPr>
            <w:r>
              <w:rPr>
                <w:rFonts w:ascii="Arial" w:cs="Arial" w:eastAsia="Arial" w:hAnsi="Arial"/>
                <w:sz w:val="12"/>
                <w:szCs w:val="12"/>
                <w:b w:val="1"/>
                <w:bCs w:val="1"/>
                <w:color w:val="auto"/>
                <w:w w:val="90"/>
              </w:rPr>
              <w:t>(I.R.S. Employer Identification No.)</w:t>
            </w:r>
          </w:p>
        </w:tc>
      </w:tr>
      <w:tr>
        <w:trPr>
          <w:trHeight w:val="456"/>
        </w:trPr>
        <w:tc>
          <w:tcPr>
            <w:tcW w:w="5980" w:type="dxa"/>
            <w:vAlign w:val="bottom"/>
          </w:tcPr>
          <w:p>
            <w:pPr>
              <w:jc w:val="center"/>
              <w:ind w:right="2914"/>
              <w:spacing w:after="0"/>
              <w:rPr>
                <w:sz w:val="20"/>
                <w:szCs w:val="20"/>
                <w:color w:val="auto"/>
              </w:rPr>
            </w:pPr>
            <w:r>
              <w:rPr>
                <w:rFonts w:ascii="Arial" w:cs="Arial" w:eastAsia="Arial" w:hAnsi="Arial"/>
                <w:sz w:val="14"/>
                <w:szCs w:val="14"/>
                <w:b w:val="1"/>
                <w:bCs w:val="1"/>
                <w:color w:val="auto"/>
                <w:w w:val="92"/>
              </w:rPr>
              <w:t>590 Madison Avenue, 15</w:t>
            </w:r>
            <w:r>
              <w:rPr>
                <w:rFonts w:ascii="Arial" w:cs="Arial" w:eastAsia="Arial" w:hAnsi="Arial"/>
                <w:sz w:val="12"/>
                <w:szCs w:val="12"/>
                <w:b w:val="1"/>
                <w:bCs w:val="1"/>
                <w:color w:val="auto"/>
                <w:w w:val="92"/>
              </w:rPr>
              <w:t>th</w:t>
            </w:r>
            <w:r>
              <w:rPr>
                <w:rFonts w:ascii="Arial" w:cs="Arial" w:eastAsia="Arial" w:hAnsi="Arial"/>
                <w:sz w:val="14"/>
                <w:szCs w:val="14"/>
                <w:b w:val="1"/>
                <w:bCs w:val="1"/>
                <w:color w:val="auto"/>
                <w:w w:val="92"/>
              </w:rPr>
              <w:t xml:space="preserve"> Floor</w:t>
            </w:r>
          </w:p>
        </w:tc>
        <w:tc>
          <w:tcPr>
            <w:tcW w:w="2080" w:type="dxa"/>
            <w:vAlign w:val="bottom"/>
          </w:tcPr>
          <w:p>
            <w:pPr>
              <w:spacing w:after="0"/>
              <w:rPr>
                <w:sz w:val="24"/>
                <w:szCs w:val="24"/>
                <w:color w:val="auto"/>
              </w:rPr>
            </w:pPr>
          </w:p>
        </w:tc>
      </w:tr>
      <w:tr>
        <w:trPr>
          <w:trHeight w:val="177"/>
        </w:trPr>
        <w:tc>
          <w:tcPr>
            <w:tcW w:w="5980" w:type="dxa"/>
            <w:vAlign w:val="bottom"/>
          </w:tcPr>
          <w:p>
            <w:pPr>
              <w:jc w:val="center"/>
              <w:ind w:right="2914"/>
              <w:spacing w:after="0"/>
              <w:rPr>
                <w:sz w:val="20"/>
                <w:szCs w:val="20"/>
                <w:color w:val="auto"/>
              </w:rPr>
            </w:pPr>
            <w:r>
              <w:rPr>
                <w:rFonts w:ascii="Arial" w:cs="Arial" w:eastAsia="Arial" w:hAnsi="Arial"/>
                <w:sz w:val="14"/>
                <w:szCs w:val="14"/>
                <w:b w:val="1"/>
                <w:bCs w:val="1"/>
                <w:color w:val="auto"/>
                <w:w w:val="97"/>
              </w:rPr>
              <w:t>New York, N.Y.</w:t>
            </w:r>
          </w:p>
        </w:tc>
        <w:tc>
          <w:tcPr>
            <w:tcW w:w="2080" w:type="dxa"/>
            <w:vAlign w:val="bottom"/>
          </w:tcPr>
          <w:p>
            <w:pPr>
              <w:jc w:val="right"/>
              <w:ind w:right="635"/>
              <w:spacing w:after="0"/>
              <w:rPr>
                <w:sz w:val="20"/>
                <w:szCs w:val="20"/>
                <w:color w:val="auto"/>
              </w:rPr>
            </w:pPr>
            <w:r>
              <w:rPr>
                <w:rFonts w:ascii="Arial" w:cs="Arial" w:eastAsia="Arial" w:hAnsi="Arial"/>
                <w:sz w:val="14"/>
                <w:szCs w:val="14"/>
                <w:b w:val="1"/>
                <w:bCs w:val="1"/>
                <w:color w:val="auto"/>
              </w:rPr>
              <w:t>10022</w:t>
            </w:r>
          </w:p>
        </w:tc>
      </w:tr>
      <w:tr>
        <w:trPr>
          <w:trHeight w:val="150"/>
        </w:trPr>
        <w:tc>
          <w:tcPr>
            <w:tcW w:w="5980" w:type="dxa"/>
            <w:vAlign w:val="bottom"/>
          </w:tcPr>
          <w:p>
            <w:pPr>
              <w:jc w:val="center"/>
              <w:ind w:right="2914"/>
              <w:spacing w:after="0"/>
              <w:rPr>
                <w:sz w:val="20"/>
                <w:szCs w:val="20"/>
                <w:color w:val="auto"/>
              </w:rPr>
            </w:pPr>
            <w:r>
              <w:rPr>
                <w:rFonts w:ascii="Arial" w:cs="Arial" w:eastAsia="Arial" w:hAnsi="Arial"/>
                <w:sz w:val="12"/>
                <w:szCs w:val="12"/>
                <w:b w:val="1"/>
                <w:bCs w:val="1"/>
                <w:color w:val="auto"/>
                <w:w w:val="85"/>
              </w:rPr>
              <w:t>(Address of principal executive offices)</w:t>
            </w:r>
          </w:p>
        </w:tc>
        <w:tc>
          <w:tcPr>
            <w:tcW w:w="2080" w:type="dxa"/>
            <w:vAlign w:val="bottom"/>
          </w:tcPr>
          <w:p>
            <w:pPr>
              <w:jc w:val="center"/>
              <w:ind w:left="235"/>
              <w:spacing w:after="0"/>
              <w:rPr>
                <w:sz w:val="20"/>
                <w:szCs w:val="20"/>
                <w:color w:val="auto"/>
              </w:rPr>
            </w:pPr>
            <w:r>
              <w:rPr>
                <w:rFonts w:ascii="Arial" w:cs="Arial" w:eastAsia="Arial" w:hAnsi="Arial"/>
                <w:sz w:val="12"/>
                <w:szCs w:val="12"/>
                <w:b w:val="1"/>
                <w:bCs w:val="1"/>
                <w:color w:val="auto"/>
                <w:w w:val="90"/>
              </w:rPr>
              <w:t>(Zip Code)</w:t>
            </w:r>
          </w:p>
        </w:tc>
      </w:tr>
      <w:tr>
        <w:trPr>
          <w:trHeight w:val="349"/>
        </w:trPr>
        <w:tc>
          <w:tcPr>
            <w:tcW w:w="5980" w:type="dxa"/>
            <w:vAlign w:val="bottom"/>
          </w:tcPr>
          <w:p>
            <w:pPr>
              <w:jc w:val="right"/>
              <w:ind w:right="1174"/>
              <w:spacing w:after="0"/>
              <w:rPr>
                <w:sz w:val="20"/>
                <w:szCs w:val="20"/>
                <w:color w:val="auto"/>
              </w:rPr>
            </w:pPr>
            <w:r>
              <w:rPr>
                <w:rFonts w:ascii="Arial" w:cs="Arial" w:eastAsia="Arial" w:hAnsi="Arial"/>
                <w:sz w:val="14"/>
                <w:szCs w:val="14"/>
                <w:b w:val="1"/>
                <w:bCs w:val="1"/>
                <w:color w:val="auto"/>
              </w:rPr>
              <w:t>(212) 905-1000</w:t>
            </w:r>
          </w:p>
        </w:tc>
        <w:tc>
          <w:tcPr>
            <w:tcW w:w="2080" w:type="dxa"/>
            <w:vAlign w:val="bottom"/>
          </w:tcPr>
          <w:p>
            <w:pPr>
              <w:spacing w:after="0"/>
              <w:rPr>
                <w:sz w:val="24"/>
                <w:szCs w:val="24"/>
                <w:color w:val="auto"/>
              </w:rPr>
            </w:pPr>
          </w:p>
        </w:tc>
      </w:tr>
      <w:tr>
        <w:trPr>
          <w:trHeight w:val="150"/>
        </w:trPr>
        <w:tc>
          <w:tcPr>
            <w:tcW w:w="5980" w:type="dxa"/>
            <w:vAlign w:val="bottom"/>
          </w:tcPr>
          <w:p>
            <w:pPr>
              <w:jc w:val="center"/>
              <w:ind w:left="2514"/>
              <w:spacing w:after="0"/>
              <w:rPr>
                <w:sz w:val="20"/>
                <w:szCs w:val="20"/>
                <w:color w:val="auto"/>
              </w:rPr>
            </w:pPr>
            <w:r>
              <w:rPr>
                <w:rFonts w:ascii="Arial" w:cs="Arial" w:eastAsia="Arial" w:hAnsi="Arial"/>
                <w:sz w:val="12"/>
                <w:szCs w:val="12"/>
                <w:b w:val="1"/>
                <w:bCs w:val="1"/>
                <w:color w:val="auto"/>
                <w:w w:val="88"/>
              </w:rPr>
              <w:t>(Registrant’s Telephone Number, Including Area Code)</w:t>
            </w:r>
          </w:p>
        </w:tc>
        <w:tc>
          <w:tcPr>
            <w:tcW w:w="2080" w:type="dxa"/>
            <w:vAlign w:val="bottom"/>
          </w:tcPr>
          <w:p>
            <w:pPr>
              <w:spacing w:after="0"/>
              <w:rPr>
                <w:sz w:val="13"/>
                <w:szCs w:val="13"/>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192405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46" w:lineRule="exact"/>
        <w:rPr>
          <w:sz w:val="24"/>
          <w:szCs w:val="24"/>
          <w:color w:val="auto"/>
        </w:rPr>
      </w:pPr>
    </w:p>
    <w:p>
      <w:pPr>
        <w:ind w:right="60" w:firstLine="562"/>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80" w:lineRule="exact"/>
        <w:rPr>
          <w:sz w:val="24"/>
          <w:szCs w:val="24"/>
          <w:color w:val="auto"/>
        </w:rPr>
      </w:pPr>
    </w:p>
    <w:p>
      <w:pPr>
        <w:ind w:right="160" w:firstLine="562"/>
        <w:spacing w:after="0" w:line="254"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w:t>
      </w:r>
    </w:p>
    <w:p>
      <w:pPr>
        <w:spacing w:after="0" w:line="1" w:lineRule="exact"/>
        <w:rPr>
          <w:sz w:val="24"/>
          <w:szCs w:val="24"/>
          <w:color w:val="auto"/>
        </w:rPr>
      </w:pPr>
    </w:p>
    <w:p>
      <w:pPr>
        <w:spacing w:after="0" w:line="161" w:lineRule="exact"/>
        <w:tabs>
          <w:tab w:leader="none" w:pos="460" w:val="left"/>
          <w:tab w:leader="none" w:pos="1020" w:val="left"/>
        </w:tabs>
        <w:rPr>
          <w:sz w:val="20"/>
          <w:szCs w:val="20"/>
          <w:color w:val="auto"/>
        </w:rPr>
      </w:pPr>
      <w:r>
        <w:rPr>
          <w:rFonts w:ascii="Arial" w:cs="Arial" w:eastAsia="Arial" w:hAnsi="Arial"/>
          <w:sz w:val="14"/>
          <w:szCs w:val="14"/>
          <w:color w:val="auto"/>
        </w:rPr>
        <w:t>files).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10" w:lineRule="exact"/>
        <w:rPr>
          <w:sz w:val="24"/>
          <w:szCs w:val="24"/>
          <w:color w:val="auto"/>
        </w:rPr>
      </w:pPr>
    </w:p>
    <w:p>
      <w:pPr>
        <w:ind w:right="460" w:firstLine="562"/>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240"/>
          </w:cols>
          <w:pgMar w:left="320" w:top="230" w:right="339" w:bottom="1440" w:gutter="0" w:footer="0" w:header="0"/>
        </w:sectPr>
      </w:pPr>
    </w:p>
    <w:p>
      <w:pPr>
        <w:spacing w:after="0" w:line="228" w:lineRule="exact"/>
        <w:rPr>
          <w:sz w:val="24"/>
          <w:szCs w:val="24"/>
          <w:color w:val="auto"/>
        </w:rPr>
      </w:pPr>
    </w:p>
    <w:p>
      <w:pPr>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208"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16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43" w:lineRule="exact"/>
        <w:rPr>
          <w:sz w:val="24"/>
          <w:szCs w:val="24"/>
          <w:color w:val="auto"/>
        </w:rPr>
      </w:pPr>
    </w:p>
    <w:p>
      <w:pPr>
        <w:sectPr>
          <w:pgSz w:w="11900" w:h="16838" w:orient="portrait"/>
          <w:cols w:equalWidth="0" w:num="4">
            <w:col w:w="1300" w:space="280"/>
            <w:col w:w="6900" w:space="720"/>
            <w:col w:w="1180" w:space="720"/>
            <w:col w:w="140"/>
          </w:cols>
          <w:pgMar w:left="320" w:top="230" w:right="339" w:bottom="1440" w:gutter="0" w:footer="0" w:header="0"/>
          <w:type w:val="continuous"/>
        </w:sectPr>
      </w:pPr>
    </w:p>
    <w:p>
      <w:pPr>
        <w:spacing w:after="0" w:line="41" w:lineRule="exact"/>
        <w:rPr>
          <w:sz w:val="24"/>
          <w:szCs w:val="24"/>
          <w:color w:val="auto"/>
        </w:rPr>
      </w:pPr>
    </w:p>
    <w:p>
      <w:pPr>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3"/>
          <w:szCs w:val="13"/>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50" w:lineRule="exact"/>
        <w:rPr>
          <w:sz w:val="24"/>
          <w:szCs w:val="24"/>
          <w:color w:val="auto"/>
        </w:rPr>
      </w:pPr>
    </w:p>
    <w:p>
      <w:pPr>
        <w:sectPr>
          <w:pgSz w:w="11900" w:h="16838" w:orient="portrait"/>
          <w:cols w:equalWidth="0" w:num="5">
            <w:col w:w="1220" w:space="360"/>
            <w:col w:w="120" w:space="80"/>
            <w:col w:w="6700" w:space="720"/>
            <w:col w:w="1580" w:space="320"/>
            <w:col w:w="140"/>
          </w:cols>
          <w:pgMar w:left="320" w:top="230" w:right="339" w:bottom="1440" w:gutter="0" w:footer="0" w:header="0"/>
          <w:type w:val="continuous"/>
        </w:sectPr>
      </w:pPr>
    </w:p>
    <w:p>
      <w:pPr>
        <w:spacing w:after="0" w:line="29" w:lineRule="exact"/>
        <w:rPr>
          <w:sz w:val="24"/>
          <w:szCs w:val="24"/>
          <w:color w:val="auto"/>
        </w:rPr>
      </w:pPr>
    </w:p>
    <w:p>
      <w:pPr>
        <w:ind w:left="560"/>
        <w:spacing w:after="0"/>
        <w:rPr>
          <w:sz w:val="20"/>
          <w:szCs w:val="20"/>
          <w:color w:val="auto"/>
        </w:rPr>
      </w:pPr>
      <w:r>
        <w:rPr>
          <w:rFonts w:ascii="Arial" w:cs="Arial" w:eastAsia="Arial" w:hAnsi="Arial"/>
          <w:sz w:val="13"/>
          <w:szCs w:val="13"/>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2"/>
          <w:szCs w:val="12"/>
          <w:color w:val="auto"/>
        </w:rPr>
        <w:t>Yes</w:t>
      </w:r>
    </w:p>
    <w:p>
      <w:pPr>
        <w:spacing w:after="0" w:line="20" w:lineRule="exact"/>
        <w:rPr>
          <w:sz w:val="24"/>
          <w:szCs w:val="24"/>
          <w:color w:val="auto"/>
        </w:rPr>
      </w:pPr>
      <w:r>
        <w:rPr>
          <w:sz w:val="24"/>
          <w:szCs w:val="24"/>
          <w:color w:val="auto"/>
        </w:rPr>
        <w:br w:type="column"/>
      </w:r>
    </w:p>
    <w:p>
      <w:pPr>
        <w:spacing w:after="0" w:line="122"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4"/>
          <w:szCs w:val="14"/>
          <w:color w:val="auto"/>
        </w:rPr>
        <w:t>No</w:t>
      </w:r>
    </w:p>
    <w:p>
      <w:pPr>
        <w:spacing w:after="0" w:line="20" w:lineRule="exact"/>
        <w:rPr>
          <w:sz w:val="24"/>
          <w:szCs w:val="24"/>
          <w:color w:val="auto"/>
        </w:rPr>
      </w:pPr>
      <w:r>
        <w:rPr>
          <w:sz w:val="24"/>
          <w:szCs w:val="24"/>
          <w:color w:val="auto"/>
        </w:rPr>
        <w:br w:type="column"/>
      </w:r>
    </w:p>
    <w:p>
      <w:pPr>
        <w:spacing w:after="0" w:line="102" w:lineRule="exact"/>
        <w:rPr>
          <w:sz w:val="20"/>
          <w:szCs w:val="20"/>
          <w:color w:val="auto"/>
        </w:rPr>
      </w:pPr>
      <w:r>
        <w:rPr>
          <w:rFonts w:ascii="MS PGothic" w:cs="MS PGothic" w:eastAsia="MS PGothic" w:hAnsi="MS PGothic"/>
          <w:sz w:val="12"/>
          <w:szCs w:val="12"/>
          <w:color w:val="auto"/>
        </w:rPr>
        <w:t>☒</w:t>
      </w:r>
    </w:p>
    <w:p>
      <w:pPr>
        <w:spacing w:after="0" w:line="268" w:lineRule="exact"/>
        <w:rPr>
          <w:sz w:val="24"/>
          <w:szCs w:val="24"/>
          <w:color w:val="auto"/>
        </w:rPr>
      </w:pPr>
    </w:p>
    <w:p>
      <w:pPr>
        <w:sectPr>
          <w:pgSz w:w="11900" w:h="16838" w:orient="portrait"/>
          <w:cols w:equalWidth="0" w:num="5">
            <w:col w:w="7100" w:space="140"/>
            <w:col w:w="220" w:space="60"/>
            <w:col w:w="140" w:space="140"/>
            <w:col w:w="180" w:space="80"/>
            <w:col w:w="3180"/>
          </w:cols>
          <w:pgMar w:left="320" w:top="230" w:right="339" w:bottom="1440" w:gutter="0" w:footer="0" w:header="0"/>
          <w:type w:val="continuous"/>
        </w:sectPr>
      </w:pPr>
    </w:p>
    <w:p>
      <w:pPr>
        <w:spacing w:after="0" w:line="17" w:lineRule="exact"/>
        <w:rPr>
          <w:sz w:val="24"/>
          <w:szCs w:val="24"/>
          <w:color w:val="auto"/>
        </w:rPr>
      </w:pPr>
    </w:p>
    <w:p>
      <w:pPr>
        <w:ind w:left="560"/>
        <w:spacing w:after="0"/>
        <w:rPr>
          <w:sz w:val="20"/>
          <w:szCs w:val="20"/>
          <w:color w:val="auto"/>
        </w:rPr>
      </w:pPr>
      <w:r>
        <w:rPr>
          <w:rFonts w:ascii="Arial" w:cs="Arial" w:eastAsia="Arial" w:hAnsi="Arial"/>
          <w:sz w:val="12"/>
          <w:szCs w:val="12"/>
          <w:color w:val="auto"/>
        </w:rPr>
        <w:t>The number of shares of the registrant’s common stock, $0.001 par value per share, outstanding as of February 8, 2017 was 71,060,836.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PENNANTPARK INVESTMENT CORPORATION</w:t>
      </w:r>
    </w:p>
    <w:p>
      <w:pPr>
        <w:jc w:val="center"/>
        <w:ind w:right="-79"/>
        <w:spacing w:after="0" w:line="226" w:lineRule="auto"/>
        <w:rPr>
          <w:sz w:val="20"/>
          <w:szCs w:val="20"/>
          <w:color w:val="auto"/>
        </w:rPr>
      </w:pPr>
      <w:r>
        <w:rPr>
          <w:rFonts w:ascii="Arial" w:cs="Arial" w:eastAsia="Arial" w:hAnsi="Arial"/>
          <w:sz w:val="14"/>
          <w:szCs w:val="14"/>
          <w:b w:val="1"/>
          <w:bCs w:val="1"/>
          <w:color w:val="auto"/>
        </w:rPr>
        <w:t>FORM 10-Q FOR THE QUARTER ENDED DECEMBER 31, 2016</w:t>
      </w:r>
    </w:p>
    <w:p>
      <w:pPr>
        <w:jc w:val="center"/>
        <w:ind w:right="-79"/>
        <w:spacing w:after="0"/>
        <w:rPr>
          <w:sz w:val="20"/>
          <w:szCs w:val="20"/>
          <w:color w:val="auto"/>
        </w:rPr>
      </w:pPr>
      <w:r>
        <w:rPr>
          <w:rFonts w:ascii="Arial" w:cs="Arial" w:eastAsia="Arial" w:hAnsi="Arial"/>
          <w:sz w:val="14"/>
          <w:szCs w:val="14"/>
          <w:b w:val="1"/>
          <w:bCs w:val="1"/>
          <w:color w:val="auto"/>
        </w:rPr>
        <w:t>TABLE OF CONTENTS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20" w:type="dxa"/>
            <w:vAlign w:val="bottom"/>
          </w:tcPr>
          <w:p>
            <w:pPr>
              <w:ind w:left="356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PART I. CONSOLIDATED FINANCIAL INFORMATION</w:t>
              </w:r>
            </w:hyperlink>
          </w:p>
        </w:tc>
        <w:tc>
          <w:tcPr>
            <w:tcW w:w="2040" w:type="dxa"/>
            <w:vAlign w:val="bottom"/>
          </w:tcPr>
          <w:p>
            <w:pPr>
              <w:spacing w:after="0"/>
              <w:rPr>
                <w:sz w:val="16"/>
                <w:szCs w:val="16"/>
                <w:color w:val="auto"/>
              </w:rPr>
            </w:pPr>
          </w:p>
        </w:tc>
      </w:tr>
      <w:tr>
        <w:trPr>
          <w:trHeight w:val="283"/>
        </w:trPr>
        <w:tc>
          <w:tcPr>
            <w:tcW w:w="9120" w:type="dxa"/>
            <w:vAlign w:val="bottom"/>
          </w:tcPr>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Item 1. Consolidated Financial Statements</w:t>
              </w:r>
            </w:hyperlink>
          </w:p>
        </w:tc>
        <w:tc>
          <w:tcPr>
            <w:tcW w:w="2040" w:type="dxa"/>
            <w:vAlign w:val="bottom"/>
          </w:tcPr>
          <w:p>
            <w:pPr>
              <w:spacing w:after="0"/>
              <w:rPr>
                <w:sz w:val="24"/>
                <w:szCs w:val="24"/>
                <w:color w:val="auto"/>
              </w:rPr>
            </w:pPr>
          </w:p>
        </w:tc>
      </w:tr>
      <w:tr>
        <w:trPr>
          <w:trHeight w:val="283"/>
        </w:trPr>
        <w:tc>
          <w:tcPr>
            <w:tcW w:w="9120" w:type="dxa"/>
            <w:vAlign w:val="bottom"/>
          </w:tcPr>
          <w:p>
            <w:pPr>
              <w:ind w:left="300"/>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Consolidated Statements of Assets and Liabilities as of December 31, 2016 (unaudited) and September 30, 2016</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83"/>
        </w:trPr>
        <w:tc>
          <w:tcPr>
            <w:tcW w:w="9120" w:type="dxa"/>
            <w:vAlign w:val="bottom"/>
          </w:tcPr>
          <w:p>
            <w:pPr>
              <w:ind w:left="300"/>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Consolidated Statements of Operations for the three months ended December 31, 2016 and 2015 (unaudited)</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284"/>
        </w:trPr>
        <w:tc>
          <w:tcPr>
            <w:tcW w:w="9120" w:type="dxa"/>
            <w:vAlign w:val="bottom"/>
          </w:tcPr>
          <w:p>
            <w:pPr>
              <w:ind w:left="300"/>
              <w:spacing w:after="0"/>
              <w:rPr>
                <w:rFonts w:ascii="Arial" w:cs="Arial" w:eastAsia="Arial" w:hAnsi="Arial"/>
                <w:sz w:val="14"/>
                <w:szCs w:val="14"/>
                <w:u w:val="single" w:color="auto"/>
                <w:color w:val="0000EE"/>
              </w:rPr>
            </w:pPr>
            <w:hyperlink w:anchor="page6">
              <w:r>
                <w:rPr>
                  <w:rFonts w:ascii="Arial" w:cs="Arial" w:eastAsia="Arial" w:hAnsi="Arial"/>
                  <w:sz w:val="14"/>
                  <w:szCs w:val="14"/>
                  <w:u w:val="single" w:color="auto"/>
                  <w:color w:val="0000EE"/>
                </w:rPr>
                <w:t>Consolidated Statements of Changes in Net Assets for the three months ended December 31, 2016 and 2015 (unaudited)</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83"/>
        </w:trPr>
        <w:tc>
          <w:tcPr>
            <w:tcW w:w="9120" w:type="dxa"/>
            <w:vAlign w:val="bottom"/>
          </w:tcPr>
          <w:p>
            <w:pPr>
              <w:ind w:left="300"/>
              <w:spacing w:after="0"/>
              <w:rPr>
                <w:rFonts w:ascii="Arial" w:cs="Arial" w:eastAsia="Arial" w:hAnsi="Arial"/>
                <w:sz w:val="14"/>
                <w:szCs w:val="14"/>
                <w:u w:val="single" w:color="auto"/>
                <w:color w:val="0000EE"/>
              </w:rPr>
            </w:pPr>
            <w:hyperlink w:anchor="page7">
              <w:r>
                <w:rPr>
                  <w:rFonts w:ascii="Arial" w:cs="Arial" w:eastAsia="Arial" w:hAnsi="Arial"/>
                  <w:sz w:val="14"/>
                  <w:szCs w:val="14"/>
                  <w:u w:val="single" w:color="auto"/>
                  <w:color w:val="0000EE"/>
                </w:rPr>
                <w:t>Consolidated Statements of Cash Flows for the three months ended December 31, 2016 and 2015 (unaudited)</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83"/>
        </w:trPr>
        <w:tc>
          <w:tcPr>
            <w:tcW w:w="9120" w:type="dxa"/>
            <w:vAlign w:val="bottom"/>
          </w:tcPr>
          <w:p>
            <w:pPr>
              <w:ind w:left="300"/>
              <w:spacing w:after="0"/>
              <w:rPr>
                <w:rFonts w:ascii="Arial" w:cs="Arial" w:eastAsia="Arial" w:hAnsi="Arial"/>
                <w:sz w:val="14"/>
                <w:szCs w:val="14"/>
                <w:u w:val="single" w:color="auto"/>
                <w:color w:val="0000EE"/>
              </w:rPr>
            </w:pPr>
            <w:hyperlink w:anchor="page8">
              <w:r>
                <w:rPr>
                  <w:rFonts w:ascii="Arial" w:cs="Arial" w:eastAsia="Arial" w:hAnsi="Arial"/>
                  <w:sz w:val="14"/>
                  <w:szCs w:val="14"/>
                  <w:u w:val="single" w:color="auto"/>
                  <w:color w:val="0000EE"/>
                </w:rPr>
                <w:t>Consolidated Schedules of Investments as of December 31, 2016 (unaudited) and September 30, 2016</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83"/>
        </w:trPr>
        <w:tc>
          <w:tcPr>
            <w:tcW w:w="9120" w:type="dxa"/>
            <w:vAlign w:val="bottom"/>
          </w:tcPr>
          <w:p>
            <w:pPr>
              <w:ind w:left="300"/>
              <w:spacing w:after="0"/>
              <w:rPr>
                <w:rFonts w:ascii="Arial" w:cs="Arial" w:eastAsia="Arial" w:hAnsi="Arial"/>
                <w:sz w:val="14"/>
                <w:szCs w:val="14"/>
                <w:u w:val="single" w:color="auto"/>
                <w:color w:val="0000EE"/>
              </w:rPr>
            </w:pPr>
            <w:hyperlink w:anchor="page14">
              <w:r>
                <w:rPr>
                  <w:rFonts w:ascii="Arial" w:cs="Arial" w:eastAsia="Arial" w:hAnsi="Arial"/>
                  <w:sz w:val="14"/>
                  <w:szCs w:val="14"/>
                  <w:u w:val="single" w:color="auto"/>
                  <w:color w:val="0000EE"/>
                </w:rPr>
                <w:t>Notes to Consolidated Financial Statements (unaudited)</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83"/>
        </w:trPr>
        <w:tc>
          <w:tcPr>
            <w:tcW w:w="9120" w:type="dxa"/>
            <w:vAlign w:val="bottom"/>
          </w:tcPr>
          <w:p>
            <w:pPr>
              <w:ind w:left="300"/>
              <w:spacing w:after="0"/>
              <w:rPr>
                <w:rFonts w:ascii="Arial" w:cs="Arial" w:eastAsia="Arial" w:hAnsi="Arial"/>
                <w:sz w:val="14"/>
                <w:szCs w:val="14"/>
                <w:u w:val="single" w:color="auto"/>
                <w:color w:val="0000EE"/>
              </w:rPr>
            </w:pPr>
            <w:hyperlink w:anchor="page25">
              <w:r>
                <w:rPr>
                  <w:rFonts w:ascii="Arial" w:cs="Arial" w:eastAsia="Arial" w:hAnsi="Arial"/>
                  <w:sz w:val="14"/>
                  <w:szCs w:val="14"/>
                  <w:u w:val="single" w:color="auto"/>
                  <w:color w:val="0000EE"/>
                </w:rPr>
                <w:t>Report of Independent Registered Public Accounting Firm</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83"/>
        </w:trPr>
        <w:tc>
          <w:tcPr>
            <w:tcW w:w="9120" w:type="dxa"/>
            <w:vAlign w:val="bottom"/>
          </w:tcPr>
          <w:p>
            <w:pPr>
              <w:spacing w:after="0"/>
              <w:rPr>
                <w:rFonts w:ascii="Arial" w:cs="Arial" w:eastAsia="Arial" w:hAnsi="Arial"/>
                <w:sz w:val="14"/>
                <w:szCs w:val="14"/>
                <w:b w:val="1"/>
                <w:bCs w:val="1"/>
                <w:u w:val="single" w:color="auto"/>
                <w:color w:val="0000EE"/>
              </w:rPr>
            </w:pPr>
            <w:hyperlink w:anchor="page26">
              <w:r>
                <w:rPr>
                  <w:rFonts w:ascii="Arial" w:cs="Arial" w:eastAsia="Arial" w:hAnsi="Arial"/>
                  <w:sz w:val="14"/>
                  <w:szCs w:val="14"/>
                  <w:b w:val="1"/>
                  <w:bCs w:val="1"/>
                  <w:u w:val="single" w:color="auto"/>
                  <w:color w:val="0000EE"/>
                </w:rPr>
                <w:t>Item 2. Management’s Discussion and Analysis of Financial Condition and Results of Operations</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84"/>
        </w:trPr>
        <w:tc>
          <w:tcPr>
            <w:tcW w:w="9120" w:type="dxa"/>
            <w:vAlign w:val="bottom"/>
          </w:tcPr>
          <w:p>
            <w:pPr>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Item 3. Quantitative and Qualitative Disclosures About Market Risk</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83"/>
        </w:trPr>
        <w:tc>
          <w:tcPr>
            <w:tcW w:w="9120" w:type="dxa"/>
            <w:vAlign w:val="bottom"/>
          </w:tcPr>
          <w:p>
            <w:pPr>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Item 4. Controls and Procedures</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83"/>
        </w:trPr>
        <w:tc>
          <w:tcPr>
            <w:tcW w:w="9120" w:type="dxa"/>
            <w:vAlign w:val="bottom"/>
          </w:tcPr>
          <w:p>
            <w:pPr>
              <w:ind w:left="4280"/>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PART II. OTHER INFORMATION</w:t>
              </w:r>
            </w:hyperlink>
          </w:p>
        </w:tc>
        <w:tc>
          <w:tcPr>
            <w:tcW w:w="2040" w:type="dxa"/>
            <w:vAlign w:val="bottom"/>
          </w:tcPr>
          <w:p>
            <w:pPr>
              <w:spacing w:after="0"/>
              <w:rPr>
                <w:sz w:val="24"/>
                <w:szCs w:val="24"/>
                <w:color w:val="auto"/>
              </w:rPr>
            </w:pPr>
          </w:p>
        </w:tc>
      </w:tr>
      <w:tr>
        <w:trPr>
          <w:trHeight w:val="283"/>
        </w:trPr>
        <w:tc>
          <w:tcPr>
            <w:tcW w:w="9120" w:type="dxa"/>
            <w:vAlign w:val="bottom"/>
          </w:tcPr>
          <w:p>
            <w:pPr>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Item 1. Legal Proceedings</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83"/>
        </w:trPr>
        <w:tc>
          <w:tcPr>
            <w:tcW w:w="9120" w:type="dxa"/>
            <w:vAlign w:val="bottom"/>
          </w:tcPr>
          <w:p>
            <w:pPr>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Item 1A. Risk Factors</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83"/>
        </w:trPr>
        <w:tc>
          <w:tcPr>
            <w:tcW w:w="9120" w:type="dxa"/>
            <w:vAlign w:val="bottom"/>
          </w:tcPr>
          <w:p>
            <w:pPr>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Item 2. Unregistered Sales of Equity Securities and Use of Proceeds</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84"/>
        </w:trPr>
        <w:tc>
          <w:tcPr>
            <w:tcW w:w="9120" w:type="dxa"/>
            <w:vAlign w:val="bottom"/>
          </w:tcPr>
          <w:p>
            <w:pPr>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Item 3. Defaults Upon Senior Securities</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84"/>
        </w:trPr>
        <w:tc>
          <w:tcPr>
            <w:tcW w:w="9120" w:type="dxa"/>
            <w:vAlign w:val="bottom"/>
          </w:tcPr>
          <w:p>
            <w:pPr>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Item 4. Mine Safety Disclosures</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83"/>
        </w:trPr>
        <w:tc>
          <w:tcPr>
            <w:tcW w:w="9120" w:type="dxa"/>
            <w:vAlign w:val="bottom"/>
          </w:tcPr>
          <w:p>
            <w:pPr>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Item 5. Other Information</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83"/>
        </w:trPr>
        <w:tc>
          <w:tcPr>
            <w:tcW w:w="9120" w:type="dxa"/>
            <w:vAlign w:val="bottom"/>
          </w:tcPr>
          <w:p>
            <w:pPr>
              <w:spacing w:after="0"/>
              <w:rPr>
                <w:rFonts w:ascii="Arial" w:cs="Arial" w:eastAsia="Arial" w:hAnsi="Arial"/>
                <w:sz w:val="14"/>
                <w:szCs w:val="14"/>
                <w:b w:val="1"/>
                <w:bCs w:val="1"/>
                <w:u w:val="single" w:color="auto"/>
                <w:color w:val="0000EE"/>
              </w:rPr>
            </w:pPr>
            <w:hyperlink w:anchor="page35">
              <w:r>
                <w:rPr>
                  <w:rFonts w:ascii="Arial" w:cs="Arial" w:eastAsia="Arial" w:hAnsi="Arial"/>
                  <w:sz w:val="14"/>
                  <w:szCs w:val="14"/>
                  <w:b w:val="1"/>
                  <w:bCs w:val="1"/>
                  <w:u w:val="single" w:color="auto"/>
                  <w:color w:val="0000EE"/>
                </w:rPr>
                <w:t>Item 6. Exhibits</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284"/>
        </w:trPr>
        <w:tc>
          <w:tcPr>
            <w:tcW w:w="9120" w:type="dxa"/>
            <w:vAlign w:val="bottom"/>
          </w:tcPr>
          <w:p>
            <w:pPr>
              <w:spacing w:after="0"/>
              <w:rPr>
                <w:rFonts w:ascii="Arial" w:cs="Arial" w:eastAsia="Arial" w:hAnsi="Arial"/>
                <w:sz w:val="14"/>
                <w:szCs w:val="14"/>
                <w:b w:val="1"/>
                <w:bCs w:val="1"/>
                <w:u w:val="single" w:color="auto"/>
                <w:color w:val="0000EE"/>
              </w:rPr>
            </w:pPr>
            <w:hyperlink w:anchor="page36">
              <w:r>
                <w:rPr>
                  <w:rFonts w:ascii="Arial" w:cs="Arial" w:eastAsia="Arial" w:hAnsi="Arial"/>
                  <w:sz w:val="14"/>
                  <w:szCs w:val="14"/>
                  <w:b w:val="1"/>
                  <w:bCs w:val="1"/>
                  <w:u w:val="single" w:color="auto"/>
                  <w:color w:val="0000EE"/>
                </w:rPr>
                <w:t>SIGNATURES</w:t>
              </w:r>
            </w:hyperlink>
          </w:p>
        </w:tc>
        <w:tc>
          <w:tcPr>
            <w:tcW w:w="204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297"/>
        </w:trPr>
        <w:tc>
          <w:tcPr>
            <w:tcW w:w="9120" w:type="dxa"/>
            <w:vAlign w:val="bottom"/>
          </w:tcPr>
          <w:p>
            <w:pPr>
              <w:ind w:left="5580"/>
              <w:spacing w:after="0"/>
              <w:rPr>
                <w:sz w:val="20"/>
                <w:szCs w:val="20"/>
                <w:color w:val="auto"/>
              </w:rPr>
            </w:pPr>
            <w:r>
              <w:rPr>
                <w:rFonts w:ascii="Arial" w:cs="Arial" w:eastAsia="Arial" w:hAnsi="Arial"/>
                <w:sz w:val="14"/>
                <w:szCs w:val="14"/>
                <w:color w:val="auto"/>
              </w:rPr>
              <w:t>2</w:t>
            </w:r>
          </w:p>
        </w:tc>
        <w:tc>
          <w:tcPr>
            <w:tcW w:w="2040" w:type="dxa"/>
            <w:vAlign w:val="bottom"/>
          </w:tcPr>
          <w:p>
            <w:pPr>
              <w:spacing w:after="0"/>
              <w:rPr>
                <w:sz w:val="24"/>
                <w:szCs w:val="24"/>
                <w:color w:val="auto"/>
              </w:rPr>
            </w:pPr>
          </w:p>
        </w:tc>
      </w:tr>
    </w:tbl>
    <w:p>
      <w:pPr>
        <w:sectPr>
          <w:pgSz w:w="11900" w:h="16838" w:orient="portrait"/>
          <w:cols w:equalWidth="0" w:num="1">
            <w:col w:w="11160"/>
          </w:cols>
          <w:pgMar w:left="320" w:top="459" w:right="4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PART I—CONSOLIDATED FINANCIAL INFORMATION</w:t>
      </w:r>
    </w:p>
    <w:p>
      <w:pPr>
        <w:spacing w:after="0" w:line="181" w:lineRule="exact"/>
        <w:rPr>
          <w:sz w:val="20"/>
          <w:szCs w:val="20"/>
          <w:color w:val="auto"/>
        </w:rPr>
      </w:pPr>
    </w:p>
    <w:p>
      <w:pPr>
        <w:spacing w:after="0" w:line="243" w:lineRule="auto"/>
        <w:rPr>
          <w:sz w:val="20"/>
          <w:szCs w:val="20"/>
          <w:color w:val="auto"/>
        </w:rPr>
      </w:pPr>
      <w:r>
        <w:rPr>
          <w:rFonts w:ascii="Arial" w:cs="Arial" w:eastAsia="Arial" w:hAnsi="Arial"/>
          <w:sz w:val="13"/>
          <w:szCs w:val="13"/>
          <w:color w:val="auto"/>
        </w:rPr>
        <w:t>We are filing this Quarterly Report on Form 10-Q, or the Report, in compliance with Rule 13a-13 promulgated by the Securities and Exchange Commission, or the SEC. In this Report, “Company,” “we,” “our” or “us” refer to PennantPark Investment Corporation and its consolidated subsidiaries unless the context suggests otherwise. “PennantPark Investment” refers to only PennantPark Investment Corporation; “our SBIC Funds” refers collectively to our consolidated subsidiaries, PennantPark SBIC LP, or SBIC I, and its general partner, PennantPark SBIC GP, LLC, and PennantPark SBIC II LP, or SBIC II, and its general partner, PennantPark SBIC GP II, LLC; “Taxable Subsidiaries” refers to PNNT Cascade Environmental Holdings, LLC, PNNT CI (Galls) Prime Investment Holdings, LLC, PNNT ecoserve, LLC, PNNT Investment Holdings, LLC and PNNT New Gulf Resources, LLC; “PennantPark Investment Advisers” or “Investment Adviser” refers to PennantPark Investment Advisers, LLC; “PennantPark Investment Administration” or “Administrator” refers to PennantPark Investment Administration, LLC; “SBA” refers to the Small Business Administration; “SBIC” refers to a small business investment company under the Small Business Investment Act of 1958, as amended, or the “1958 Act”; “Credit Facility” refers to our multi-currency, senior secured revolving credit facility, as amended and restated; “2025 Notes” refers to our 6.25% senior notes due 2025; “2019 Notes” refers to our 4.50% notes due 2019; “our Notes” refers, collectively, to our 2025 Notes and our 2019 Notes; “BDC” refers to a business development company under the Investment Company Act of 1940, as amended, or the “1940 Act”; “Code” refers to the Internal Revenue Code of 1986, as amended; and “RIC” refers to a regulated investment company under the Code. References to our portfolio or investments include investments we make through our SBIC Funds and other consolidated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w:t>
      </w:r>
    </w:p>
    <w:p>
      <w:pPr>
        <w:sectPr>
          <w:pgSz w:w="11900" w:h="16838" w:orient="portrait"/>
          <w:cols w:equalWidth="0" w:num="1">
            <w:col w:w="11220"/>
          </w:cols>
          <w:pgMar w:left="320" w:top="459" w:right="3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0" w:type="dxa"/>
            <w:vAlign w:val="bottom"/>
          </w:tcPr>
          <w:p>
            <w:pPr>
              <w:spacing w:after="0"/>
              <w:rPr>
                <w:sz w:val="20"/>
                <w:szCs w:val="20"/>
                <w:color w:val="auto"/>
              </w:rPr>
            </w:pPr>
            <w:r>
              <w:rPr>
                <w:rFonts w:ascii="Arial" w:cs="Arial" w:eastAsia="Arial" w:hAnsi="Arial"/>
                <w:sz w:val="14"/>
                <w:szCs w:val="14"/>
                <w:b w:val="1"/>
                <w:bCs w:val="1"/>
                <w:color w:val="auto"/>
              </w:rPr>
              <w:t>Item 1.</w:t>
            </w:r>
          </w:p>
        </w:tc>
        <w:tc>
          <w:tcPr>
            <w:tcW w:w="7580" w:type="dxa"/>
            <w:vAlign w:val="bottom"/>
          </w:tcPr>
          <w:p>
            <w:pPr>
              <w:ind w:left="380"/>
              <w:spacing w:after="0"/>
              <w:rPr>
                <w:sz w:val="20"/>
                <w:szCs w:val="20"/>
                <w:color w:val="auto"/>
              </w:rPr>
            </w:pPr>
            <w:r>
              <w:rPr>
                <w:rFonts w:ascii="Arial" w:cs="Arial" w:eastAsia="Arial" w:hAnsi="Arial"/>
                <w:sz w:val="14"/>
                <w:szCs w:val="14"/>
                <w:b w:val="1"/>
                <w:bCs w:val="1"/>
                <w:color w:val="auto"/>
              </w:rPr>
              <w:t>Consolidated Financial Statements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435"/>
        </w:trPr>
        <w:tc>
          <w:tcPr>
            <w:tcW w:w="520" w:type="dxa"/>
            <w:vAlign w:val="bottom"/>
          </w:tcPr>
          <w:p>
            <w:pPr>
              <w:spacing w:after="0"/>
              <w:rPr>
                <w:sz w:val="24"/>
                <w:szCs w:val="24"/>
                <w:color w:val="auto"/>
              </w:rPr>
            </w:pPr>
          </w:p>
        </w:tc>
        <w:tc>
          <w:tcPr>
            <w:tcW w:w="7580" w:type="dxa"/>
            <w:vAlign w:val="bottom"/>
          </w:tcPr>
          <w:p>
            <w:pPr>
              <w:ind w:left="2800"/>
              <w:spacing w:after="0"/>
              <w:rPr>
                <w:sz w:val="20"/>
                <w:szCs w:val="20"/>
                <w:color w:val="auto"/>
              </w:rPr>
            </w:pPr>
            <w:r>
              <w:rPr>
                <w:rFonts w:ascii="Arial" w:cs="Arial" w:eastAsia="Arial" w:hAnsi="Arial"/>
                <w:sz w:val="14"/>
                <w:szCs w:val="14"/>
                <w:b w:val="1"/>
                <w:bCs w:val="1"/>
                <w:color w:val="auto"/>
              </w:rPr>
              <w:t>PENNANTPARK INVESTMENT CORPORATION AND SUBSIDIARIES</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6"/>
        </w:trPr>
        <w:tc>
          <w:tcPr>
            <w:tcW w:w="520" w:type="dxa"/>
            <w:vAlign w:val="bottom"/>
          </w:tcPr>
          <w:p>
            <w:pPr>
              <w:spacing w:after="0"/>
              <w:rPr>
                <w:sz w:val="16"/>
                <w:szCs w:val="16"/>
                <w:color w:val="auto"/>
              </w:rPr>
            </w:pPr>
          </w:p>
        </w:tc>
        <w:tc>
          <w:tcPr>
            <w:tcW w:w="7580" w:type="dxa"/>
            <w:vAlign w:val="bottom"/>
          </w:tcPr>
          <w:p>
            <w:pPr>
              <w:ind w:left="2980"/>
              <w:spacing w:after="0"/>
              <w:rPr>
                <w:sz w:val="20"/>
                <w:szCs w:val="20"/>
                <w:color w:val="auto"/>
              </w:rPr>
            </w:pPr>
            <w:r>
              <w:rPr>
                <w:rFonts w:ascii="Arial" w:cs="Arial" w:eastAsia="Arial" w:hAnsi="Arial"/>
                <w:sz w:val="14"/>
                <w:szCs w:val="14"/>
                <w:b w:val="1"/>
                <w:bCs w:val="1"/>
                <w:color w:val="auto"/>
              </w:rPr>
              <w:t>CONSOLIDATED STATEMENTS OF ASSETS AND LIABILITIES</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54"/>
        </w:trPr>
        <w:tc>
          <w:tcPr>
            <w:tcW w:w="52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December 31, 2016</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w w:val="97"/>
              </w:rPr>
              <w:t>September 30, 2016</w:t>
            </w:r>
          </w:p>
        </w:tc>
      </w:tr>
      <w:tr>
        <w:trPr>
          <w:trHeight w:val="171"/>
        </w:trPr>
        <w:tc>
          <w:tcPr>
            <w:tcW w:w="520" w:type="dxa"/>
            <w:vAlign w:val="bottom"/>
          </w:tcPr>
          <w:p>
            <w:pPr>
              <w:spacing w:after="0"/>
              <w:rPr>
                <w:sz w:val="14"/>
                <w:szCs w:val="14"/>
                <w:color w:val="auto"/>
              </w:rPr>
            </w:pPr>
          </w:p>
        </w:tc>
        <w:tc>
          <w:tcPr>
            <w:tcW w:w="7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(unaudited)</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28"/>
        </w:trPr>
        <w:tc>
          <w:tcPr>
            <w:tcW w:w="5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Assets</w:t>
            </w:r>
          </w:p>
        </w:tc>
        <w:tc>
          <w:tcPr>
            <w:tcW w:w="75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48"/>
        </w:trPr>
        <w:tc>
          <w:tcPr>
            <w:tcW w:w="8100" w:type="dxa"/>
            <w:vAlign w:val="bottom"/>
            <w:gridSpan w:val="2"/>
          </w:tcPr>
          <w:p>
            <w:pPr>
              <w:spacing w:after="0" w:line="149" w:lineRule="exact"/>
              <w:rPr>
                <w:sz w:val="20"/>
                <w:szCs w:val="20"/>
                <w:color w:val="auto"/>
              </w:rPr>
            </w:pPr>
            <w:r>
              <w:rPr>
                <w:rFonts w:ascii="Arial" w:cs="Arial" w:eastAsia="Arial" w:hAnsi="Arial"/>
                <w:sz w:val="14"/>
                <w:szCs w:val="14"/>
                <w:color w:val="auto"/>
              </w:rPr>
              <w:t>Investments at fair value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81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Non-controlled, non-affiliated investments (cost—$918,332,509 and $805,189,545, respectively)</w:t>
            </w:r>
          </w:p>
        </w:tc>
        <w:tc>
          <w:tcPr>
            <w:tcW w:w="3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946,232,162</w:t>
            </w: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813,467,491</w:t>
            </w:r>
          </w:p>
        </w:tc>
      </w:tr>
      <w:tr>
        <w:trPr>
          <w:trHeight w:val="148"/>
        </w:trPr>
        <w:tc>
          <w:tcPr>
            <w:tcW w:w="81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Non-controlled, affiliated investments (cost—$292,491,050 and $262,476,906, respectively)</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266,795,326</w:t>
            </w:r>
          </w:p>
        </w:tc>
        <w:tc>
          <w:tcPr>
            <w:tcW w:w="22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215,192,547</w:t>
            </w:r>
          </w:p>
        </w:tc>
      </w:tr>
      <w:tr>
        <w:trPr>
          <w:trHeight w:val="148"/>
        </w:trPr>
        <w:tc>
          <w:tcPr>
            <w:tcW w:w="81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Controlled, affiliated investments (cost—$189,639,082 and $186,290,695, respectively)</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112,516,291</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125,019,637</w:t>
            </w:r>
          </w:p>
        </w:tc>
      </w:tr>
      <w:tr>
        <w:trPr>
          <w:trHeight w:val="155"/>
        </w:trPr>
        <w:tc>
          <w:tcPr>
            <w:tcW w:w="810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Total of investments (cost—$1,400,462,641 and $1,253,957,146, respectively)</w:t>
            </w: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1,325,543,779</w:t>
            </w:r>
          </w:p>
        </w:tc>
        <w:tc>
          <w:tcPr>
            <w:tcW w:w="5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1,153,679,675</w:t>
            </w:r>
          </w:p>
        </w:tc>
        <w:tc>
          <w:tcPr>
            <w:tcW w:w="100" w:type="dxa"/>
            <w:vAlign w:val="bottom"/>
          </w:tcPr>
          <w:p>
            <w:pPr>
              <w:spacing w:after="0"/>
              <w:rPr>
                <w:sz w:val="13"/>
                <w:szCs w:val="13"/>
                <w:color w:val="auto"/>
              </w:rPr>
            </w:pPr>
          </w:p>
        </w:tc>
      </w:tr>
      <w:tr>
        <w:trPr>
          <w:trHeight w:val="149"/>
        </w:trPr>
        <w:tc>
          <w:tcPr>
            <w:tcW w:w="8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(cost—$45,335,225 and $75,617,133, respectively)</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45,340,576</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75,608,113</w:t>
            </w:r>
          </w:p>
        </w:tc>
      </w:tr>
      <w:tr>
        <w:trPr>
          <w:trHeight w:val="148"/>
        </w:trPr>
        <w:tc>
          <w:tcPr>
            <w:tcW w:w="8100" w:type="dxa"/>
            <w:vAlign w:val="bottom"/>
            <w:gridSpan w:val="2"/>
          </w:tcPr>
          <w:p>
            <w:pPr>
              <w:spacing w:after="0" w:line="149" w:lineRule="exact"/>
              <w:rPr>
                <w:sz w:val="20"/>
                <w:szCs w:val="20"/>
                <w:color w:val="auto"/>
              </w:rPr>
            </w:pPr>
            <w:r>
              <w:rPr>
                <w:rFonts w:ascii="Arial" w:cs="Arial" w:eastAsia="Arial" w:hAnsi="Arial"/>
                <w:sz w:val="14"/>
                <w:szCs w:val="14"/>
                <w:color w:val="auto"/>
              </w:rPr>
              <w:t>Interest receivable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12,749,323</w:t>
            </w:r>
          </w:p>
        </w:tc>
        <w:tc>
          <w:tcPr>
            <w:tcW w:w="22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7,032,858</w:t>
            </w:r>
          </w:p>
        </w:tc>
      </w:tr>
      <w:tr>
        <w:trPr>
          <w:trHeight w:val="148"/>
        </w:trPr>
        <w:tc>
          <w:tcPr>
            <w:tcW w:w="8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Prepaid expenses and other assets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1,978,725</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2,615,232</w:t>
            </w:r>
          </w:p>
        </w:tc>
      </w:tr>
      <w:tr>
        <w:trPr>
          <w:trHeight w:val="163"/>
        </w:trPr>
        <w:tc>
          <w:tcPr>
            <w:tcW w:w="520" w:type="dxa"/>
            <w:vAlign w:val="bottom"/>
          </w:tcPr>
          <w:p>
            <w:pPr>
              <w:spacing w:after="0"/>
              <w:rPr>
                <w:sz w:val="14"/>
                <w:szCs w:val="14"/>
                <w:color w:val="auto"/>
              </w:rPr>
            </w:pPr>
          </w:p>
        </w:tc>
        <w:tc>
          <w:tcPr>
            <w:tcW w:w="758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Total assets</w:t>
            </w: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1,385,612,403</w:t>
            </w:r>
          </w:p>
        </w:tc>
        <w:tc>
          <w:tcPr>
            <w:tcW w:w="5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1,238,935,878</w:t>
            </w:r>
          </w:p>
        </w:tc>
        <w:tc>
          <w:tcPr>
            <w:tcW w:w="100" w:type="dxa"/>
            <w:vAlign w:val="bottom"/>
          </w:tcPr>
          <w:p>
            <w:pPr>
              <w:spacing w:after="0"/>
              <w:rPr>
                <w:sz w:val="14"/>
                <w:szCs w:val="14"/>
                <w:color w:val="auto"/>
              </w:rPr>
            </w:pPr>
          </w:p>
        </w:tc>
      </w:tr>
      <w:tr>
        <w:trPr>
          <w:trHeight w:val="148"/>
        </w:trPr>
        <w:tc>
          <w:tcPr>
            <w:tcW w:w="8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8100" w:type="dxa"/>
            <w:vAlign w:val="bottom"/>
            <w:gridSpan w:val="2"/>
          </w:tcPr>
          <w:p>
            <w:pPr>
              <w:spacing w:after="0" w:line="149" w:lineRule="exact"/>
              <w:rPr>
                <w:sz w:val="20"/>
                <w:szCs w:val="20"/>
                <w:color w:val="auto"/>
              </w:rPr>
            </w:pPr>
            <w:r>
              <w:rPr>
                <w:rFonts w:ascii="Arial" w:cs="Arial" w:eastAsia="Arial" w:hAnsi="Arial"/>
                <w:sz w:val="14"/>
                <w:szCs w:val="14"/>
                <w:color w:val="auto"/>
              </w:rPr>
              <w:t>Distributions payable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19,897,034</w:t>
            </w:r>
          </w:p>
        </w:tc>
        <w:tc>
          <w:tcPr>
            <w:tcW w:w="22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19,897,034</w:t>
            </w:r>
          </w:p>
        </w:tc>
      </w:tr>
      <w:tr>
        <w:trPr>
          <w:trHeight w:val="149"/>
        </w:trPr>
        <w:tc>
          <w:tcPr>
            <w:tcW w:w="8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Payable for investments purchased</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50,399,000</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r>
      <w:tr>
        <w:trPr>
          <w:trHeight w:val="148"/>
        </w:trPr>
        <w:tc>
          <w:tcPr>
            <w:tcW w:w="8100" w:type="dxa"/>
            <w:vAlign w:val="bottom"/>
            <w:gridSpan w:val="2"/>
          </w:tcPr>
          <w:p>
            <w:pPr>
              <w:spacing w:after="0" w:line="149" w:lineRule="exact"/>
              <w:rPr>
                <w:sz w:val="20"/>
                <w:szCs w:val="20"/>
                <w:color w:val="auto"/>
              </w:rPr>
            </w:pPr>
            <w:r>
              <w:rPr>
                <w:rFonts w:ascii="Arial" w:cs="Arial" w:eastAsia="Arial" w:hAnsi="Arial"/>
                <w:sz w:val="14"/>
                <w:szCs w:val="14"/>
                <w:color w:val="auto"/>
              </w:rPr>
              <w:t>Credit Facility payable (cost—$148,118,700 and $50,339,700, respectively) (See Notes 5 and 10)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136,122,503</w:t>
            </w:r>
          </w:p>
        </w:tc>
        <w:tc>
          <w:tcPr>
            <w:tcW w:w="22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39,551,187</w:t>
            </w:r>
          </w:p>
        </w:tc>
      </w:tr>
      <w:tr>
        <w:trPr>
          <w:trHeight w:val="148"/>
        </w:trPr>
        <w:tc>
          <w:tcPr>
            <w:tcW w:w="8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2019 Notes payable (par—$250,000,000) (See Notes 5 and 10)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250,635,000</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254,175,000</w:t>
            </w:r>
          </w:p>
        </w:tc>
      </w:tr>
      <w:tr>
        <w:trPr>
          <w:trHeight w:val="148"/>
        </w:trPr>
        <w:tc>
          <w:tcPr>
            <w:tcW w:w="8100" w:type="dxa"/>
            <w:vAlign w:val="bottom"/>
            <w:gridSpan w:val="2"/>
          </w:tcPr>
          <w:p>
            <w:pPr>
              <w:spacing w:after="0" w:line="149" w:lineRule="exact"/>
              <w:rPr>
                <w:sz w:val="20"/>
                <w:szCs w:val="20"/>
                <w:color w:val="auto"/>
              </w:rPr>
            </w:pPr>
            <w:r>
              <w:rPr>
                <w:rFonts w:ascii="Arial" w:cs="Arial" w:eastAsia="Arial" w:hAnsi="Arial"/>
                <w:sz w:val="14"/>
                <w:szCs w:val="14"/>
                <w:color w:val="auto"/>
              </w:rPr>
              <w:t>SBA debentures payable, net (par—$197,500,000) (See Notes 5 and 10)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193,413,169</w:t>
            </w:r>
          </w:p>
        </w:tc>
        <w:tc>
          <w:tcPr>
            <w:tcW w:w="22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193,244,534</w:t>
            </w:r>
          </w:p>
        </w:tc>
      </w:tr>
      <w:tr>
        <w:trPr>
          <w:trHeight w:val="148"/>
        </w:trPr>
        <w:tc>
          <w:tcPr>
            <w:tcW w:w="8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2025 Notes payable (par—$71,250,000) (See Notes 5 and 10)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71,535,000</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72,618,000</w:t>
            </w:r>
          </w:p>
        </w:tc>
      </w:tr>
      <w:tr>
        <w:trPr>
          <w:trHeight w:val="149"/>
        </w:trPr>
        <w:tc>
          <w:tcPr>
            <w:tcW w:w="8100" w:type="dxa"/>
            <w:vAlign w:val="bottom"/>
            <w:gridSpan w:val="2"/>
          </w:tcPr>
          <w:p>
            <w:pPr>
              <w:spacing w:after="0" w:line="149" w:lineRule="exact"/>
              <w:rPr>
                <w:sz w:val="20"/>
                <w:szCs w:val="20"/>
                <w:color w:val="auto"/>
              </w:rPr>
            </w:pPr>
            <w:r>
              <w:rPr>
                <w:rFonts w:ascii="Arial" w:cs="Arial" w:eastAsia="Arial" w:hAnsi="Arial"/>
                <w:sz w:val="14"/>
                <w:szCs w:val="14"/>
                <w:color w:val="auto"/>
              </w:rPr>
              <w:t>Base management fee payable, net (See Note 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5,270,817</w:t>
            </w:r>
          </w:p>
        </w:tc>
        <w:tc>
          <w:tcPr>
            <w:tcW w:w="22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5,074,830</w:t>
            </w:r>
          </w:p>
        </w:tc>
      </w:tr>
      <w:tr>
        <w:trPr>
          <w:trHeight w:val="148"/>
        </w:trPr>
        <w:tc>
          <w:tcPr>
            <w:tcW w:w="8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Performance-based incentive fee payable, net (See Note 3)</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2,834,336</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2,865,444</w:t>
            </w:r>
          </w:p>
        </w:tc>
      </w:tr>
      <w:tr>
        <w:trPr>
          <w:trHeight w:val="148"/>
        </w:trPr>
        <w:tc>
          <w:tcPr>
            <w:tcW w:w="8100" w:type="dxa"/>
            <w:vAlign w:val="bottom"/>
            <w:gridSpan w:val="2"/>
          </w:tcPr>
          <w:p>
            <w:pPr>
              <w:spacing w:after="0" w:line="149" w:lineRule="exact"/>
              <w:rPr>
                <w:sz w:val="20"/>
                <w:szCs w:val="20"/>
                <w:color w:val="auto"/>
              </w:rPr>
            </w:pPr>
            <w:r>
              <w:rPr>
                <w:rFonts w:ascii="Arial" w:cs="Arial" w:eastAsia="Arial" w:hAnsi="Arial"/>
                <w:sz w:val="14"/>
                <w:szCs w:val="14"/>
                <w:color w:val="auto"/>
              </w:rPr>
              <w:t>Interest payable on debt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6,568,212</w:t>
            </w:r>
          </w:p>
        </w:tc>
        <w:tc>
          <w:tcPr>
            <w:tcW w:w="22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7,520,113</w:t>
            </w:r>
          </w:p>
        </w:tc>
      </w:tr>
      <w:tr>
        <w:trPr>
          <w:trHeight w:val="148"/>
        </w:trPr>
        <w:tc>
          <w:tcPr>
            <w:tcW w:w="8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Accrued other expenses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1,418,383</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622,880</w:t>
            </w:r>
          </w:p>
        </w:tc>
      </w:tr>
      <w:tr>
        <w:trPr>
          <w:trHeight w:val="163"/>
        </w:trPr>
        <w:tc>
          <w:tcPr>
            <w:tcW w:w="520" w:type="dxa"/>
            <w:vAlign w:val="bottom"/>
          </w:tcPr>
          <w:p>
            <w:pPr>
              <w:spacing w:after="0"/>
              <w:rPr>
                <w:sz w:val="14"/>
                <w:szCs w:val="14"/>
                <w:color w:val="auto"/>
              </w:rPr>
            </w:pPr>
          </w:p>
        </w:tc>
        <w:tc>
          <w:tcPr>
            <w:tcW w:w="758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Total liabilities</w:t>
            </w: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738,093,454</w:t>
            </w:r>
          </w:p>
        </w:tc>
        <w:tc>
          <w:tcPr>
            <w:tcW w:w="5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595,569,022</w:t>
            </w:r>
          </w:p>
        </w:tc>
        <w:tc>
          <w:tcPr>
            <w:tcW w:w="100" w:type="dxa"/>
            <w:vAlign w:val="bottom"/>
          </w:tcPr>
          <w:p>
            <w:pPr>
              <w:spacing w:after="0"/>
              <w:rPr>
                <w:sz w:val="14"/>
                <w:szCs w:val="14"/>
                <w:color w:val="auto"/>
              </w:rPr>
            </w:pPr>
          </w:p>
        </w:tc>
      </w:tr>
      <w:tr>
        <w:trPr>
          <w:trHeight w:val="148"/>
        </w:trPr>
        <w:tc>
          <w:tcPr>
            <w:tcW w:w="8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 (See Note 11)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8"/>
        </w:trPr>
        <w:tc>
          <w:tcPr>
            <w:tcW w:w="81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assets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0"/>
        </w:trPr>
        <w:tc>
          <w:tcPr>
            <w:tcW w:w="81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Common stock, 71,060,836 shares issued and outstanding, respectively</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67"/>
        </w:trPr>
        <w:tc>
          <w:tcPr>
            <w:tcW w:w="810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Par value $0.001 per share and 100,000,000 shares authorized</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40" w:type="dxa"/>
            <w:vAlign w:val="bottom"/>
            <w:gridSpan w:val="2"/>
            <w:shd w:val="clear" w:color="auto" w:fill="CCEEFF"/>
          </w:tcPr>
          <w:p>
            <w:pPr>
              <w:jc w:val="right"/>
              <w:ind w:right="520"/>
              <w:spacing w:after="0"/>
              <w:rPr>
                <w:sz w:val="20"/>
                <w:szCs w:val="20"/>
                <w:color w:val="auto"/>
              </w:rPr>
            </w:pPr>
            <w:r>
              <w:rPr>
                <w:rFonts w:ascii="Arial" w:cs="Arial" w:eastAsia="Arial" w:hAnsi="Arial"/>
                <w:sz w:val="14"/>
                <w:szCs w:val="14"/>
                <w:color w:val="auto"/>
              </w:rPr>
              <w:t>71,061</w:t>
            </w:r>
          </w:p>
        </w:tc>
        <w:tc>
          <w:tcPr>
            <w:tcW w:w="2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71,061</w:t>
            </w:r>
          </w:p>
        </w:tc>
      </w:tr>
      <w:tr>
        <w:trPr>
          <w:trHeight w:val="148"/>
        </w:trPr>
        <w:tc>
          <w:tcPr>
            <w:tcW w:w="8100" w:type="dxa"/>
            <w:vAlign w:val="bottom"/>
            <w:gridSpan w:val="2"/>
          </w:tcPr>
          <w:p>
            <w:pPr>
              <w:spacing w:after="0" w:line="149" w:lineRule="exact"/>
              <w:rPr>
                <w:sz w:val="20"/>
                <w:szCs w:val="20"/>
                <w:color w:val="auto"/>
              </w:rPr>
            </w:pPr>
            <w:r>
              <w:rPr>
                <w:rFonts w:ascii="Arial" w:cs="Arial" w:eastAsia="Arial" w:hAnsi="Arial"/>
                <w:sz w:val="14"/>
                <w:szCs w:val="14"/>
                <w:color w:val="auto"/>
              </w:rPr>
              <w:t>Paid-in capital in excess of par value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819,983,676</w:t>
            </w:r>
          </w:p>
        </w:tc>
        <w:tc>
          <w:tcPr>
            <w:tcW w:w="22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819,983,676</w:t>
            </w:r>
          </w:p>
        </w:tc>
      </w:tr>
      <w:tr>
        <w:trPr>
          <w:trHeight w:val="148"/>
        </w:trPr>
        <w:tc>
          <w:tcPr>
            <w:tcW w:w="8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(Distributions in excess of) undistributed net investment income</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(1,736,977)</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3,119,380</w:t>
            </w:r>
          </w:p>
        </w:tc>
      </w:tr>
      <w:tr>
        <w:trPr>
          <w:trHeight w:val="149"/>
        </w:trPr>
        <w:tc>
          <w:tcPr>
            <w:tcW w:w="8100" w:type="dxa"/>
            <w:vAlign w:val="bottom"/>
            <w:gridSpan w:val="2"/>
          </w:tcPr>
          <w:p>
            <w:pPr>
              <w:spacing w:after="0" w:line="149" w:lineRule="exact"/>
              <w:rPr>
                <w:sz w:val="20"/>
                <w:szCs w:val="20"/>
                <w:color w:val="auto"/>
              </w:rPr>
            </w:pPr>
            <w:r>
              <w:rPr>
                <w:rFonts w:ascii="Arial" w:cs="Arial" w:eastAsia="Arial" w:hAnsi="Arial"/>
                <w:sz w:val="14"/>
                <w:szCs w:val="14"/>
                <w:color w:val="auto"/>
              </w:rPr>
              <w:t>Accumulated net realized loss on investments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(106,967,154)</w:t>
            </w:r>
          </w:p>
        </w:tc>
        <w:tc>
          <w:tcPr>
            <w:tcW w:w="220" w:type="dxa"/>
            <w:vAlign w:val="bottom"/>
          </w:tcPr>
          <w:p>
            <w:pPr>
              <w:spacing w:after="0"/>
              <w:rPr>
                <w:sz w:val="12"/>
                <w:szCs w:val="12"/>
                <w:color w:val="auto"/>
              </w:rPr>
            </w:pPr>
          </w:p>
        </w:tc>
        <w:tc>
          <w:tcPr>
            <w:tcW w:w="10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(84,771,820)</w:t>
            </w:r>
          </w:p>
        </w:tc>
      </w:tr>
      <w:tr>
        <w:trPr>
          <w:trHeight w:val="148"/>
        </w:trPr>
        <w:tc>
          <w:tcPr>
            <w:tcW w:w="8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unrealized depreciation on investments</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4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(74,907,854)</w:t>
            </w:r>
          </w:p>
        </w:tc>
        <w:tc>
          <w:tcPr>
            <w:tcW w:w="22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(100,280,954)</w:t>
            </w:r>
          </w:p>
        </w:tc>
      </w:tr>
      <w:tr>
        <w:trPr>
          <w:trHeight w:val="148"/>
        </w:trPr>
        <w:tc>
          <w:tcPr>
            <w:tcW w:w="8100" w:type="dxa"/>
            <w:vAlign w:val="bottom"/>
            <w:gridSpan w:val="2"/>
          </w:tcPr>
          <w:p>
            <w:pPr>
              <w:spacing w:after="0" w:line="149" w:lineRule="exact"/>
              <w:rPr>
                <w:sz w:val="20"/>
                <w:szCs w:val="20"/>
                <w:color w:val="auto"/>
              </w:rPr>
            </w:pPr>
            <w:r>
              <w:rPr>
                <w:rFonts w:ascii="Arial" w:cs="Arial" w:eastAsia="Arial" w:hAnsi="Arial"/>
                <w:sz w:val="14"/>
                <w:szCs w:val="14"/>
                <w:color w:val="auto"/>
              </w:rPr>
              <w:t>Net unrealized depreciation on debt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11,076,197</w:t>
            </w: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5,245,513</w:t>
            </w:r>
          </w:p>
        </w:tc>
      </w:tr>
      <w:tr>
        <w:trPr>
          <w:trHeight w:val="27"/>
        </w:trPr>
        <w:tc>
          <w:tcPr>
            <w:tcW w:w="520" w:type="dxa"/>
            <w:vAlign w:val="bottom"/>
          </w:tcPr>
          <w:p>
            <w:pPr>
              <w:spacing w:after="0"/>
              <w:rPr>
                <w:sz w:val="2"/>
                <w:szCs w:val="2"/>
                <w:color w:val="auto"/>
              </w:rPr>
            </w:pPr>
          </w:p>
        </w:tc>
        <w:tc>
          <w:tcPr>
            <w:tcW w:w="7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149"/>
        </w:trPr>
        <w:tc>
          <w:tcPr>
            <w:tcW w:w="520" w:type="dxa"/>
            <w:vAlign w:val="bottom"/>
            <w:shd w:val="clear" w:color="auto" w:fill="CCEEFF"/>
          </w:tcPr>
          <w:p>
            <w:pPr>
              <w:spacing w:after="0"/>
              <w:rPr>
                <w:sz w:val="12"/>
                <w:szCs w:val="12"/>
                <w:color w:val="auto"/>
              </w:rPr>
            </w:pPr>
          </w:p>
        </w:tc>
        <w:tc>
          <w:tcPr>
            <w:tcW w:w="75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b w:val="1"/>
                <w:bCs w:val="1"/>
                <w:color w:val="auto"/>
              </w:rPr>
              <w:t>Total net assets</w:t>
            </w:r>
          </w:p>
        </w:tc>
        <w:tc>
          <w:tcPr>
            <w:tcW w:w="3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647,518,949</w:t>
            </w: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643,366,856</w:t>
            </w:r>
          </w:p>
        </w:tc>
      </w:tr>
      <w:tr>
        <w:trPr>
          <w:trHeight w:val="155"/>
        </w:trPr>
        <w:tc>
          <w:tcPr>
            <w:tcW w:w="520" w:type="dxa"/>
            <w:vAlign w:val="bottom"/>
          </w:tcPr>
          <w:p>
            <w:pPr>
              <w:spacing w:after="0"/>
              <w:rPr>
                <w:sz w:val="13"/>
                <w:szCs w:val="13"/>
                <w:color w:val="auto"/>
              </w:rPr>
            </w:pPr>
          </w:p>
        </w:tc>
        <w:tc>
          <w:tcPr>
            <w:tcW w:w="758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Total liabilities and net assets</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1,385,612,403</w:t>
            </w:r>
          </w:p>
        </w:tc>
        <w:tc>
          <w:tcPr>
            <w:tcW w:w="5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1,238,935,878</w:t>
            </w:r>
          </w:p>
        </w:tc>
        <w:tc>
          <w:tcPr>
            <w:tcW w:w="100" w:type="dxa"/>
            <w:vAlign w:val="bottom"/>
          </w:tcPr>
          <w:p>
            <w:pPr>
              <w:spacing w:after="0"/>
              <w:rPr>
                <w:sz w:val="13"/>
                <w:szCs w:val="13"/>
                <w:color w:val="auto"/>
              </w:rPr>
            </w:pPr>
          </w:p>
        </w:tc>
      </w:tr>
      <w:tr>
        <w:trPr>
          <w:trHeight w:val="20"/>
        </w:trPr>
        <w:tc>
          <w:tcPr>
            <w:tcW w:w="5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810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Net asset value per share</w:t>
            </w:r>
          </w:p>
        </w:tc>
        <w:tc>
          <w:tcPr>
            <w:tcW w:w="300" w:type="dxa"/>
            <w:vAlign w:val="bottom"/>
            <w:gridSpan w:val="2"/>
            <w:shd w:val="clear" w:color="auto" w:fill="CCEEFF"/>
          </w:tcPr>
          <w:p>
            <w:pPr>
              <w:ind w:left="160"/>
              <w:spacing w:after="0" w:line="143" w:lineRule="exact"/>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ind w:right="520"/>
              <w:spacing w:after="0" w:line="143" w:lineRule="exact"/>
              <w:rPr>
                <w:sz w:val="20"/>
                <w:szCs w:val="20"/>
                <w:color w:val="auto"/>
              </w:rPr>
            </w:pPr>
            <w:r>
              <w:rPr>
                <w:rFonts w:ascii="Arial" w:cs="Arial" w:eastAsia="Arial" w:hAnsi="Arial"/>
                <w:sz w:val="14"/>
                <w:szCs w:val="14"/>
                <w:color w:val="auto"/>
              </w:rPr>
              <w:t>9.11</w:t>
            </w:r>
          </w:p>
        </w:tc>
        <w:tc>
          <w:tcPr>
            <w:tcW w:w="2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9.05</w:t>
            </w:r>
          </w:p>
        </w:tc>
      </w:tr>
      <w:tr>
        <w:trPr>
          <w:trHeight w:val="20"/>
        </w:trPr>
        <w:tc>
          <w:tcPr>
            <w:tcW w:w="52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240"/>
          </w:cols>
          <w:pgMar w:left="32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OPERATIONS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36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2"/>
              </w:rPr>
              <w:t>Three Months Ended December 31,</w:t>
            </w:r>
          </w:p>
        </w:tc>
        <w:tc>
          <w:tcPr>
            <w:tcW w:w="0" w:type="dxa"/>
            <w:vAlign w:val="bottom"/>
          </w:tcPr>
          <w:p>
            <w:pPr>
              <w:spacing w:after="0"/>
              <w:rPr>
                <w:sz w:val="1"/>
                <w:szCs w:val="1"/>
                <w:color w:val="auto"/>
              </w:rPr>
            </w:pPr>
          </w:p>
        </w:tc>
      </w:tr>
      <w:tr>
        <w:trPr>
          <w:trHeight w:val="142"/>
        </w:trPr>
        <w:tc>
          <w:tcPr>
            <w:tcW w:w="88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8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Investment income:</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800" w:type="dxa"/>
            <w:vAlign w:val="bottom"/>
          </w:tcPr>
          <w:p>
            <w:pPr>
              <w:spacing w:after="0" w:line="149" w:lineRule="exact"/>
              <w:rPr>
                <w:sz w:val="20"/>
                <w:szCs w:val="20"/>
                <w:color w:val="auto"/>
              </w:rPr>
            </w:pPr>
            <w:r>
              <w:rPr>
                <w:rFonts w:ascii="Arial" w:cs="Arial" w:eastAsia="Arial" w:hAnsi="Arial"/>
                <w:sz w:val="14"/>
                <w:szCs w:val="14"/>
                <w:color w:val="auto"/>
              </w:rPr>
              <w:t>From non-controlled, non-affiliated investments: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Interest</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21,872,130</w:t>
            </w:r>
          </w:p>
        </w:tc>
        <w:tc>
          <w:tcPr>
            <w:tcW w:w="1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28,218,030</w:t>
            </w:r>
          </w:p>
        </w:tc>
        <w:tc>
          <w:tcPr>
            <w:tcW w:w="0" w:type="dxa"/>
            <w:vAlign w:val="bottom"/>
          </w:tcPr>
          <w:p>
            <w:pPr>
              <w:spacing w:after="0"/>
              <w:rPr>
                <w:sz w:val="1"/>
                <w:szCs w:val="1"/>
                <w:color w:val="auto"/>
              </w:rPr>
            </w:pPr>
          </w:p>
        </w:tc>
      </w:tr>
      <w:tr>
        <w:trPr>
          <w:trHeight w:val="148"/>
        </w:trPr>
        <w:tc>
          <w:tcPr>
            <w:tcW w:w="8800" w:type="dxa"/>
            <w:vAlign w:val="bottom"/>
          </w:tcPr>
          <w:p>
            <w:pPr>
              <w:ind w:left="300"/>
              <w:spacing w:after="0" w:line="149" w:lineRule="exact"/>
              <w:rPr>
                <w:sz w:val="20"/>
                <w:szCs w:val="20"/>
                <w:color w:val="auto"/>
              </w:rPr>
            </w:pPr>
            <w:r>
              <w:rPr>
                <w:rFonts w:ascii="Arial" w:cs="Arial" w:eastAsia="Arial" w:hAnsi="Arial"/>
                <w:sz w:val="14"/>
                <w:szCs w:val="14"/>
                <w:color w:val="auto"/>
              </w:rPr>
              <w:t>Other income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2,102,536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1,667,653</w:t>
            </w:r>
          </w:p>
        </w:tc>
        <w:tc>
          <w:tcPr>
            <w:tcW w:w="0" w:type="dxa"/>
            <w:vAlign w:val="bottom"/>
          </w:tcPr>
          <w:p>
            <w:pPr>
              <w:spacing w:after="0"/>
              <w:rPr>
                <w:sz w:val="1"/>
                <w:szCs w:val="1"/>
                <w:color w:val="auto"/>
              </w:rPr>
            </w:pPr>
          </w:p>
        </w:tc>
      </w:tr>
      <w:tr>
        <w:trPr>
          <w:trHeight w:val="149"/>
        </w:trPr>
        <w:tc>
          <w:tcPr>
            <w:tcW w:w="8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From non-controlled, affiliated investments: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0" w:type="dxa"/>
            <w:vAlign w:val="bottom"/>
          </w:tcPr>
          <w:p>
            <w:pPr>
              <w:ind w:left="300"/>
              <w:spacing w:after="0" w:line="149" w:lineRule="exact"/>
              <w:rPr>
                <w:sz w:val="20"/>
                <w:szCs w:val="20"/>
                <w:color w:val="auto"/>
              </w:rPr>
            </w:pPr>
            <w:r>
              <w:rPr>
                <w:rFonts w:ascii="Arial" w:cs="Arial" w:eastAsia="Arial" w:hAnsi="Arial"/>
                <w:sz w:val="14"/>
                <w:szCs w:val="14"/>
                <w:color w:val="auto"/>
              </w:rPr>
              <w:t>Interest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4,225,681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2,180,576</w:t>
            </w:r>
          </w:p>
        </w:tc>
        <w:tc>
          <w:tcPr>
            <w:tcW w:w="0" w:type="dxa"/>
            <w:vAlign w:val="bottom"/>
          </w:tcPr>
          <w:p>
            <w:pPr>
              <w:spacing w:after="0"/>
              <w:rPr>
                <w:sz w:val="1"/>
                <w:szCs w:val="1"/>
                <w:color w:val="auto"/>
              </w:rPr>
            </w:pPr>
          </w:p>
        </w:tc>
      </w:tr>
      <w:tr>
        <w:trPr>
          <w:trHeight w:val="148"/>
        </w:trPr>
        <w:tc>
          <w:tcPr>
            <w:tcW w:w="88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Other income</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22,500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8800" w:type="dxa"/>
            <w:vAlign w:val="bottom"/>
          </w:tcPr>
          <w:p>
            <w:pPr>
              <w:spacing w:after="0" w:line="149" w:lineRule="exact"/>
              <w:rPr>
                <w:sz w:val="20"/>
                <w:szCs w:val="20"/>
                <w:color w:val="auto"/>
              </w:rPr>
            </w:pPr>
            <w:r>
              <w:rPr>
                <w:rFonts w:ascii="Arial" w:cs="Arial" w:eastAsia="Arial" w:hAnsi="Arial"/>
                <w:sz w:val="14"/>
                <w:szCs w:val="14"/>
                <w:color w:val="auto"/>
              </w:rPr>
              <w:t>From controlled, affiliated investments: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Interest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3,646,064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3,197,033</w:t>
            </w:r>
          </w:p>
        </w:tc>
        <w:tc>
          <w:tcPr>
            <w:tcW w:w="0" w:type="dxa"/>
            <w:vAlign w:val="bottom"/>
          </w:tcPr>
          <w:p>
            <w:pPr>
              <w:spacing w:after="0"/>
              <w:rPr>
                <w:sz w:val="1"/>
                <w:szCs w:val="1"/>
                <w:color w:val="auto"/>
              </w:rPr>
            </w:pPr>
          </w:p>
        </w:tc>
      </w:tr>
      <w:tr>
        <w:trPr>
          <w:trHeight w:val="163"/>
        </w:trPr>
        <w:tc>
          <w:tcPr>
            <w:tcW w:w="880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31,868,911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35,263,292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8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Expenses: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0" w:type="dxa"/>
            <w:vAlign w:val="bottom"/>
          </w:tcPr>
          <w:p>
            <w:pPr>
              <w:ind w:left="300"/>
              <w:spacing w:after="0" w:line="149" w:lineRule="exact"/>
              <w:rPr>
                <w:sz w:val="20"/>
                <w:szCs w:val="20"/>
                <w:color w:val="auto"/>
              </w:rPr>
            </w:pPr>
            <w:r>
              <w:rPr>
                <w:rFonts w:ascii="Arial" w:cs="Arial" w:eastAsia="Arial" w:hAnsi="Arial"/>
                <w:sz w:val="14"/>
                <w:szCs w:val="14"/>
                <w:color w:val="auto"/>
              </w:rPr>
              <w:t>Base management fee (See Note 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6,274,782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6,505,780</w:t>
            </w:r>
          </w:p>
        </w:tc>
        <w:tc>
          <w:tcPr>
            <w:tcW w:w="0" w:type="dxa"/>
            <w:vAlign w:val="bottom"/>
          </w:tcPr>
          <w:p>
            <w:pPr>
              <w:spacing w:after="0"/>
              <w:rPr>
                <w:sz w:val="1"/>
                <w:szCs w:val="1"/>
                <w:color w:val="auto"/>
              </w:rPr>
            </w:pPr>
          </w:p>
        </w:tc>
      </w:tr>
      <w:tr>
        <w:trPr>
          <w:trHeight w:val="148"/>
        </w:trPr>
        <w:tc>
          <w:tcPr>
            <w:tcW w:w="88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Performance-based incentive fee (See Note 3)</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3,374,210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3,795,782</w:t>
            </w:r>
          </w:p>
        </w:tc>
        <w:tc>
          <w:tcPr>
            <w:tcW w:w="0" w:type="dxa"/>
            <w:vAlign w:val="bottom"/>
          </w:tcPr>
          <w:p>
            <w:pPr>
              <w:spacing w:after="0"/>
              <w:rPr>
                <w:sz w:val="1"/>
                <w:szCs w:val="1"/>
                <w:color w:val="auto"/>
              </w:rPr>
            </w:pPr>
          </w:p>
        </w:tc>
      </w:tr>
      <w:tr>
        <w:trPr>
          <w:trHeight w:val="148"/>
        </w:trPr>
        <w:tc>
          <w:tcPr>
            <w:tcW w:w="8800" w:type="dxa"/>
            <w:vAlign w:val="bottom"/>
          </w:tcPr>
          <w:p>
            <w:pPr>
              <w:ind w:left="300"/>
              <w:spacing w:after="0" w:line="149" w:lineRule="exact"/>
              <w:rPr>
                <w:sz w:val="20"/>
                <w:szCs w:val="20"/>
                <w:color w:val="auto"/>
              </w:rPr>
            </w:pPr>
            <w:r>
              <w:rPr>
                <w:rFonts w:ascii="Arial" w:cs="Arial" w:eastAsia="Arial" w:hAnsi="Arial"/>
                <w:sz w:val="14"/>
                <w:szCs w:val="14"/>
                <w:color w:val="auto"/>
              </w:rPr>
              <w:t>Interest and expenses on debt (See Note 10)</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6,735,574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6,726,325</w:t>
            </w:r>
          </w:p>
        </w:tc>
        <w:tc>
          <w:tcPr>
            <w:tcW w:w="0" w:type="dxa"/>
            <w:vAlign w:val="bottom"/>
          </w:tcPr>
          <w:p>
            <w:pPr>
              <w:spacing w:after="0"/>
              <w:rPr>
                <w:sz w:val="1"/>
                <w:szCs w:val="1"/>
                <w:color w:val="auto"/>
              </w:rPr>
            </w:pPr>
          </w:p>
        </w:tc>
      </w:tr>
      <w:tr>
        <w:trPr>
          <w:trHeight w:val="148"/>
        </w:trPr>
        <w:tc>
          <w:tcPr>
            <w:tcW w:w="88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Administrative services expenses (See Note 3)</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894,000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867,500</w:t>
            </w:r>
          </w:p>
        </w:tc>
        <w:tc>
          <w:tcPr>
            <w:tcW w:w="0" w:type="dxa"/>
            <w:vAlign w:val="bottom"/>
          </w:tcPr>
          <w:p>
            <w:pPr>
              <w:spacing w:after="0"/>
              <w:rPr>
                <w:sz w:val="1"/>
                <w:szCs w:val="1"/>
                <w:color w:val="auto"/>
              </w:rPr>
            </w:pPr>
          </w:p>
        </w:tc>
      </w:tr>
      <w:tr>
        <w:trPr>
          <w:trHeight w:val="148"/>
        </w:trPr>
        <w:tc>
          <w:tcPr>
            <w:tcW w:w="8800" w:type="dxa"/>
            <w:vAlign w:val="bottom"/>
          </w:tcPr>
          <w:p>
            <w:pPr>
              <w:ind w:left="300"/>
              <w:spacing w:after="0" w:line="149" w:lineRule="exact"/>
              <w:rPr>
                <w:sz w:val="20"/>
                <w:szCs w:val="20"/>
                <w:color w:val="auto"/>
              </w:rPr>
            </w:pPr>
            <w:r>
              <w:rPr>
                <w:rFonts w:ascii="Arial" w:cs="Arial" w:eastAsia="Arial" w:hAnsi="Arial"/>
                <w:sz w:val="14"/>
                <w:szCs w:val="14"/>
                <w:color w:val="auto"/>
              </w:rPr>
              <w:t>Other general and administrative expenses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668,507</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884,629</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8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Expenses before Management Fees waiver and provision for taxes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17,947,073</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18,780,016</w:t>
            </w:r>
          </w:p>
        </w:tc>
        <w:tc>
          <w:tcPr>
            <w:tcW w:w="0" w:type="dxa"/>
            <w:vAlign w:val="bottom"/>
          </w:tcPr>
          <w:p>
            <w:pPr>
              <w:spacing w:after="0"/>
              <w:rPr>
                <w:sz w:val="1"/>
                <w:szCs w:val="1"/>
                <w:color w:val="auto"/>
              </w:rPr>
            </w:pPr>
          </w:p>
        </w:tc>
      </w:tr>
      <w:tr>
        <w:trPr>
          <w:trHeight w:val="156"/>
        </w:trPr>
        <w:tc>
          <w:tcPr>
            <w:tcW w:w="8800" w:type="dxa"/>
            <w:vAlign w:val="bottom"/>
          </w:tcPr>
          <w:p>
            <w:pPr>
              <w:ind w:left="300"/>
              <w:spacing w:after="0" w:line="155" w:lineRule="exact"/>
              <w:rPr>
                <w:sz w:val="20"/>
                <w:szCs w:val="20"/>
                <w:color w:val="auto"/>
              </w:rPr>
            </w:pPr>
            <w:r>
              <w:rPr>
                <w:rFonts w:ascii="Arial" w:cs="Arial" w:eastAsia="Arial" w:hAnsi="Arial"/>
                <w:sz w:val="14"/>
                <w:szCs w:val="14"/>
                <w:color w:val="auto"/>
              </w:rPr>
              <w:t>Management Fees waiver (See Note 3)</w:t>
            </w:r>
          </w:p>
        </w:tc>
        <w:tc>
          <w:tcPr>
            <w:tcW w:w="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(1,543,839)</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(1,648,254)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8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Provision for taxes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425,000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1,300,000</w:t>
            </w:r>
          </w:p>
        </w:tc>
        <w:tc>
          <w:tcPr>
            <w:tcW w:w="0" w:type="dxa"/>
            <w:vAlign w:val="bottom"/>
          </w:tcPr>
          <w:p>
            <w:pPr>
              <w:spacing w:after="0"/>
              <w:rPr>
                <w:sz w:val="1"/>
                <w:szCs w:val="1"/>
                <w:color w:val="auto"/>
              </w:rPr>
            </w:pPr>
          </w:p>
        </w:tc>
      </w:tr>
      <w:tr>
        <w:trPr>
          <w:trHeight w:val="163"/>
        </w:trPr>
        <w:tc>
          <w:tcPr>
            <w:tcW w:w="880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Net expenses</w:t>
            </w:r>
          </w:p>
        </w:tc>
        <w:tc>
          <w:tcPr>
            <w:tcW w:w="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16,828,234</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18,431,762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8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b w:val="1"/>
                <w:bCs w:val="1"/>
                <w:color w:val="auto"/>
              </w:rPr>
              <w:t>Net investment income</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15,040,677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16,831,530</w:t>
            </w:r>
          </w:p>
        </w:tc>
        <w:tc>
          <w:tcPr>
            <w:tcW w:w="0" w:type="dxa"/>
            <w:vAlign w:val="bottom"/>
          </w:tcPr>
          <w:p>
            <w:pPr>
              <w:spacing w:after="0"/>
              <w:rPr>
                <w:sz w:val="1"/>
                <w:szCs w:val="1"/>
                <w:color w:val="auto"/>
              </w:rPr>
            </w:pPr>
          </w:p>
        </w:tc>
      </w:tr>
      <w:tr>
        <w:trPr>
          <w:trHeight w:val="156"/>
        </w:trPr>
        <w:tc>
          <w:tcPr>
            <w:tcW w:w="8800" w:type="dxa"/>
            <w:vAlign w:val="bottom"/>
          </w:tcPr>
          <w:p>
            <w:pPr>
              <w:spacing w:after="0" w:line="155" w:lineRule="exact"/>
              <w:rPr>
                <w:sz w:val="20"/>
                <w:szCs w:val="20"/>
                <w:color w:val="auto"/>
              </w:rPr>
            </w:pPr>
            <w:r>
              <w:rPr>
                <w:rFonts w:ascii="Arial" w:cs="Arial" w:eastAsia="Arial" w:hAnsi="Arial"/>
                <w:sz w:val="14"/>
                <w:szCs w:val="14"/>
                <w:b w:val="1"/>
                <w:bCs w:val="1"/>
                <w:color w:val="auto"/>
              </w:rPr>
              <w:t>Realized and unrealized gain (loss) on investments and debt:</w:t>
            </w:r>
          </w:p>
        </w:tc>
        <w:tc>
          <w:tcPr>
            <w:tcW w:w="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8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realized loss on investments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(22,195,334)</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(25,374,963)</w:t>
            </w:r>
          </w:p>
        </w:tc>
        <w:tc>
          <w:tcPr>
            <w:tcW w:w="0" w:type="dxa"/>
            <w:vAlign w:val="bottom"/>
          </w:tcPr>
          <w:p>
            <w:pPr>
              <w:spacing w:after="0"/>
              <w:rPr>
                <w:sz w:val="1"/>
                <w:szCs w:val="1"/>
                <w:color w:val="auto"/>
              </w:rPr>
            </w:pPr>
          </w:p>
        </w:tc>
      </w:tr>
      <w:tr>
        <w:trPr>
          <w:trHeight w:val="148"/>
        </w:trPr>
        <w:tc>
          <w:tcPr>
            <w:tcW w:w="8800" w:type="dxa"/>
            <w:vAlign w:val="bottom"/>
          </w:tcPr>
          <w:p>
            <w:pPr>
              <w:spacing w:after="0" w:line="149" w:lineRule="exact"/>
              <w:rPr>
                <w:sz w:val="20"/>
                <w:szCs w:val="20"/>
                <w:color w:val="auto"/>
              </w:rPr>
            </w:pPr>
            <w:r>
              <w:rPr>
                <w:rFonts w:ascii="Arial" w:cs="Arial" w:eastAsia="Arial" w:hAnsi="Arial"/>
                <w:sz w:val="14"/>
                <w:szCs w:val="14"/>
                <w:color w:val="auto"/>
              </w:rPr>
              <w:t>Net change in unrealized appreciation (depreciation) on: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Non-controlled, non-affiliated investments</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19,636,201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(16,742,815)</w:t>
            </w:r>
          </w:p>
        </w:tc>
        <w:tc>
          <w:tcPr>
            <w:tcW w:w="0" w:type="dxa"/>
            <w:vAlign w:val="bottom"/>
          </w:tcPr>
          <w:p>
            <w:pPr>
              <w:spacing w:after="0"/>
              <w:rPr>
                <w:sz w:val="1"/>
                <w:szCs w:val="1"/>
                <w:color w:val="auto"/>
              </w:rPr>
            </w:pPr>
          </w:p>
        </w:tc>
      </w:tr>
      <w:tr>
        <w:trPr>
          <w:trHeight w:val="148"/>
        </w:trPr>
        <w:tc>
          <w:tcPr>
            <w:tcW w:w="8800" w:type="dxa"/>
            <w:vAlign w:val="bottom"/>
          </w:tcPr>
          <w:p>
            <w:pPr>
              <w:ind w:left="300"/>
              <w:spacing w:after="0" w:line="149" w:lineRule="exact"/>
              <w:rPr>
                <w:sz w:val="20"/>
                <w:szCs w:val="20"/>
                <w:color w:val="auto"/>
              </w:rPr>
            </w:pPr>
            <w:r>
              <w:rPr>
                <w:rFonts w:ascii="Arial" w:cs="Arial" w:eastAsia="Arial" w:hAnsi="Arial"/>
                <w:sz w:val="14"/>
                <w:szCs w:val="14"/>
                <w:color w:val="auto"/>
              </w:rPr>
              <w:t>Non-controlled and controlled, affiliated investments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5,736,899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(23,129,710)</w:t>
            </w:r>
          </w:p>
        </w:tc>
        <w:tc>
          <w:tcPr>
            <w:tcW w:w="0" w:type="dxa"/>
            <w:vAlign w:val="bottom"/>
          </w:tcPr>
          <w:p>
            <w:pPr>
              <w:spacing w:after="0"/>
              <w:rPr>
                <w:sz w:val="1"/>
                <w:szCs w:val="1"/>
                <w:color w:val="auto"/>
              </w:rPr>
            </w:pPr>
          </w:p>
        </w:tc>
      </w:tr>
      <w:tr>
        <w:trPr>
          <w:trHeight w:val="148"/>
        </w:trPr>
        <w:tc>
          <w:tcPr>
            <w:tcW w:w="88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Debt depreciation (See Notes 5 and 10)</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5,830,684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7,660,775</w:t>
            </w:r>
          </w:p>
        </w:tc>
        <w:tc>
          <w:tcPr>
            <w:tcW w:w="0" w:type="dxa"/>
            <w:vAlign w:val="bottom"/>
          </w:tcPr>
          <w:p>
            <w:pPr>
              <w:spacing w:after="0"/>
              <w:rPr>
                <w:sz w:val="1"/>
                <w:szCs w:val="1"/>
                <w:color w:val="auto"/>
              </w:rPr>
            </w:pPr>
          </w:p>
        </w:tc>
      </w:tr>
      <w:tr>
        <w:trPr>
          <w:trHeight w:val="163"/>
        </w:trPr>
        <w:tc>
          <w:tcPr>
            <w:tcW w:w="880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Net change in unrealized appreciation (depreciation) on investments and debt</w:t>
            </w:r>
          </w:p>
        </w:tc>
        <w:tc>
          <w:tcPr>
            <w:tcW w:w="20" w:type="dxa"/>
            <w:vAlign w:val="bottom"/>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31,203,784</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(32,211,750)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8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realized and unrealized gain (loss) from investments and debt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9,008,450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(57,586,713)</w:t>
            </w:r>
          </w:p>
        </w:tc>
        <w:tc>
          <w:tcPr>
            <w:tcW w:w="0" w:type="dxa"/>
            <w:vAlign w:val="bottom"/>
          </w:tcPr>
          <w:p>
            <w:pPr>
              <w:spacing w:after="0"/>
              <w:rPr>
                <w:sz w:val="1"/>
                <w:szCs w:val="1"/>
                <w:color w:val="auto"/>
              </w:rPr>
            </w:pPr>
          </w:p>
        </w:tc>
      </w:tr>
      <w:tr>
        <w:trPr>
          <w:trHeight w:val="155"/>
        </w:trPr>
        <w:tc>
          <w:tcPr>
            <w:tcW w:w="8800" w:type="dxa"/>
            <w:vAlign w:val="bottom"/>
          </w:tcPr>
          <w:p>
            <w:pPr>
              <w:spacing w:after="0" w:line="155" w:lineRule="exact"/>
              <w:rPr>
                <w:sz w:val="20"/>
                <w:szCs w:val="20"/>
                <w:color w:val="auto"/>
              </w:rPr>
            </w:pPr>
            <w:r>
              <w:rPr>
                <w:rFonts w:ascii="Arial" w:cs="Arial" w:eastAsia="Arial" w:hAnsi="Arial"/>
                <w:sz w:val="14"/>
                <w:szCs w:val="14"/>
                <w:b w:val="1"/>
                <w:bCs w:val="1"/>
                <w:color w:val="auto"/>
              </w:rPr>
              <w:t>Net increase (decrease) in net assets resulting from operations</w:t>
            </w:r>
          </w:p>
        </w:tc>
        <w:tc>
          <w:tcPr>
            <w:tcW w:w="2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24,049,127</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(40,755,183)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80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Net increase (decrease) in net assets resulting from operations per common share (See Note 7)</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0.34</w:t>
            </w:r>
          </w:p>
        </w:tc>
        <w:tc>
          <w:tcPr>
            <w:tcW w:w="160" w:type="dxa"/>
            <w:vAlign w:val="bottom"/>
            <w:shd w:val="clear" w:color="auto" w:fill="CCEEFF"/>
          </w:tcPr>
          <w:p>
            <w:pPr>
              <w:spacing w:after="0"/>
              <w:rPr>
                <w:sz w:val="12"/>
                <w:szCs w:val="12"/>
                <w:color w:val="auto"/>
              </w:rPr>
            </w:pPr>
          </w:p>
        </w:tc>
        <w:tc>
          <w:tcPr>
            <w:tcW w:w="340" w:type="dxa"/>
            <w:vAlign w:val="bottom"/>
            <w:gridSpan w:val="2"/>
            <w:shd w:val="clear" w:color="auto" w:fill="CCEEFF"/>
          </w:tcPr>
          <w:p>
            <w:pPr>
              <w:jc w:val="right"/>
              <w:ind w:right="48"/>
              <w:spacing w:after="0" w:line="143"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rPr>
              <w:t>(0.56)</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4"/>
                <w:szCs w:val="14"/>
                <w:color w:val="auto"/>
              </w:rPr>
              <w:t>Net investment income per common share</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800" w:type="dxa"/>
            <w:vAlign w:val="bottom"/>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9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0.21</w:t>
            </w:r>
          </w:p>
        </w:tc>
        <w:tc>
          <w:tcPr>
            <w:tcW w:w="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11240"/>
          </w:cols>
          <w:pgMar w:left="32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CHANGES IN NET ASSETS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00" w:type="dxa"/>
            <w:vAlign w:val="bottom"/>
          </w:tcPr>
          <w:p>
            <w:pPr>
              <w:spacing w:after="0"/>
              <w:rPr>
                <w:sz w:val="14"/>
                <w:szCs w:val="14"/>
                <w:color w:val="auto"/>
              </w:rPr>
            </w:pPr>
          </w:p>
        </w:tc>
        <w:tc>
          <w:tcPr>
            <w:tcW w:w="234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93"/>
              </w:rPr>
              <w:t>Three Months Ended December 31,</w:t>
            </w:r>
          </w:p>
        </w:tc>
        <w:tc>
          <w:tcPr>
            <w:tcW w:w="0" w:type="dxa"/>
            <w:vAlign w:val="bottom"/>
          </w:tcPr>
          <w:p>
            <w:pPr>
              <w:spacing w:after="0"/>
              <w:rPr>
                <w:sz w:val="1"/>
                <w:szCs w:val="1"/>
                <w:color w:val="auto"/>
              </w:rPr>
            </w:pPr>
          </w:p>
        </w:tc>
      </w:tr>
      <w:tr>
        <w:trPr>
          <w:trHeight w:val="142"/>
        </w:trPr>
        <w:tc>
          <w:tcPr>
            <w:tcW w:w="89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90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Net increase (decrease) in net assets from operations:</w:t>
            </w: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900" w:type="dxa"/>
            <w:vAlign w:val="bottom"/>
          </w:tcPr>
          <w:p>
            <w:pPr>
              <w:ind w:left="300"/>
              <w:spacing w:after="0" w:line="149" w:lineRule="exact"/>
              <w:rPr>
                <w:sz w:val="20"/>
                <w:szCs w:val="20"/>
                <w:color w:val="auto"/>
              </w:rPr>
            </w:pPr>
            <w:r>
              <w:rPr>
                <w:rFonts w:ascii="Arial" w:cs="Arial" w:eastAsia="Arial" w:hAnsi="Arial"/>
                <w:sz w:val="14"/>
                <w:szCs w:val="14"/>
                <w:color w:val="auto"/>
              </w:rPr>
              <w:t>Net investment income</w:t>
            </w:r>
          </w:p>
        </w:tc>
        <w:tc>
          <w:tcPr>
            <w:tcW w:w="160" w:type="dxa"/>
            <w:vAlign w:val="bottom"/>
          </w:tcPr>
          <w:p>
            <w:pPr>
              <w:jc w:val="right"/>
              <w:ind w:right="43"/>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15,040,677</w:t>
            </w:r>
          </w:p>
        </w:tc>
        <w:tc>
          <w:tcPr>
            <w:tcW w:w="200" w:type="dxa"/>
            <w:vAlign w:val="bottom"/>
          </w:tcPr>
          <w:p>
            <w:pPr>
              <w:spacing w:after="0"/>
              <w:rPr>
                <w:sz w:val="12"/>
                <w:szCs w:val="12"/>
                <w:color w:val="auto"/>
              </w:rPr>
            </w:pP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16,831,530</w:t>
            </w:r>
          </w:p>
        </w:tc>
        <w:tc>
          <w:tcPr>
            <w:tcW w:w="0" w:type="dxa"/>
            <w:vAlign w:val="bottom"/>
          </w:tcPr>
          <w:p>
            <w:pPr>
              <w:spacing w:after="0"/>
              <w:rPr>
                <w:sz w:val="1"/>
                <w:szCs w:val="1"/>
                <w:color w:val="auto"/>
              </w:rPr>
            </w:pPr>
          </w:p>
        </w:tc>
      </w:tr>
      <w:tr>
        <w:trPr>
          <w:trHeight w:val="148"/>
        </w:trPr>
        <w:tc>
          <w:tcPr>
            <w:tcW w:w="89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Net realized loss on investments</w:t>
            </w:r>
          </w:p>
        </w:tc>
        <w:tc>
          <w:tcPr>
            <w:tcW w:w="16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(22,195,334)</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(25,374,963)</w:t>
            </w:r>
          </w:p>
        </w:tc>
        <w:tc>
          <w:tcPr>
            <w:tcW w:w="0" w:type="dxa"/>
            <w:vAlign w:val="bottom"/>
          </w:tcPr>
          <w:p>
            <w:pPr>
              <w:spacing w:after="0"/>
              <w:rPr>
                <w:sz w:val="1"/>
                <w:szCs w:val="1"/>
                <w:color w:val="auto"/>
              </w:rPr>
            </w:pPr>
          </w:p>
        </w:tc>
      </w:tr>
      <w:tr>
        <w:trPr>
          <w:trHeight w:val="148"/>
        </w:trPr>
        <w:tc>
          <w:tcPr>
            <w:tcW w:w="8900" w:type="dxa"/>
            <w:vAlign w:val="bottom"/>
          </w:tcPr>
          <w:p>
            <w:pPr>
              <w:ind w:left="300"/>
              <w:spacing w:after="0" w:line="149" w:lineRule="exact"/>
              <w:rPr>
                <w:sz w:val="20"/>
                <w:szCs w:val="20"/>
                <w:color w:val="auto"/>
              </w:rPr>
            </w:pPr>
            <w:r>
              <w:rPr>
                <w:rFonts w:ascii="Arial" w:cs="Arial" w:eastAsia="Arial" w:hAnsi="Arial"/>
                <w:sz w:val="14"/>
                <w:szCs w:val="14"/>
                <w:color w:val="auto"/>
              </w:rPr>
              <w:t>Net change in unrealized appreciation (depreciation) on investments</w:t>
            </w:r>
          </w:p>
        </w:tc>
        <w:tc>
          <w:tcPr>
            <w:tcW w:w="16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25,373,100</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(39,872,525)</w:t>
            </w:r>
          </w:p>
        </w:tc>
        <w:tc>
          <w:tcPr>
            <w:tcW w:w="0" w:type="dxa"/>
            <w:vAlign w:val="bottom"/>
          </w:tcPr>
          <w:p>
            <w:pPr>
              <w:spacing w:after="0"/>
              <w:rPr>
                <w:sz w:val="1"/>
                <w:szCs w:val="1"/>
                <w:color w:val="auto"/>
              </w:rPr>
            </w:pPr>
          </w:p>
        </w:tc>
      </w:tr>
      <w:tr>
        <w:trPr>
          <w:trHeight w:val="149"/>
        </w:trPr>
        <w:tc>
          <w:tcPr>
            <w:tcW w:w="89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Net change in debt depreciation</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5,830,684</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7,660,775</w:t>
            </w:r>
          </w:p>
        </w:tc>
        <w:tc>
          <w:tcPr>
            <w:tcW w:w="0" w:type="dxa"/>
            <w:vAlign w:val="bottom"/>
          </w:tcPr>
          <w:p>
            <w:pPr>
              <w:spacing w:after="0"/>
              <w:rPr>
                <w:sz w:val="1"/>
                <w:szCs w:val="1"/>
                <w:color w:val="auto"/>
              </w:rPr>
            </w:pPr>
          </w:p>
        </w:tc>
      </w:tr>
      <w:tr>
        <w:trPr>
          <w:trHeight w:val="163"/>
        </w:trPr>
        <w:tc>
          <w:tcPr>
            <w:tcW w:w="8900" w:type="dxa"/>
            <w:vAlign w:val="bottom"/>
          </w:tcPr>
          <w:p>
            <w:pPr>
              <w:ind w:left="300"/>
              <w:spacing w:after="0" w:line="155" w:lineRule="exact"/>
              <w:rPr>
                <w:sz w:val="20"/>
                <w:szCs w:val="20"/>
                <w:color w:val="auto"/>
              </w:rPr>
            </w:pPr>
            <w:r>
              <w:rPr>
                <w:rFonts w:ascii="Arial" w:cs="Arial" w:eastAsia="Arial" w:hAnsi="Arial"/>
                <w:sz w:val="14"/>
                <w:szCs w:val="14"/>
                <w:b w:val="1"/>
                <w:bCs w:val="1"/>
                <w:color w:val="auto"/>
              </w:rPr>
              <w:t>Net increase (decrease) in net assets resulting from operations</w:t>
            </w:r>
          </w:p>
        </w:tc>
        <w:tc>
          <w:tcPr>
            <w:tcW w:w="1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24,049,127</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(40,755,183)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Distributions to stockholders:</w:t>
            </w:r>
          </w:p>
        </w:tc>
        <w:tc>
          <w:tcPr>
            <w:tcW w:w="16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(19,897,034)</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(20,088,799)</w:t>
            </w:r>
          </w:p>
        </w:tc>
        <w:tc>
          <w:tcPr>
            <w:tcW w:w="0" w:type="dxa"/>
            <w:vAlign w:val="bottom"/>
          </w:tcPr>
          <w:p>
            <w:pPr>
              <w:spacing w:after="0"/>
              <w:rPr>
                <w:sz w:val="1"/>
                <w:szCs w:val="1"/>
                <w:color w:val="auto"/>
              </w:rPr>
            </w:pPr>
          </w:p>
        </w:tc>
      </w:tr>
      <w:tr>
        <w:trPr>
          <w:trHeight w:val="155"/>
        </w:trPr>
        <w:tc>
          <w:tcPr>
            <w:tcW w:w="8900" w:type="dxa"/>
            <w:vAlign w:val="bottom"/>
          </w:tcPr>
          <w:p>
            <w:pPr>
              <w:spacing w:after="0" w:line="155" w:lineRule="exact"/>
              <w:rPr>
                <w:sz w:val="20"/>
                <w:szCs w:val="20"/>
                <w:color w:val="auto"/>
              </w:rPr>
            </w:pPr>
            <w:r>
              <w:rPr>
                <w:rFonts w:ascii="Arial" w:cs="Arial" w:eastAsia="Arial" w:hAnsi="Arial"/>
                <w:sz w:val="14"/>
                <w:szCs w:val="14"/>
                <w:b w:val="1"/>
                <w:bCs w:val="1"/>
                <w:color w:val="auto"/>
              </w:rPr>
              <w:t>Capital transactions:</w:t>
            </w: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89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Repurchase of common stock</w:t>
            </w:r>
          </w:p>
        </w:tc>
        <w:tc>
          <w:tcPr>
            <w:tcW w:w="16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(8,437,161)</w:t>
            </w:r>
          </w:p>
        </w:tc>
        <w:tc>
          <w:tcPr>
            <w:tcW w:w="0" w:type="dxa"/>
            <w:vAlign w:val="bottom"/>
          </w:tcPr>
          <w:p>
            <w:pPr>
              <w:spacing w:after="0"/>
              <w:rPr>
                <w:sz w:val="1"/>
                <w:szCs w:val="1"/>
                <w:color w:val="auto"/>
              </w:rPr>
            </w:pPr>
          </w:p>
        </w:tc>
      </w:tr>
      <w:tr>
        <w:trPr>
          <w:trHeight w:val="163"/>
        </w:trPr>
        <w:tc>
          <w:tcPr>
            <w:tcW w:w="8900" w:type="dxa"/>
            <w:vAlign w:val="bottom"/>
          </w:tcPr>
          <w:p>
            <w:pPr>
              <w:spacing w:after="0" w:line="155" w:lineRule="exact"/>
              <w:rPr>
                <w:sz w:val="20"/>
                <w:szCs w:val="20"/>
                <w:color w:val="auto"/>
              </w:rPr>
            </w:pPr>
            <w:r>
              <w:rPr>
                <w:rFonts w:ascii="Arial" w:cs="Arial" w:eastAsia="Arial" w:hAnsi="Arial"/>
                <w:sz w:val="14"/>
                <w:szCs w:val="14"/>
                <w:b w:val="1"/>
                <w:bCs w:val="1"/>
                <w:color w:val="auto"/>
              </w:rPr>
              <w:t>Net increase (decrease) in net assets</w:t>
            </w:r>
          </w:p>
        </w:tc>
        <w:tc>
          <w:tcPr>
            <w:tcW w:w="1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4,152,093</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(69,281,143)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89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900" w:type="dxa"/>
            <w:vAlign w:val="bottom"/>
          </w:tcPr>
          <w:p>
            <w:pPr>
              <w:ind w:left="300"/>
              <w:spacing w:after="0" w:line="149" w:lineRule="exact"/>
              <w:rPr>
                <w:sz w:val="20"/>
                <w:szCs w:val="20"/>
                <w:color w:val="auto"/>
              </w:rPr>
            </w:pPr>
            <w:r>
              <w:rPr>
                <w:rFonts w:ascii="Arial" w:cs="Arial" w:eastAsia="Arial" w:hAnsi="Arial"/>
                <w:sz w:val="14"/>
                <w:szCs w:val="14"/>
                <w:color w:val="auto"/>
              </w:rPr>
              <w:t>Beginning of period</w:t>
            </w:r>
          </w:p>
        </w:tc>
        <w:tc>
          <w:tcPr>
            <w:tcW w:w="160" w:type="dxa"/>
            <w:vAlign w:val="bottom"/>
          </w:tcPr>
          <w:p>
            <w:pPr>
              <w:spacing w:after="0"/>
              <w:rPr>
                <w:sz w:val="12"/>
                <w:szCs w:val="12"/>
                <w:color w:val="auto"/>
              </w:rPr>
            </w:pPr>
          </w:p>
        </w:tc>
        <w:tc>
          <w:tcPr>
            <w:tcW w:w="8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643,366,856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716,590,542</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9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End of period</w:t>
            </w:r>
          </w:p>
        </w:tc>
        <w:tc>
          <w:tcPr>
            <w:tcW w:w="160" w:type="dxa"/>
            <w:vAlign w:val="bottom"/>
            <w:shd w:val="clear" w:color="auto" w:fill="CCEEFF"/>
          </w:tcPr>
          <w:p>
            <w:pPr>
              <w:jc w:val="right"/>
              <w:ind w:right="43"/>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647,518,949</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647,309,399</w:t>
            </w:r>
          </w:p>
        </w:tc>
        <w:tc>
          <w:tcPr>
            <w:tcW w:w="0" w:type="dxa"/>
            <w:vAlign w:val="bottom"/>
          </w:tcPr>
          <w:p>
            <w:pPr>
              <w:spacing w:after="0"/>
              <w:rPr>
                <w:sz w:val="1"/>
                <w:szCs w:val="1"/>
                <w:color w:val="auto"/>
              </w:rPr>
            </w:pPr>
          </w:p>
        </w:tc>
      </w:tr>
      <w:tr>
        <w:trPr>
          <w:trHeight w:val="20"/>
        </w:trPr>
        <w:tc>
          <w:tcPr>
            <w:tcW w:w="8900" w:type="dxa"/>
            <w:vAlign w:val="bottom"/>
            <w:vMerge w:val="restart"/>
          </w:tcPr>
          <w:p>
            <w:pPr>
              <w:ind w:left="300"/>
              <w:spacing w:after="0"/>
              <w:rPr>
                <w:sz w:val="20"/>
                <w:szCs w:val="20"/>
                <w:color w:val="auto"/>
              </w:rPr>
            </w:pPr>
            <w:r>
              <w:rPr>
                <w:rFonts w:ascii="Arial" w:cs="Arial" w:eastAsia="Arial" w:hAnsi="Arial"/>
                <w:sz w:val="14"/>
                <w:szCs w:val="14"/>
                <w:color w:val="auto"/>
              </w:rPr>
              <w:t>Distributions in excess of net investment income, at end of period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900" w:type="dxa"/>
            <w:vAlign w:val="bottom"/>
            <w:vMerge w:val="continue"/>
          </w:tcPr>
          <w:p>
            <w:pPr>
              <w:spacing w:after="0"/>
              <w:rPr>
                <w:sz w:val="12"/>
                <w:szCs w:val="12"/>
                <w:color w:val="auto"/>
              </w:rPr>
            </w:pPr>
          </w:p>
        </w:tc>
        <w:tc>
          <w:tcPr>
            <w:tcW w:w="160" w:type="dxa"/>
            <w:vAlign w:val="bottom"/>
            <w:tcBorders>
              <w:bottom w:val="single" w:sz="8" w:color="auto"/>
            </w:tcBorders>
          </w:tcPr>
          <w:p>
            <w:pPr>
              <w:jc w:val="right"/>
              <w:ind w:right="43"/>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(1,736,977)</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Borders>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(16,682,155)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90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Capital share activity:</w:t>
            </w: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900" w:type="dxa"/>
            <w:vAlign w:val="bottom"/>
          </w:tcPr>
          <w:p>
            <w:pPr>
              <w:ind w:left="300"/>
              <w:spacing w:after="0" w:line="149" w:lineRule="exact"/>
              <w:rPr>
                <w:sz w:val="20"/>
                <w:szCs w:val="20"/>
                <w:color w:val="auto"/>
              </w:rPr>
            </w:pPr>
            <w:r>
              <w:rPr>
                <w:rFonts w:ascii="Arial" w:cs="Arial" w:eastAsia="Arial" w:hAnsi="Arial"/>
                <w:sz w:val="14"/>
                <w:szCs w:val="14"/>
                <w:color w:val="auto"/>
              </w:rPr>
              <w:t>Shares of common stock repurchased</w:t>
            </w:r>
          </w:p>
        </w:tc>
        <w:tc>
          <w:tcPr>
            <w:tcW w:w="160" w:type="dxa"/>
            <w:vAlign w:val="bottom"/>
          </w:tcPr>
          <w:p>
            <w:pPr>
              <w:spacing w:after="0"/>
              <w:rPr>
                <w:sz w:val="12"/>
                <w:szCs w:val="12"/>
                <w:color w:val="auto"/>
              </w:rPr>
            </w:pPr>
          </w:p>
        </w:tc>
        <w:tc>
          <w:tcPr>
            <w:tcW w:w="10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(1,220,333)</w:t>
            </w: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240"/>
          </w:cols>
          <w:pgMar w:left="32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89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899"/>
        <w:spacing w:after="0" w:line="226" w:lineRule="auto"/>
        <w:rPr>
          <w:sz w:val="20"/>
          <w:szCs w:val="20"/>
          <w:color w:val="auto"/>
        </w:rPr>
      </w:pPr>
      <w:r>
        <w:rPr>
          <w:rFonts w:ascii="Arial" w:cs="Arial" w:eastAsia="Arial" w:hAnsi="Arial"/>
          <w:sz w:val="14"/>
          <w:szCs w:val="14"/>
          <w:b w:val="1"/>
          <w:bCs w:val="1"/>
          <w:color w:val="auto"/>
        </w:rPr>
        <w:t>CONSOLIDATED STATEMENTS OF CASH FLOWS</w:t>
      </w:r>
    </w:p>
    <w:p>
      <w:pPr>
        <w:jc w:val="center"/>
        <w:ind w:right="-899"/>
        <w:spacing w:after="0"/>
        <w:rPr>
          <w:sz w:val="20"/>
          <w:szCs w:val="20"/>
          <w:color w:val="auto"/>
        </w:rPr>
      </w:pPr>
      <w:r>
        <w:rPr>
          <w:rFonts w:ascii="Arial" w:cs="Arial" w:eastAsia="Arial" w:hAnsi="Arial"/>
          <w:sz w:val="14"/>
          <w:szCs w:val="14"/>
          <w:b w:val="1"/>
          <w:bCs w:val="1"/>
          <w:color w:val="auto"/>
        </w:rPr>
        <w:t>(Unaudited)</w:t>
      </w:r>
    </w:p>
    <w:p>
      <w:pPr>
        <w:spacing w:after="0" w:line="215"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4"/>
              </w:rPr>
              <w:t>Three Months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2016</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8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flows from operating activities:</w:t>
            </w: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80" w:type="dxa"/>
            <w:vAlign w:val="bottom"/>
          </w:tcPr>
          <w:p>
            <w:pPr>
              <w:ind w:left="400"/>
              <w:spacing w:after="0" w:line="149" w:lineRule="exact"/>
              <w:rPr>
                <w:sz w:val="20"/>
                <w:szCs w:val="20"/>
                <w:color w:val="auto"/>
              </w:rPr>
            </w:pPr>
            <w:r>
              <w:rPr>
                <w:rFonts w:ascii="Arial" w:cs="Arial" w:eastAsia="Arial" w:hAnsi="Arial"/>
                <w:sz w:val="14"/>
                <w:szCs w:val="14"/>
                <w:color w:val="auto"/>
              </w:rPr>
              <w:t>Net increase (decrease) in net assets resulting from operations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24,049,127</w:t>
            </w:r>
          </w:p>
        </w:tc>
        <w:tc>
          <w:tcPr>
            <w:tcW w:w="3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(40,755,183)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6880" w:type="dxa"/>
            <w:vAlign w:val="bottom"/>
            <w:shd w:val="clear" w:color="auto" w:fill="CCEEFF"/>
          </w:tcPr>
          <w:p>
            <w:pPr>
              <w:ind w:left="400"/>
              <w:spacing w:after="0" w:line="130" w:lineRule="exact"/>
              <w:rPr>
                <w:sz w:val="20"/>
                <w:szCs w:val="20"/>
                <w:color w:val="auto"/>
              </w:rPr>
            </w:pPr>
            <w:r>
              <w:rPr>
                <w:rFonts w:ascii="Arial" w:cs="Arial" w:eastAsia="Arial" w:hAnsi="Arial"/>
                <w:sz w:val="14"/>
                <w:szCs w:val="14"/>
                <w:color w:val="auto"/>
                <w:w w:val="97"/>
              </w:rPr>
              <w:t>Adjustments to reconcile net increase (decrease) in net assets resulting from operations to net cash used in</w:t>
            </w: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80" w:type="dxa"/>
            <w:vAlign w:val="bottom"/>
            <w:shd w:val="clear" w:color="auto" w:fill="CCEEFF"/>
          </w:tcPr>
          <w:p>
            <w:pPr>
              <w:ind w:left="620"/>
              <w:spacing w:after="0"/>
              <w:rPr>
                <w:sz w:val="20"/>
                <w:szCs w:val="20"/>
                <w:color w:val="auto"/>
              </w:rPr>
            </w:pPr>
            <w:r>
              <w:rPr>
                <w:rFonts w:ascii="Arial" w:cs="Arial" w:eastAsia="Arial" w:hAnsi="Arial"/>
                <w:sz w:val="14"/>
                <w:szCs w:val="14"/>
                <w:color w:val="auto"/>
              </w:rPr>
              <w:t>operating activities:</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840"/>
              <w:spacing w:after="0" w:line="149" w:lineRule="exact"/>
              <w:rPr>
                <w:sz w:val="20"/>
                <w:szCs w:val="20"/>
                <w:color w:val="auto"/>
              </w:rPr>
            </w:pPr>
            <w:r>
              <w:rPr>
                <w:rFonts w:ascii="Arial" w:cs="Arial" w:eastAsia="Arial" w:hAnsi="Arial"/>
                <w:sz w:val="14"/>
                <w:szCs w:val="14"/>
                <w:color w:val="auto"/>
              </w:rPr>
              <w:t>Net change in net unrealized (appreciation) depreciation on investments</w:t>
            </w:r>
          </w:p>
        </w:tc>
        <w:tc>
          <w:tcPr>
            <w:tcW w:w="80" w:type="dxa"/>
            <w:vAlign w:val="bottom"/>
          </w:tcPr>
          <w:p>
            <w:pPr>
              <w:spacing w:after="0"/>
              <w:rPr>
                <w:sz w:val="12"/>
                <w:szCs w:val="12"/>
                <w:color w:val="auto"/>
              </w:rPr>
            </w:pP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(25,373,100)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39,872,525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8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Net change in unrealized depreciation on debt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(5,830,684)</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(7,660,775)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80" w:type="dxa"/>
            <w:vAlign w:val="bottom"/>
          </w:tcPr>
          <w:p>
            <w:pPr>
              <w:ind w:left="840"/>
              <w:spacing w:after="0" w:line="149" w:lineRule="exact"/>
              <w:rPr>
                <w:sz w:val="20"/>
                <w:szCs w:val="20"/>
                <w:color w:val="auto"/>
              </w:rPr>
            </w:pPr>
            <w:r>
              <w:rPr>
                <w:rFonts w:ascii="Arial" w:cs="Arial" w:eastAsia="Arial" w:hAnsi="Arial"/>
                <w:sz w:val="14"/>
                <w:szCs w:val="14"/>
                <w:color w:val="auto"/>
              </w:rPr>
              <w:t>Net realized loss on investments</w:t>
            </w:r>
          </w:p>
        </w:tc>
        <w:tc>
          <w:tcPr>
            <w:tcW w:w="8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22,195,334</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25,374,963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8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Net accretion of discount and amortization of premium</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(938,502)</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(1,554,643)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80" w:type="dxa"/>
            <w:vAlign w:val="bottom"/>
          </w:tcPr>
          <w:p>
            <w:pPr>
              <w:ind w:left="840"/>
              <w:spacing w:after="0" w:line="149" w:lineRule="exact"/>
              <w:rPr>
                <w:sz w:val="20"/>
                <w:szCs w:val="20"/>
                <w:color w:val="auto"/>
              </w:rPr>
            </w:pPr>
            <w:r>
              <w:rPr>
                <w:rFonts w:ascii="Arial" w:cs="Arial" w:eastAsia="Arial" w:hAnsi="Arial"/>
                <w:sz w:val="14"/>
                <w:szCs w:val="14"/>
                <w:color w:val="auto"/>
              </w:rPr>
              <w:t>Purchases of investments</w:t>
            </w:r>
          </w:p>
        </w:tc>
        <w:tc>
          <w:tcPr>
            <w:tcW w:w="80" w:type="dxa"/>
            <w:vAlign w:val="bottom"/>
          </w:tcPr>
          <w:p>
            <w:pPr>
              <w:spacing w:after="0"/>
              <w:rPr>
                <w:sz w:val="12"/>
                <w:szCs w:val="12"/>
                <w:color w:val="auto"/>
              </w:rPr>
            </w:pP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(229,234,313)</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(130,317,861)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Payment-in-kind income</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(2,914,692)</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(4,512,413)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80" w:type="dxa"/>
            <w:vAlign w:val="bottom"/>
          </w:tcPr>
          <w:p>
            <w:pPr>
              <w:ind w:left="840"/>
              <w:spacing w:after="0" w:line="149" w:lineRule="exact"/>
              <w:rPr>
                <w:sz w:val="20"/>
                <w:szCs w:val="20"/>
                <w:color w:val="auto"/>
              </w:rPr>
            </w:pPr>
            <w:r>
              <w:rPr>
                <w:rFonts w:ascii="Arial" w:cs="Arial" w:eastAsia="Arial" w:hAnsi="Arial"/>
                <w:sz w:val="14"/>
                <w:szCs w:val="14"/>
                <w:color w:val="auto"/>
              </w:rPr>
              <w:t>Proceeds from dispositions of investments</w:t>
            </w:r>
          </w:p>
        </w:tc>
        <w:tc>
          <w:tcPr>
            <w:tcW w:w="8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64,209,266</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108,068,736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8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Amortization of deferred financing costs</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168,635</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142,975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80" w:type="dxa"/>
            <w:vAlign w:val="bottom"/>
          </w:tcPr>
          <w:p>
            <w:pPr>
              <w:ind w:left="840"/>
              <w:spacing w:after="0" w:line="149" w:lineRule="exact"/>
              <w:rPr>
                <w:sz w:val="20"/>
                <w:szCs w:val="20"/>
                <w:color w:val="auto"/>
              </w:rPr>
            </w:pPr>
            <w:r>
              <w:rPr>
                <w:rFonts w:ascii="Arial" w:cs="Arial" w:eastAsia="Arial" w:hAnsi="Arial"/>
                <w:sz w:val="14"/>
                <w:szCs w:val="14"/>
                <w:color w:val="auto"/>
              </w:rPr>
              <w:t>(Increase) decrease in interest receivable</w:t>
            </w:r>
          </w:p>
        </w:tc>
        <w:tc>
          <w:tcPr>
            <w:tcW w:w="80" w:type="dxa"/>
            <w:vAlign w:val="bottom"/>
          </w:tcPr>
          <w:p>
            <w:pPr>
              <w:spacing w:after="0"/>
              <w:rPr>
                <w:sz w:val="12"/>
                <w:szCs w:val="12"/>
                <w:color w:val="auto"/>
              </w:rPr>
            </w:pP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(5,716,465)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586,198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8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Decrease in prepaid expenses and other assets</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636,507</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4,414,695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tcPr>
          <w:p>
            <w:pPr>
              <w:ind w:left="840"/>
              <w:spacing w:after="0" w:line="149" w:lineRule="exact"/>
              <w:rPr>
                <w:sz w:val="20"/>
                <w:szCs w:val="20"/>
                <w:color w:val="auto"/>
              </w:rPr>
            </w:pPr>
            <w:r>
              <w:rPr>
                <w:rFonts w:ascii="Arial" w:cs="Arial" w:eastAsia="Arial" w:hAnsi="Arial"/>
                <w:sz w:val="14"/>
                <w:szCs w:val="14"/>
                <w:color w:val="auto"/>
              </w:rPr>
              <w:t>Increase in payable for investments purchased</w:t>
            </w:r>
          </w:p>
        </w:tc>
        <w:tc>
          <w:tcPr>
            <w:tcW w:w="8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50,399,000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8,157,322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8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Decrease in interest payable on debt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(951,901)</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(1,399,934)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80" w:type="dxa"/>
            <w:vAlign w:val="bottom"/>
          </w:tcPr>
          <w:p>
            <w:pPr>
              <w:ind w:left="840"/>
              <w:spacing w:after="0" w:line="149" w:lineRule="exact"/>
              <w:rPr>
                <w:sz w:val="20"/>
                <w:szCs w:val="20"/>
                <w:color w:val="auto"/>
              </w:rPr>
            </w:pPr>
            <w:r>
              <w:rPr>
                <w:rFonts w:ascii="Arial" w:cs="Arial" w:eastAsia="Arial" w:hAnsi="Arial"/>
                <w:sz w:val="14"/>
                <w:szCs w:val="14"/>
                <w:color w:val="auto"/>
              </w:rPr>
              <w:t>Increase (decrease) in management fee payable, net</w:t>
            </w:r>
          </w:p>
        </w:tc>
        <w:tc>
          <w:tcPr>
            <w:tcW w:w="8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195,987</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(1,137,173)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8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Decrease in performance-based incentive fee payable, net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(31,108)</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(1,819,340)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80" w:type="dxa"/>
            <w:vAlign w:val="bottom"/>
          </w:tcPr>
          <w:p>
            <w:pPr>
              <w:ind w:left="840"/>
              <w:spacing w:after="0" w:line="149" w:lineRule="exact"/>
              <w:rPr>
                <w:sz w:val="20"/>
                <w:szCs w:val="20"/>
                <w:color w:val="auto"/>
              </w:rPr>
            </w:pPr>
            <w:r>
              <w:rPr>
                <w:rFonts w:ascii="Arial" w:cs="Arial" w:eastAsia="Arial" w:hAnsi="Arial"/>
                <w:sz w:val="14"/>
                <w:szCs w:val="14"/>
                <w:color w:val="auto"/>
              </w:rPr>
              <w:t>Increase in accrued other expenses</w:t>
            </w:r>
          </w:p>
        </w:tc>
        <w:tc>
          <w:tcPr>
            <w:tcW w:w="8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795,503</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1,680,036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6880" w:type="dxa"/>
            <w:vAlign w:val="bottom"/>
            <w:shd w:val="clear" w:color="auto" w:fill="CCEEFF"/>
          </w:tcPr>
          <w:p>
            <w:pPr>
              <w:ind w:left="1260"/>
              <w:spacing w:after="0" w:line="149" w:lineRule="exact"/>
              <w:rPr>
                <w:sz w:val="20"/>
                <w:szCs w:val="20"/>
                <w:color w:val="auto"/>
              </w:rPr>
            </w:pPr>
            <w:r>
              <w:rPr>
                <w:rFonts w:ascii="Arial" w:cs="Arial" w:eastAsia="Arial" w:hAnsi="Arial"/>
                <w:sz w:val="14"/>
                <w:szCs w:val="14"/>
                <w:color w:val="auto"/>
              </w:rPr>
              <w:t>Net cash used in operating activities</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(108,341,406)</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(859,872)</w:t>
            </w:r>
          </w:p>
        </w:tc>
        <w:tc>
          <w:tcPr>
            <w:tcW w:w="0" w:type="dxa"/>
            <w:vAlign w:val="bottom"/>
          </w:tcPr>
          <w:p>
            <w:pPr>
              <w:spacing w:after="0"/>
              <w:rPr>
                <w:sz w:val="1"/>
                <w:szCs w:val="1"/>
                <w:color w:val="auto"/>
              </w:rPr>
            </w:pPr>
          </w:p>
        </w:tc>
      </w:tr>
      <w:tr>
        <w:trPr>
          <w:trHeight w:val="155"/>
        </w:trPr>
        <w:tc>
          <w:tcPr>
            <w:tcW w:w="69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Repurchase of common stock</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(8,437,161)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80" w:type="dxa"/>
            <w:vAlign w:val="bottom"/>
          </w:tcPr>
          <w:p>
            <w:pPr>
              <w:ind w:left="840"/>
              <w:spacing w:after="0" w:line="149" w:lineRule="exact"/>
              <w:rPr>
                <w:sz w:val="20"/>
                <w:szCs w:val="20"/>
                <w:color w:val="auto"/>
              </w:rPr>
            </w:pPr>
            <w:r>
              <w:rPr>
                <w:rFonts w:ascii="Arial" w:cs="Arial" w:eastAsia="Arial" w:hAnsi="Arial"/>
                <w:sz w:val="14"/>
                <w:szCs w:val="14"/>
                <w:color w:val="auto"/>
              </w:rPr>
              <w:t>Distributions paid to stockholders</w:t>
            </w:r>
          </w:p>
        </w:tc>
        <w:tc>
          <w:tcPr>
            <w:tcW w:w="80" w:type="dxa"/>
            <w:vAlign w:val="bottom"/>
          </w:tcPr>
          <w:p>
            <w:pPr>
              <w:spacing w:after="0"/>
              <w:rPr>
                <w:sz w:val="12"/>
                <w:szCs w:val="12"/>
                <w:color w:val="auto"/>
              </w:rPr>
            </w:pP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(19,897,034)</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(20,430,492)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80" w:type="dxa"/>
            <w:vAlign w:val="bottom"/>
            <w:shd w:val="clear" w:color="auto" w:fill="CCEEFF"/>
          </w:tcPr>
          <w:p>
            <w:pPr>
              <w:ind w:left="840"/>
              <w:spacing w:after="0" w:line="149" w:lineRule="exact"/>
              <w:rPr>
                <w:sz w:val="20"/>
                <w:szCs w:val="20"/>
                <w:color w:val="auto"/>
              </w:rPr>
            </w:pPr>
            <w:r>
              <w:rPr>
                <w:rFonts w:ascii="Arial" w:cs="Arial" w:eastAsia="Arial" w:hAnsi="Arial"/>
                <w:sz w:val="14"/>
                <w:szCs w:val="14"/>
                <w:color w:val="auto"/>
              </w:rPr>
              <w:t>Borrowings under Credit Facility</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160,260,000</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202,316,923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80" w:type="dxa"/>
            <w:vAlign w:val="bottom"/>
          </w:tcPr>
          <w:p>
            <w:pPr>
              <w:ind w:left="840"/>
              <w:spacing w:after="0" w:line="149" w:lineRule="exact"/>
              <w:rPr>
                <w:sz w:val="20"/>
                <w:szCs w:val="20"/>
                <w:color w:val="auto"/>
              </w:rPr>
            </w:pPr>
            <w:r>
              <w:rPr>
                <w:rFonts w:ascii="Arial" w:cs="Arial" w:eastAsia="Arial" w:hAnsi="Arial"/>
                <w:sz w:val="14"/>
                <w:szCs w:val="14"/>
                <w:color w:val="auto"/>
              </w:rPr>
              <w:t>Repayments under Credit Facility</w:t>
            </w:r>
          </w:p>
        </w:tc>
        <w:tc>
          <w:tcPr>
            <w:tcW w:w="80" w:type="dxa"/>
            <w:vAlign w:val="bottom"/>
          </w:tcPr>
          <w:p>
            <w:pPr>
              <w:spacing w:after="0"/>
              <w:rPr>
                <w:sz w:val="12"/>
                <w:szCs w:val="12"/>
                <w:color w:val="auto"/>
              </w:rPr>
            </w:pPr>
          </w:p>
        </w:tc>
        <w:tc>
          <w:tcPr>
            <w:tcW w:w="11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(62,481,000)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(196,185,900)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tcPr>
          <w:p>
            <w:pPr>
              <w:spacing w:after="0"/>
              <w:rPr>
                <w:sz w:val="12"/>
                <w:szCs w:val="12"/>
                <w:color w:val="auto"/>
              </w:rPr>
            </w:pPr>
          </w:p>
        </w:tc>
        <w:tc>
          <w:tcPr>
            <w:tcW w:w="6880" w:type="dxa"/>
            <w:vAlign w:val="bottom"/>
            <w:shd w:val="clear" w:color="auto" w:fill="CCEEFF"/>
          </w:tcPr>
          <w:p>
            <w:pPr>
              <w:ind w:left="1260"/>
              <w:spacing w:after="0" w:line="149" w:lineRule="exact"/>
              <w:rPr>
                <w:sz w:val="20"/>
                <w:szCs w:val="20"/>
                <w:color w:val="auto"/>
              </w:rPr>
            </w:pPr>
            <w:r>
              <w:rPr>
                <w:rFonts w:ascii="Arial" w:cs="Arial" w:eastAsia="Arial" w:hAnsi="Arial"/>
                <w:sz w:val="14"/>
                <w:szCs w:val="14"/>
                <w:color w:val="auto"/>
              </w:rPr>
              <w:t>Net cash provided by (used in) financing activities</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77,881,966</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(22,736,630)</w:t>
            </w:r>
          </w:p>
        </w:tc>
        <w:tc>
          <w:tcPr>
            <w:tcW w:w="0" w:type="dxa"/>
            <w:vAlign w:val="bottom"/>
          </w:tcPr>
          <w:p>
            <w:pPr>
              <w:spacing w:after="0"/>
              <w:rPr>
                <w:sz w:val="1"/>
                <w:szCs w:val="1"/>
                <w:color w:val="auto"/>
              </w:rPr>
            </w:pPr>
          </w:p>
        </w:tc>
      </w:tr>
      <w:tr>
        <w:trPr>
          <w:trHeight w:val="155"/>
        </w:trPr>
        <w:tc>
          <w:tcPr>
            <w:tcW w:w="69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Net decrease in cash and cash equivalents</w:t>
            </w: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(30,459,440)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(23,596,502)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Effect of exchange rate changes on cash</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191,903</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232,165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80" w:type="dxa"/>
            <w:vAlign w:val="bottom"/>
          </w:tcPr>
          <w:p>
            <w:pPr>
              <w:spacing w:after="0" w:line="149" w:lineRule="exact"/>
              <w:rPr>
                <w:sz w:val="20"/>
                <w:szCs w:val="20"/>
                <w:color w:val="auto"/>
              </w:rPr>
            </w:pPr>
            <w:r>
              <w:rPr>
                <w:rFonts w:ascii="Arial" w:cs="Arial" w:eastAsia="Arial" w:hAnsi="Arial"/>
                <w:sz w:val="14"/>
                <w:szCs w:val="14"/>
                <w:b w:val="1"/>
                <w:bCs w:val="1"/>
                <w:color w:val="auto"/>
              </w:rPr>
              <w:t>Cash and cash equivalents, beginning of period</w:t>
            </w:r>
          </w:p>
        </w:tc>
        <w:tc>
          <w:tcPr>
            <w:tcW w:w="8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75,608,113</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49,619,256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20" w:type="dxa"/>
            <w:vAlign w:val="bottom"/>
            <w:vMerge w:val="continue"/>
          </w:tcPr>
          <w:p>
            <w:pPr>
              <w:spacing w:after="0"/>
              <w:rPr>
                <w:sz w:val="12"/>
                <w:szCs w:val="12"/>
                <w:color w:val="auto"/>
              </w:rPr>
            </w:pPr>
          </w:p>
        </w:tc>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and cash equivalents,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45,340,576</w:t>
            </w:r>
          </w:p>
        </w:tc>
        <w:tc>
          <w:tcPr>
            <w:tcW w:w="3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26,254,919</w:t>
            </w:r>
          </w:p>
        </w:tc>
        <w:tc>
          <w:tcPr>
            <w:tcW w:w="0" w:type="dxa"/>
            <w:vAlign w:val="bottom"/>
          </w:tcPr>
          <w:p>
            <w:pPr>
              <w:spacing w:after="0"/>
              <w:rPr>
                <w:sz w:val="1"/>
                <w:szCs w:val="1"/>
                <w:color w:val="auto"/>
              </w:rPr>
            </w:pPr>
          </w:p>
        </w:tc>
      </w:tr>
      <w:tr>
        <w:trPr>
          <w:trHeight w:val="20"/>
        </w:trPr>
        <w:tc>
          <w:tcPr>
            <w:tcW w:w="6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88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Interest paid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7,518,840</w:t>
            </w:r>
          </w:p>
        </w:tc>
        <w:tc>
          <w:tcPr>
            <w:tcW w:w="3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7,983,284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vMerge w:val="restart"/>
          </w:tcPr>
          <w:p>
            <w:pPr>
              <w:ind w:left="180"/>
              <w:spacing w:after="0"/>
              <w:rPr>
                <w:sz w:val="20"/>
                <w:szCs w:val="20"/>
                <w:color w:val="auto"/>
              </w:rPr>
            </w:pPr>
            <w:r>
              <w:rPr>
                <w:rFonts w:ascii="Arial" w:cs="Arial" w:eastAsia="Arial" w:hAnsi="Arial"/>
                <w:sz w:val="14"/>
                <w:szCs w:val="14"/>
                <w:color w:val="auto"/>
              </w:rPr>
              <w:t>Taxes paid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880" w:type="dxa"/>
            <w:vAlign w:val="bottom"/>
            <w:vMerge w:val="continue"/>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86,349</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4,760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6880" w:type="dxa"/>
            <w:vAlign w:val="bottom"/>
            <w:shd w:val="clear" w:color="auto" w:fill="CCEEFF"/>
          </w:tcPr>
          <w:p>
            <w:pPr>
              <w:ind w:left="180"/>
              <w:spacing w:after="0" w:line="143" w:lineRule="exact"/>
              <w:rPr>
                <w:sz w:val="20"/>
                <w:szCs w:val="20"/>
                <w:color w:val="auto"/>
              </w:rPr>
            </w:pPr>
            <w:r>
              <w:rPr>
                <w:rFonts w:ascii="Arial" w:cs="Arial" w:eastAsia="Arial" w:hAnsi="Arial"/>
                <w:sz w:val="14"/>
                <w:szCs w:val="14"/>
                <w:color w:val="auto"/>
              </w:rPr>
              <w:t>Non-cash exchanges and conversions</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40"/>
              <w:spacing w:after="0" w:line="143" w:lineRule="exact"/>
              <w:rPr>
                <w:sz w:val="20"/>
                <w:szCs w:val="20"/>
                <w:color w:val="auto"/>
              </w:rPr>
            </w:pPr>
            <w:r>
              <w:rPr>
                <w:rFonts w:ascii="Arial" w:cs="Arial" w:eastAsia="Arial" w:hAnsi="Arial"/>
                <w:sz w:val="14"/>
                <w:szCs w:val="14"/>
                <w:color w:val="auto"/>
              </w:rPr>
              <w:t>18,026,006</w:t>
            </w:r>
          </w:p>
        </w:tc>
        <w:tc>
          <w:tcPr>
            <w:tcW w:w="360" w:type="dxa"/>
            <w:vAlign w:val="bottom"/>
            <w:gridSpan w:val="2"/>
            <w:shd w:val="clear" w:color="auto" w:fill="CCEEFF"/>
          </w:tcPr>
          <w:p>
            <w:pPr>
              <w:jc w:val="right"/>
              <w:ind w:right="8"/>
              <w:spacing w:after="0" w:line="143" w:lineRule="exact"/>
              <w:rPr>
                <w:sz w:val="20"/>
                <w:szCs w:val="20"/>
                <w:color w:val="auto"/>
              </w:rPr>
            </w:pPr>
            <w:r>
              <w:rPr>
                <w:rFonts w:ascii="Arial" w:cs="Arial" w:eastAsia="Arial" w:hAnsi="Arial"/>
                <w:sz w:val="14"/>
                <w:szCs w:val="14"/>
                <w:color w:val="auto"/>
              </w:rPr>
              <w:t>$</w:t>
            </w:r>
          </w:p>
        </w:tc>
        <w:tc>
          <w:tcPr>
            <w:tcW w:w="96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4"/>
                <w:szCs w:val="14"/>
                <w:color w:val="auto"/>
              </w:rPr>
              <w:t>39,438,420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89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ind w:right="-899"/>
        <w:spacing w:after="0"/>
        <w:rPr>
          <w:sz w:val="20"/>
          <w:szCs w:val="20"/>
          <w:color w:val="auto"/>
        </w:rPr>
      </w:pPr>
      <w:r>
        <w:rPr>
          <w:rFonts w:ascii="Arial" w:cs="Arial" w:eastAsia="Arial" w:hAnsi="Arial"/>
          <w:sz w:val="14"/>
          <w:szCs w:val="14"/>
          <w:color w:val="auto"/>
        </w:rPr>
        <w:t>7</w:t>
      </w:r>
    </w:p>
    <w:p>
      <w:pPr>
        <w:sectPr>
          <w:pgSz w:w="11900" w:h="16838" w:orient="portrait"/>
          <w:cols w:equalWidth="0" w:num="1">
            <w:col w:w="10340"/>
          </w:cols>
          <w:pgMar w:left="320" w:top="459" w:right="1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line="221" w:lineRule="auto"/>
        <w:rPr>
          <w:sz w:val="20"/>
          <w:szCs w:val="20"/>
          <w:color w:val="auto"/>
        </w:rPr>
      </w:pPr>
      <w:r>
        <w:rPr>
          <w:rFonts w:ascii="Arial" w:cs="Arial" w:eastAsia="Arial" w:hAnsi="Arial"/>
          <w:sz w:val="14"/>
          <w:szCs w:val="14"/>
          <w:b w:val="1"/>
          <w:bCs w:val="1"/>
          <w:color w:val="auto"/>
        </w:rPr>
        <w:t>DECEMBER 31, 2016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40" w:type="dxa"/>
            <w:vAlign w:val="bottom"/>
          </w:tcPr>
          <w:p>
            <w:pPr>
              <w:jc w:val="center"/>
              <w:ind w:right="97"/>
              <w:spacing w:after="0"/>
              <w:rPr>
                <w:sz w:val="20"/>
                <w:szCs w:val="20"/>
                <w:color w:val="auto"/>
              </w:rPr>
            </w:pPr>
            <w:r>
              <w:rPr>
                <w:rFonts w:ascii="Arial" w:cs="Arial" w:eastAsia="Arial" w:hAnsi="Arial"/>
                <w:sz w:val="13"/>
                <w:szCs w:val="13"/>
                <w:b w:val="1"/>
                <w:bCs w:val="1"/>
                <w:color w:val="auto"/>
                <w:w w:val="84"/>
              </w:rPr>
              <w:t>Basis Point</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38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360" w:type="dxa"/>
            <w:vAlign w:val="bottom"/>
          </w:tcPr>
          <w:p>
            <w:pPr>
              <w:ind w:left="740"/>
              <w:spacing w:after="0" w:line="135" w:lineRule="exact"/>
              <w:rPr>
                <w:sz w:val="20"/>
                <w:szCs w:val="20"/>
                <w:color w:val="auto"/>
              </w:rPr>
            </w:pPr>
            <w:r>
              <w:rPr>
                <w:rFonts w:ascii="Arial" w:cs="Arial" w:eastAsia="Arial" w:hAnsi="Arial"/>
                <w:sz w:val="13"/>
                <w:szCs w:val="13"/>
                <w:b w:val="1"/>
                <w:bCs w:val="1"/>
                <w:color w:val="auto"/>
              </w:rPr>
              <w:t>Maturity /</w:t>
            </w:r>
          </w:p>
        </w:tc>
        <w:tc>
          <w:tcPr>
            <w:tcW w:w="1980" w:type="dxa"/>
            <w:vAlign w:val="bottom"/>
          </w:tcPr>
          <w:p>
            <w:pPr>
              <w:spacing w:after="0"/>
              <w:rPr>
                <w:sz w:val="11"/>
                <w:szCs w:val="11"/>
                <w:color w:val="auto"/>
              </w:rPr>
            </w:pPr>
          </w:p>
        </w:tc>
        <w:tc>
          <w:tcPr>
            <w:tcW w:w="860" w:type="dxa"/>
            <w:vAlign w:val="bottom"/>
          </w:tcPr>
          <w:p>
            <w:pPr>
              <w:jc w:val="right"/>
              <w:ind w:right="257"/>
              <w:spacing w:after="0" w:line="135" w:lineRule="exact"/>
              <w:rPr>
                <w:sz w:val="20"/>
                <w:szCs w:val="20"/>
                <w:color w:val="auto"/>
              </w:rPr>
            </w:pPr>
            <w:r>
              <w:rPr>
                <w:rFonts w:ascii="Arial" w:cs="Arial" w:eastAsia="Arial" w:hAnsi="Arial"/>
                <w:sz w:val="13"/>
                <w:szCs w:val="13"/>
                <w:b w:val="1"/>
                <w:bCs w:val="1"/>
                <w:color w:val="auto"/>
              </w:rPr>
              <w:t>Current</w:t>
            </w:r>
          </w:p>
        </w:tc>
        <w:tc>
          <w:tcPr>
            <w:tcW w:w="104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84"/>
              </w:rPr>
              <w:t>Spread Above</w:t>
            </w:r>
          </w:p>
        </w:tc>
        <w:tc>
          <w:tcPr>
            <w:tcW w:w="140" w:type="dxa"/>
            <w:vAlign w:val="bottom"/>
          </w:tcPr>
          <w:p>
            <w:pPr>
              <w:spacing w:after="0"/>
              <w:rPr>
                <w:sz w:val="11"/>
                <w:szCs w:val="11"/>
                <w:color w:val="auto"/>
              </w:rPr>
            </w:pPr>
          </w:p>
        </w:tc>
        <w:tc>
          <w:tcPr>
            <w:tcW w:w="760" w:type="dxa"/>
            <w:vAlign w:val="bottom"/>
          </w:tcPr>
          <w:p>
            <w:pPr>
              <w:jc w:val="right"/>
              <w:ind w:right="297"/>
              <w:spacing w:after="0" w:line="135" w:lineRule="exact"/>
              <w:rPr>
                <w:sz w:val="20"/>
                <w:szCs w:val="20"/>
                <w:color w:val="auto"/>
              </w:rPr>
            </w:pPr>
            <w:r>
              <w:rPr>
                <w:rFonts w:ascii="Arial" w:cs="Arial" w:eastAsia="Arial" w:hAnsi="Arial"/>
                <w:sz w:val="13"/>
                <w:szCs w:val="13"/>
                <w:b w:val="1"/>
                <w:bCs w:val="1"/>
                <w:color w:val="auto"/>
              </w:rPr>
              <w:t>Par /</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80" w:type="dxa"/>
            <w:vAlign w:val="bottom"/>
            <w:vMerge w:val="continue"/>
          </w:tcPr>
          <w:p>
            <w:pPr>
              <w:spacing w:after="0"/>
              <w:rPr>
                <w:sz w:val="13"/>
                <w:szCs w:val="13"/>
                <w:color w:val="auto"/>
              </w:rPr>
            </w:pPr>
          </w:p>
        </w:tc>
        <w:tc>
          <w:tcPr>
            <w:tcW w:w="1360" w:type="dxa"/>
            <w:vAlign w:val="bottom"/>
          </w:tcPr>
          <w:p>
            <w:pPr>
              <w:ind w:left="720"/>
              <w:spacing w:after="0"/>
              <w:rPr>
                <w:sz w:val="20"/>
                <w:szCs w:val="20"/>
                <w:color w:val="auto"/>
              </w:rPr>
            </w:pPr>
            <w:r>
              <w:rPr>
                <w:rFonts w:ascii="Arial" w:cs="Arial" w:eastAsia="Arial" w:hAnsi="Arial"/>
                <w:sz w:val="13"/>
                <w:szCs w:val="13"/>
                <w:b w:val="1"/>
                <w:bCs w:val="1"/>
                <w:color w:val="auto"/>
                <w:w w:val="97"/>
              </w:rPr>
              <w:t>Expiration</w:t>
            </w:r>
          </w:p>
        </w:tc>
        <w:tc>
          <w:tcPr>
            <w:tcW w:w="1980" w:type="dxa"/>
            <w:vAlign w:val="bottom"/>
          </w:tcPr>
          <w:p>
            <w:pPr>
              <w:jc w:val="center"/>
              <w:spacing w:after="0"/>
              <w:rPr>
                <w:sz w:val="20"/>
                <w:szCs w:val="20"/>
                <w:color w:val="auto"/>
              </w:rPr>
            </w:pPr>
            <w:r>
              <w:rPr>
                <w:rFonts w:ascii="Arial" w:cs="Arial" w:eastAsia="Arial" w:hAnsi="Arial"/>
                <w:sz w:val="13"/>
                <w:szCs w:val="13"/>
                <w:b w:val="1"/>
                <w:bCs w:val="1"/>
                <w:color w:val="auto"/>
                <w:w w:val="93"/>
              </w:rPr>
              <w:t>Industry</w:t>
            </w:r>
          </w:p>
        </w:tc>
        <w:tc>
          <w:tcPr>
            <w:tcW w:w="860" w:type="dxa"/>
            <w:vAlign w:val="bottom"/>
          </w:tcPr>
          <w:p>
            <w:pPr>
              <w:jc w:val="right"/>
              <w:ind w:right="257"/>
              <w:spacing w:after="0"/>
              <w:rPr>
                <w:sz w:val="20"/>
                <w:szCs w:val="20"/>
                <w:color w:val="auto"/>
              </w:rPr>
            </w:pPr>
            <w:r>
              <w:rPr>
                <w:rFonts w:ascii="Arial" w:cs="Arial" w:eastAsia="Arial" w:hAnsi="Arial"/>
                <w:sz w:val="13"/>
                <w:szCs w:val="13"/>
                <w:b w:val="1"/>
                <w:bCs w:val="1"/>
                <w:color w:val="auto"/>
              </w:rPr>
              <w:t>Coupon</w:t>
            </w:r>
          </w:p>
        </w:tc>
        <w:tc>
          <w:tcPr>
            <w:tcW w:w="1040" w:type="dxa"/>
            <w:vAlign w:val="bottom"/>
          </w:tcPr>
          <w:p>
            <w:pPr>
              <w:jc w:val="center"/>
              <w:ind w:right="77"/>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(4)</w:t>
            </w:r>
          </w:p>
        </w:tc>
        <w:tc>
          <w:tcPr>
            <w:tcW w:w="140" w:type="dxa"/>
            <w:vAlign w:val="bottom"/>
          </w:tcPr>
          <w:p>
            <w:pPr>
              <w:spacing w:after="0"/>
              <w:rPr>
                <w:sz w:val="13"/>
                <w:szCs w:val="13"/>
                <w:color w:val="auto"/>
              </w:rPr>
            </w:pPr>
          </w:p>
        </w:tc>
        <w:tc>
          <w:tcPr>
            <w:tcW w:w="760" w:type="dxa"/>
            <w:vAlign w:val="bottom"/>
          </w:tcPr>
          <w:p>
            <w:pPr>
              <w:jc w:val="right"/>
              <w:ind w:right="257"/>
              <w:spacing w:after="0"/>
              <w:rPr>
                <w:sz w:val="20"/>
                <w:szCs w:val="20"/>
                <w:color w:val="auto"/>
              </w:rPr>
            </w:pPr>
            <w:r>
              <w:rPr>
                <w:rFonts w:ascii="Arial" w:cs="Arial" w:eastAsia="Arial" w:hAnsi="Arial"/>
                <w:sz w:val="13"/>
                <w:szCs w:val="13"/>
                <w:b w:val="1"/>
                <w:bCs w:val="1"/>
                <w:color w:val="auto"/>
                <w:w w:val="96"/>
              </w:rPr>
              <w:t>Shares</w:t>
            </w:r>
          </w:p>
        </w:tc>
        <w:tc>
          <w:tcPr>
            <w:tcW w:w="60" w:type="dxa"/>
            <w:vAlign w:val="bottom"/>
          </w:tcPr>
          <w:p>
            <w:pPr>
              <w:spacing w:after="0"/>
              <w:rPr>
                <w:sz w:val="13"/>
                <w:szCs w:val="13"/>
                <w:color w:val="auto"/>
              </w:rPr>
            </w:pPr>
          </w:p>
        </w:tc>
        <w:tc>
          <w:tcPr>
            <w:tcW w:w="720" w:type="dxa"/>
            <w:vAlign w:val="bottom"/>
            <w:gridSpan w:val="3"/>
          </w:tcPr>
          <w:p>
            <w:pPr>
              <w:ind w:left="16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3"/>
                <w:szCs w:val="13"/>
                <w:color w:val="auto"/>
              </w:rPr>
            </w:pPr>
          </w:p>
        </w:tc>
        <w:tc>
          <w:tcPr>
            <w:tcW w:w="860" w:type="dxa"/>
            <w:vAlign w:val="bottom"/>
            <w:gridSpan w:val="3"/>
          </w:tcPr>
          <w:p>
            <w:pPr>
              <w:ind w:left="2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(3)</w:t>
            </w:r>
          </w:p>
        </w:tc>
        <w:tc>
          <w:tcPr>
            <w:tcW w:w="0" w:type="dxa"/>
            <w:vAlign w:val="bottom"/>
          </w:tcPr>
          <w:p>
            <w:pPr>
              <w:spacing w:after="0"/>
              <w:rPr>
                <w:sz w:val="1"/>
                <w:szCs w:val="1"/>
                <w:color w:val="auto"/>
              </w:rPr>
            </w:pPr>
          </w:p>
        </w:tc>
      </w:tr>
      <w:tr>
        <w:trPr>
          <w:trHeight w:val="128"/>
        </w:trPr>
        <w:tc>
          <w:tcPr>
            <w:tcW w:w="474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3"/>
              </w:rPr>
              <w:t xml:space="preserve">Investments in Non-Controlled, Non-Affiliated Portfolio Companies—146.1% </w:t>
            </w:r>
            <w:r>
              <w:rPr>
                <w:rFonts w:ascii="Arial" w:cs="Arial" w:eastAsia="Arial" w:hAnsi="Arial"/>
                <w:sz w:val="10"/>
                <w:szCs w:val="10"/>
                <w:b w:val="1"/>
                <w:bCs w:val="1"/>
                <w:color w:val="auto"/>
                <w:w w:val="93"/>
              </w:rPr>
              <w:t>(1), (2)</w:t>
            </w:r>
          </w:p>
        </w:tc>
        <w:tc>
          <w:tcPr>
            <w:tcW w:w="198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80" w:type="dxa"/>
            <w:vAlign w:val="bottom"/>
          </w:tcPr>
          <w:p>
            <w:pPr>
              <w:spacing w:after="0" w:line="135" w:lineRule="exact"/>
              <w:rPr>
                <w:sz w:val="20"/>
                <w:szCs w:val="20"/>
                <w:color w:val="auto"/>
              </w:rPr>
            </w:pPr>
            <w:r>
              <w:rPr>
                <w:rFonts w:ascii="Arial" w:cs="Arial" w:eastAsia="Arial" w:hAnsi="Arial"/>
                <w:sz w:val="13"/>
                <w:szCs w:val="13"/>
                <w:b w:val="1"/>
                <w:bCs w:val="1"/>
                <w:color w:val="auto"/>
              </w:rPr>
              <w:t>First Lien Secured Debt—55.4%</w:t>
            </w:r>
          </w:p>
        </w:tc>
        <w:tc>
          <w:tcPr>
            <w:tcW w:w="136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AP Gaming I, LLC</w:t>
            </w:r>
          </w:p>
        </w:tc>
        <w:tc>
          <w:tcPr>
            <w:tcW w:w="1360" w:type="dxa"/>
            <w:vAlign w:val="bottom"/>
            <w:shd w:val="clear" w:color="auto" w:fill="CCEEFF"/>
          </w:tcPr>
          <w:p>
            <w:pPr>
              <w:jc w:val="center"/>
              <w:ind w:left="597"/>
              <w:spacing w:after="0" w:line="135" w:lineRule="exact"/>
              <w:rPr>
                <w:sz w:val="20"/>
                <w:szCs w:val="20"/>
                <w:color w:val="auto"/>
              </w:rPr>
            </w:pPr>
            <w:r>
              <w:rPr>
                <w:rFonts w:ascii="Arial" w:cs="Arial" w:eastAsia="Arial" w:hAnsi="Arial"/>
                <w:sz w:val="13"/>
                <w:szCs w:val="13"/>
                <w:color w:val="auto"/>
                <w:w w:val="89"/>
              </w:rPr>
              <w:t>12/21/2020</w:t>
            </w:r>
          </w:p>
        </w:tc>
        <w:tc>
          <w:tcPr>
            <w:tcW w:w="19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Hotels, Motels, Inns and Gaming</w:t>
            </w:r>
          </w:p>
        </w:tc>
        <w:tc>
          <w:tcPr>
            <w:tcW w:w="8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9.25%</w:t>
            </w:r>
          </w:p>
        </w:tc>
        <w:tc>
          <w:tcPr>
            <w:tcW w:w="104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L+825</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w w:val="86"/>
              </w:rPr>
              <w:t>23,273,378</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5"/>
              </w:rPr>
              <w:t>23,009,381</w:t>
            </w:r>
          </w:p>
        </w:tc>
        <w:tc>
          <w:tcPr>
            <w:tcW w:w="160" w:type="dxa"/>
            <w:vAlign w:val="bottom"/>
            <w:gridSpan w:val="2"/>
            <w:shd w:val="clear" w:color="auto" w:fill="CCEEFF"/>
          </w:tcPr>
          <w:p>
            <w:pPr>
              <w:ind w:left="80"/>
              <w:spacing w:after="0" w:line="135" w:lineRule="exact"/>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5"/>
              </w:rPr>
              <w:t>23,118,144</w:t>
            </w:r>
          </w:p>
        </w:tc>
        <w:tc>
          <w:tcPr>
            <w:tcW w:w="0" w:type="dxa"/>
            <w:vAlign w:val="bottom"/>
          </w:tcPr>
          <w:p>
            <w:pPr>
              <w:spacing w:after="0"/>
              <w:rPr>
                <w:sz w:val="1"/>
                <w:szCs w:val="1"/>
                <w:color w:val="auto"/>
              </w:rPr>
            </w:pPr>
          </w:p>
        </w:tc>
      </w:tr>
      <w:tr>
        <w:trPr>
          <w:trHeight w:val="135"/>
        </w:trPr>
        <w:tc>
          <w:tcPr>
            <w:tcW w:w="3380" w:type="dxa"/>
            <w:vAlign w:val="bottom"/>
          </w:tcPr>
          <w:p>
            <w:pPr>
              <w:spacing w:after="0" w:line="135" w:lineRule="exact"/>
              <w:rPr>
                <w:sz w:val="20"/>
                <w:szCs w:val="20"/>
                <w:color w:val="auto"/>
              </w:rPr>
            </w:pPr>
            <w:r>
              <w:rPr>
                <w:rFonts w:ascii="Arial" w:cs="Arial" w:eastAsia="Arial" w:hAnsi="Arial"/>
                <w:sz w:val="13"/>
                <w:szCs w:val="13"/>
                <w:color w:val="auto"/>
              </w:rPr>
              <w:t>Broder Bros., Co., Tranche A</w:t>
            </w:r>
          </w:p>
        </w:tc>
        <w:tc>
          <w:tcPr>
            <w:tcW w:w="1360" w:type="dxa"/>
            <w:vAlign w:val="bottom"/>
          </w:tcPr>
          <w:p>
            <w:pPr>
              <w:jc w:val="center"/>
              <w:ind w:left="597"/>
              <w:spacing w:after="0" w:line="135" w:lineRule="exact"/>
              <w:rPr>
                <w:sz w:val="20"/>
                <w:szCs w:val="20"/>
                <w:color w:val="auto"/>
              </w:rPr>
            </w:pPr>
            <w:r>
              <w:rPr>
                <w:rFonts w:ascii="Arial" w:cs="Arial" w:eastAsia="Arial" w:hAnsi="Arial"/>
                <w:sz w:val="13"/>
                <w:szCs w:val="13"/>
                <w:color w:val="auto"/>
                <w:w w:val="89"/>
              </w:rPr>
              <w:t>06/03/2021</w:t>
            </w:r>
          </w:p>
        </w:tc>
        <w:tc>
          <w:tcPr>
            <w:tcW w:w="198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8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7.00%</w:t>
            </w:r>
          </w:p>
        </w:tc>
        <w:tc>
          <w:tcPr>
            <w:tcW w:w="10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L+575</w:t>
            </w:r>
          </w:p>
        </w:tc>
        <w:tc>
          <w:tcPr>
            <w:tcW w:w="140" w:type="dxa"/>
            <w:vAlign w:val="bottom"/>
          </w:tcPr>
          <w:p>
            <w:pPr>
              <w:spacing w:after="0"/>
              <w:rPr>
                <w:sz w:val="11"/>
                <w:szCs w:val="11"/>
                <w:color w:val="auto"/>
              </w:rPr>
            </w:pPr>
          </w:p>
        </w:tc>
        <w:tc>
          <w:tcPr>
            <w:tcW w:w="760" w:type="dxa"/>
            <w:vAlign w:val="bottom"/>
          </w:tcPr>
          <w:p>
            <w:pPr>
              <w:jc w:val="right"/>
              <w:ind w:right="117"/>
              <w:spacing w:after="0" w:line="135" w:lineRule="exact"/>
              <w:rPr>
                <w:sz w:val="20"/>
                <w:szCs w:val="20"/>
                <w:color w:val="auto"/>
              </w:rPr>
            </w:pPr>
            <w:r>
              <w:rPr>
                <w:rFonts w:ascii="Arial" w:cs="Arial" w:eastAsia="Arial" w:hAnsi="Arial"/>
                <w:sz w:val="13"/>
                <w:szCs w:val="13"/>
                <w:color w:val="auto"/>
                <w:w w:val="96"/>
              </w:rPr>
              <w:t>9,093,750</w:t>
            </w: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8,942,169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9,093,750</w:t>
            </w:r>
          </w:p>
        </w:tc>
        <w:tc>
          <w:tcPr>
            <w:tcW w:w="0" w:type="dxa"/>
            <w:vAlign w:val="bottom"/>
          </w:tcPr>
          <w:p>
            <w:pPr>
              <w:spacing w:after="0"/>
              <w:rPr>
                <w:sz w:val="1"/>
                <w:szCs w:val="1"/>
                <w:color w:val="auto"/>
              </w:rPr>
            </w:pPr>
          </w:p>
        </w:tc>
      </w:tr>
      <w:tr>
        <w:trPr>
          <w:trHeight w:val="135"/>
        </w:trPr>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Broder Bros., Co., Tranche B</w:t>
            </w:r>
          </w:p>
        </w:tc>
        <w:tc>
          <w:tcPr>
            <w:tcW w:w="1360" w:type="dxa"/>
            <w:vAlign w:val="bottom"/>
            <w:shd w:val="clear" w:color="auto" w:fill="CCEEFF"/>
          </w:tcPr>
          <w:p>
            <w:pPr>
              <w:jc w:val="center"/>
              <w:ind w:left="597"/>
              <w:spacing w:after="0" w:line="135" w:lineRule="exact"/>
              <w:rPr>
                <w:sz w:val="20"/>
                <w:szCs w:val="20"/>
                <w:color w:val="auto"/>
              </w:rPr>
            </w:pPr>
            <w:r>
              <w:rPr>
                <w:rFonts w:ascii="Arial" w:cs="Arial" w:eastAsia="Arial" w:hAnsi="Arial"/>
                <w:sz w:val="13"/>
                <w:szCs w:val="13"/>
                <w:color w:val="auto"/>
                <w:w w:val="89"/>
              </w:rPr>
              <w:t>06/03/2021</w:t>
            </w:r>
          </w:p>
        </w:tc>
        <w:tc>
          <w:tcPr>
            <w:tcW w:w="19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8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13.50%</w:t>
            </w:r>
          </w:p>
        </w:tc>
        <w:tc>
          <w:tcPr>
            <w:tcW w:w="104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L+1,225</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w w:val="96"/>
              </w:rPr>
              <w:t>9,187,500</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9,029,482</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9,187,500</w:t>
            </w:r>
          </w:p>
        </w:tc>
        <w:tc>
          <w:tcPr>
            <w:tcW w:w="0" w:type="dxa"/>
            <w:vAlign w:val="bottom"/>
          </w:tcPr>
          <w:p>
            <w:pPr>
              <w:spacing w:after="0"/>
              <w:rPr>
                <w:sz w:val="1"/>
                <w:szCs w:val="1"/>
                <w:color w:val="auto"/>
              </w:rPr>
            </w:pPr>
          </w:p>
        </w:tc>
      </w:tr>
      <w:tr>
        <w:trPr>
          <w:trHeight w:val="135"/>
        </w:trPr>
        <w:tc>
          <w:tcPr>
            <w:tcW w:w="3380" w:type="dxa"/>
            <w:vAlign w:val="bottom"/>
          </w:tcPr>
          <w:p>
            <w:pPr>
              <w:spacing w:after="0" w:line="135" w:lineRule="exact"/>
              <w:rPr>
                <w:sz w:val="20"/>
                <w:szCs w:val="20"/>
                <w:color w:val="auto"/>
              </w:rPr>
            </w:pPr>
            <w:r>
              <w:rPr>
                <w:rFonts w:ascii="Arial" w:cs="Arial" w:eastAsia="Arial" w:hAnsi="Arial"/>
                <w:sz w:val="13"/>
                <w:szCs w:val="13"/>
                <w:color w:val="auto"/>
              </w:rPr>
              <w:t>East Valley Tourist Development Authority</w:t>
            </w:r>
          </w:p>
        </w:tc>
        <w:tc>
          <w:tcPr>
            <w:tcW w:w="1360" w:type="dxa"/>
            <w:vAlign w:val="bottom"/>
          </w:tcPr>
          <w:p>
            <w:pPr>
              <w:jc w:val="center"/>
              <w:ind w:left="597"/>
              <w:spacing w:after="0" w:line="135" w:lineRule="exact"/>
              <w:rPr>
                <w:sz w:val="20"/>
                <w:szCs w:val="20"/>
                <w:color w:val="auto"/>
              </w:rPr>
            </w:pPr>
            <w:r>
              <w:rPr>
                <w:rFonts w:ascii="Arial" w:cs="Arial" w:eastAsia="Arial" w:hAnsi="Arial"/>
                <w:sz w:val="13"/>
                <w:szCs w:val="13"/>
                <w:color w:val="auto"/>
                <w:w w:val="89"/>
              </w:rPr>
              <w:t>01/17/2022</w:t>
            </w:r>
          </w:p>
        </w:tc>
        <w:tc>
          <w:tcPr>
            <w:tcW w:w="1980" w:type="dxa"/>
            <w:vAlign w:val="bottom"/>
          </w:tcPr>
          <w:p>
            <w:pPr>
              <w:jc w:val="center"/>
              <w:spacing w:after="0" w:line="135" w:lineRule="exact"/>
              <w:rPr>
                <w:sz w:val="20"/>
                <w:szCs w:val="20"/>
                <w:color w:val="auto"/>
              </w:rPr>
            </w:pPr>
            <w:r>
              <w:rPr>
                <w:rFonts w:ascii="Arial" w:cs="Arial" w:eastAsia="Arial" w:hAnsi="Arial"/>
                <w:sz w:val="13"/>
                <w:szCs w:val="13"/>
                <w:color w:val="auto"/>
                <w:w w:val="89"/>
              </w:rPr>
              <w:t>Hotels, Motels, Inns and Gaming</w:t>
            </w:r>
          </w:p>
        </w:tc>
        <w:tc>
          <w:tcPr>
            <w:tcW w:w="8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9.00%</w:t>
            </w:r>
          </w:p>
        </w:tc>
        <w:tc>
          <w:tcPr>
            <w:tcW w:w="10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L+800</w:t>
            </w:r>
          </w:p>
        </w:tc>
        <w:tc>
          <w:tcPr>
            <w:tcW w:w="140" w:type="dxa"/>
            <w:vAlign w:val="bottom"/>
          </w:tcPr>
          <w:p>
            <w:pPr>
              <w:spacing w:after="0"/>
              <w:rPr>
                <w:sz w:val="11"/>
                <w:szCs w:val="11"/>
                <w:color w:val="auto"/>
              </w:rPr>
            </w:pPr>
          </w:p>
        </w:tc>
        <w:tc>
          <w:tcPr>
            <w:tcW w:w="760" w:type="dxa"/>
            <w:vAlign w:val="bottom"/>
          </w:tcPr>
          <w:p>
            <w:pPr>
              <w:jc w:val="right"/>
              <w:ind w:right="117"/>
              <w:spacing w:after="0" w:line="135" w:lineRule="exact"/>
              <w:rPr>
                <w:sz w:val="20"/>
                <w:szCs w:val="20"/>
                <w:color w:val="auto"/>
              </w:rPr>
            </w:pPr>
            <w:r>
              <w:rPr>
                <w:rFonts w:ascii="Arial" w:cs="Arial" w:eastAsia="Arial" w:hAnsi="Arial"/>
                <w:sz w:val="13"/>
                <w:szCs w:val="13"/>
                <w:color w:val="auto"/>
                <w:w w:val="86"/>
              </w:rPr>
              <w:t>15,000,000</w:t>
            </w:r>
          </w:p>
        </w:tc>
        <w:tc>
          <w:tcPr>
            <w:tcW w:w="60" w:type="dxa"/>
            <w:vAlign w:val="bottom"/>
          </w:tcPr>
          <w:p>
            <w:pPr>
              <w:spacing w:after="0"/>
              <w:rPr>
                <w:sz w:val="11"/>
                <w:szCs w:val="11"/>
                <w:color w:val="auto"/>
              </w:rPr>
            </w:pPr>
          </w:p>
        </w:tc>
        <w:tc>
          <w:tcPr>
            <w:tcW w:w="72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w w:val="95"/>
              </w:rPr>
              <w:t>14,625,000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5"/>
              </w:rPr>
              <w:t>15,000,000</w:t>
            </w:r>
          </w:p>
        </w:tc>
        <w:tc>
          <w:tcPr>
            <w:tcW w:w="0" w:type="dxa"/>
            <w:vAlign w:val="bottom"/>
          </w:tcPr>
          <w:p>
            <w:pPr>
              <w:spacing w:after="0"/>
              <w:rPr>
                <w:sz w:val="1"/>
                <w:szCs w:val="1"/>
                <w:color w:val="auto"/>
              </w:rPr>
            </w:pPr>
          </w:p>
        </w:tc>
      </w:tr>
      <w:tr>
        <w:trPr>
          <w:trHeight w:val="135"/>
        </w:trPr>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Hollander Sleep Products, LLC</w:t>
            </w:r>
          </w:p>
        </w:tc>
        <w:tc>
          <w:tcPr>
            <w:tcW w:w="1360" w:type="dxa"/>
            <w:vAlign w:val="bottom"/>
            <w:shd w:val="clear" w:color="auto" w:fill="CCEEFF"/>
          </w:tcPr>
          <w:p>
            <w:pPr>
              <w:jc w:val="center"/>
              <w:ind w:left="597"/>
              <w:spacing w:after="0" w:line="135" w:lineRule="exact"/>
              <w:rPr>
                <w:sz w:val="20"/>
                <w:szCs w:val="20"/>
                <w:color w:val="auto"/>
              </w:rPr>
            </w:pPr>
            <w:r>
              <w:rPr>
                <w:rFonts w:ascii="Arial" w:cs="Arial" w:eastAsia="Arial" w:hAnsi="Arial"/>
                <w:sz w:val="13"/>
                <w:szCs w:val="13"/>
                <w:color w:val="auto"/>
                <w:w w:val="89"/>
              </w:rPr>
              <w:t>10/21/2020</w:t>
            </w:r>
          </w:p>
        </w:tc>
        <w:tc>
          <w:tcPr>
            <w:tcW w:w="19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8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9.00%</w:t>
            </w:r>
          </w:p>
        </w:tc>
        <w:tc>
          <w:tcPr>
            <w:tcW w:w="104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L+800</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w w:val="96"/>
              </w:rPr>
              <w:t>4,372,074</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4,326,685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4,284,633</w:t>
            </w:r>
          </w:p>
        </w:tc>
        <w:tc>
          <w:tcPr>
            <w:tcW w:w="0" w:type="dxa"/>
            <w:vAlign w:val="bottom"/>
          </w:tcPr>
          <w:p>
            <w:pPr>
              <w:spacing w:after="0"/>
              <w:rPr>
                <w:sz w:val="1"/>
                <w:szCs w:val="1"/>
                <w:color w:val="auto"/>
              </w:rPr>
            </w:pPr>
          </w:p>
        </w:tc>
      </w:tr>
      <w:tr>
        <w:trPr>
          <w:trHeight w:val="135"/>
        </w:trPr>
        <w:tc>
          <w:tcPr>
            <w:tcW w:w="3380" w:type="dxa"/>
            <w:vAlign w:val="bottom"/>
          </w:tcPr>
          <w:p>
            <w:pPr>
              <w:spacing w:after="0" w:line="135" w:lineRule="exact"/>
              <w:rPr>
                <w:sz w:val="20"/>
                <w:szCs w:val="20"/>
                <w:color w:val="auto"/>
              </w:rPr>
            </w:pPr>
            <w:r>
              <w:rPr>
                <w:rFonts w:ascii="Arial" w:cs="Arial" w:eastAsia="Arial" w:hAnsi="Arial"/>
                <w:sz w:val="13"/>
                <w:szCs w:val="13"/>
                <w:color w:val="auto"/>
              </w:rPr>
              <w:t>Interior Specialists, Inc.</w:t>
            </w:r>
          </w:p>
        </w:tc>
        <w:tc>
          <w:tcPr>
            <w:tcW w:w="1360" w:type="dxa"/>
            <w:vAlign w:val="bottom"/>
          </w:tcPr>
          <w:p>
            <w:pPr>
              <w:jc w:val="center"/>
              <w:ind w:left="597"/>
              <w:spacing w:after="0" w:line="135" w:lineRule="exact"/>
              <w:rPr>
                <w:sz w:val="20"/>
                <w:szCs w:val="20"/>
                <w:color w:val="auto"/>
              </w:rPr>
            </w:pPr>
            <w:r>
              <w:rPr>
                <w:rFonts w:ascii="Arial" w:cs="Arial" w:eastAsia="Arial" w:hAnsi="Arial"/>
                <w:sz w:val="13"/>
                <w:szCs w:val="13"/>
                <w:color w:val="auto"/>
                <w:w w:val="89"/>
              </w:rPr>
              <w:t>06/30/2020</w:t>
            </w:r>
          </w:p>
        </w:tc>
        <w:tc>
          <w:tcPr>
            <w:tcW w:w="1980" w:type="dxa"/>
            <w:vAlign w:val="bottom"/>
          </w:tcPr>
          <w:p>
            <w:pPr>
              <w:jc w:val="center"/>
              <w:spacing w:after="0" w:line="135" w:lineRule="exact"/>
              <w:rPr>
                <w:sz w:val="20"/>
                <w:szCs w:val="20"/>
                <w:color w:val="auto"/>
              </w:rPr>
            </w:pPr>
            <w:r>
              <w:rPr>
                <w:rFonts w:ascii="Arial" w:cs="Arial" w:eastAsia="Arial" w:hAnsi="Arial"/>
                <w:sz w:val="13"/>
                <w:szCs w:val="13"/>
                <w:color w:val="auto"/>
                <w:w w:val="93"/>
              </w:rPr>
              <w:t>Building Materials</w:t>
            </w:r>
          </w:p>
        </w:tc>
        <w:tc>
          <w:tcPr>
            <w:tcW w:w="8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9.00%</w:t>
            </w:r>
          </w:p>
        </w:tc>
        <w:tc>
          <w:tcPr>
            <w:tcW w:w="10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L+800</w:t>
            </w:r>
          </w:p>
        </w:tc>
        <w:tc>
          <w:tcPr>
            <w:tcW w:w="140" w:type="dxa"/>
            <w:vAlign w:val="bottom"/>
          </w:tcPr>
          <w:p>
            <w:pPr>
              <w:spacing w:after="0"/>
              <w:rPr>
                <w:sz w:val="11"/>
                <w:szCs w:val="11"/>
                <w:color w:val="auto"/>
              </w:rPr>
            </w:pPr>
          </w:p>
        </w:tc>
        <w:tc>
          <w:tcPr>
            <w:tcW w:w="760" w:type="dxa"/>
            <w:vAlign w:val="bottom"/>
          </w:tcPr>
          <w:p>
            <w:pPr>
              <w:jc w:val="right"/>
              <w:ind w:right="117"/>
              <w:spacing w:after="0" w:line="135" w:lineRule="exact"/>
              <w:rPr>
                <w:sz w:val="20"/>
                <w:szCs w:val="20"/>
                <w:color w:val="auto"/>
              </w:rPr>
            </w:pPr>
            <w:r>
              <w:rPr>
                <w:rFonts w:ascii="Arial" w:cs="Arial" w:eastAsia="Arial" w:hAnsi="Arial"/>
                <w:sz w:val="13"/>
                <w:szCs w:val="13"/>
                <w:color w:val="auto"/>
                <w:w w:val="86"/>
              </w:rPr>
              <w:t>24,856,494</w:t>
            </w:r>
          </w:p>
        </w:tc>
        <w:tc>
          <w:tcPr>
            <w:tcW w:w="60" w:type="dxa"/>
            <w:vAlign w:val="bottom"/>
          </w:tcPr>
          <w:p>
            <w:pPr>
              <w:spacing w:after="0"/>
              <w:rPr>
                <w:sz w:val="11"/>
                <w:szCs w:val="11"/>
                <w:color w:val="auto"/>
              </w:rPr>
            </w:pPr>
          </w:p>
        </w:tc>
        <w:tc>
          <w:tcPr>
            <w:tcW w:w="72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w w:val="95"/>
              </w:rPr>
              <w:t>24,672,205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5"/>
              </w:rPr>
              <w:t>24,856,494</w:t>
            </w:r>
          </w:p>
        </w:tc>
        <w:tc>
          <w:tcPr>
            <w:tcW w:w="0" w:type="dxa"/>
            <w:vAlign w:val="bottom"/>
          </w:tcPr>
          <w:p>
            <w:pPr>
              <w:spacing w:after="0"/>
              <w:rPr>
                <w:sz w:val="1"/>
                <w:szCs w:val="1"/>
                <w:color w:val="auto"/>
              </w:rPr>
            </w:pPr>
          </w:p>
        </w:tc>
      </w:tr>
      <w:tr>
        <w:trPr>
          <w:trHeight w:val="121"/>
        </w:trPr>
        <w:tc>
          <w:tcPr>
            <w:tcW w:w="33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Juniper Landscaping of Florida, LLC</w:t>
            </w:r>
          </w:p>
        </w:tc>
        <w:tc>
          <w:tcPr>
            <w:tcW w:w="1360" w:type="dxa"/>
            <w:vAlign w:val="bottom"/>
            <w:shd w:val="clear" w:color="auto" w:fill="CCEEFF"/>
          </w:tcPr>
          <w:p>
            <w:pPr>
              <w:jc w:val="center"/>
              <w:ind w:left="597"/>
              <w:spacing w:after="0" w:line="121" w:lineRule="exact"/>
              <w:rPr>
                <w:sz w:val="20"/>
                <w:szCs w:val="20"/>
                <w:color w:val="auto"/>
              </w:rPr>
            </w:pPr>
            <w:r>
              <w:rPr>
                <w:rFonts w:ascii="Arial" w:cs="Arial" w:eastAsia="Arial" w:hAnsi="Arial"/>
                <w:sz w:val="13"/>
                <w:szCs w:val="13"/>
                <w:color w:val="auto"/>
                <w:w w:val="89"/>
              </w:rPr>
              <w:t>12/22/2021</w:t>
            </w:r>
          </w:p>
        </w:tc>
        <w:tc>
          <w:tcPr>
            <w:tcW w:w="19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4"/>
              </w:rPr>
              <w:t>Personal, Food and</w:t>
            </w:r>
          </w:p>
        </w:tc>
        <w:tc>
          <w:tcPr>
            <w:tcW w:w="86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10.50%</w:t>
            </w:r>
          </w:p>
        </w:tc>
        <w:tc>
          <w:tcPr>
            <w:tcW w:w="104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L+950</w:t>
            </w: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117"/>
              <w:spacing w:after="0" w:line="121" w:lineRule="exact"/>
              <w:rPr>
                <w:sz w:val="20"/>
                <w:szCs w:val="20"/>
                <w:color w:val="auto"/>
              </w:rPr>
            </w:pPr>
            <w:r>
              <w:rPr>
                <w:rFonts w:ascii="Arial" w:cs="Arial" w:eastAsia="Arial" w:hAnsi="Arial"/>
                <w:sz w:val="13"/>
                <w:szCs w:val="13"/>
                <w:color w:val="auto"/>
                <w:w w:val="86"/>
              </w:rPr>
              <w:t>14,445,000</w:t>
            </w:r>
          </w:p>
        </w:tc>
        <w:tc>
          <w:tcPr>
            <w:tcW w:w="60" w:type="dxa"/>
            <w:vAlign w:val="bottom"/>
            <w:shd w:val="clear" w:color="auto" w:fill="CCEEFF"/>
          </w:tcPr>
          <w:p>
            <w:pPr>
              <w:spacing w:after="0"/>
              <w:rPr>
                <w:sz w:val="10"/>
                <w:szCs w:val="10"/>
                <w:color w:val="auto"/>
              </w:rPr>
            </w:pPr>
          </w:p>
        </w:tc>
        <w:tc>
          <w:tcPr>
            <w:tcW w:w="720" w:type="dxa"/>
            <w:vAlign w:val="bottom"/>
            <w:gridSpan w:val="3"/>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w w:val="95"/>
              </w:rPr>
              <w:t>14,157,343</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w w:val="95"/>
              </w:rPr>
              <w:t>14,156,100</w:t>
            </w:r>
          </w:p>
        </w:tc>
        <w:tc>
          <w:tcPr>
            <w:tcW w:w="0" w:type="dxa"/>
            <w:vAlign w:val="bottom"/>
          </w:tcPr>
          <w:p>
            <w:pPr>
              <w:spacing w:after="0"/>
              <w:rPr>
                <w:sz w:val="1"/>
                <w:szCs w:val="1"/>
                <w:color w:val="auto"/>
              </w:rPr>
            </w:pPr>
          </w:p>
        </w:tc>
      </w:tr>
      <w:tr>
        <w:trPr>
          <w:trHeight w:val="149"/>
        </w:trPr>
        <w:tc>
          <w:tcPr>
            <w:tcW w:w="33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Miscellaneous Services</w:t>
            </w:r>
          </w:p>
        </w:tc>
        <w:tc>
          <w:tcPr>
            <w:tcW w:w="8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line="121" w:lineRule="exact"/>
              <w:rPr>
                <w:sz w:val="20"/>
                <w:szCs w:val="20"/>
                <w:color w:val="auto"/>
              </w:rPr>
            </w:pPr>
            <w:r>
              <w:rPr>
                <w:rFonts w:ascii="Arial" w:cs="Arial" w:eastAsia="Arial" w:hAnsi="Arial"/>
                <w:sz w:val="13"/>
                <w:szCs w:val="13"/>
                <w:color w:val="auto"/>
              </w:rPr>
              <w:t xml:space="preserve">Juniper Landscaping of Florida, LLC (Revolver) </w:t>
            </w:r>
            <w:r>
              <w:rPr>
                <w:rFonts w:ascii="Arial" w:cs="Arial" w:eastAsia="Arial" w:hAnsi="Arial"/>
                <w:sz w:val="10"/>
                <w:szCs w:val="10"/>
                <w:color w:val="auto"/>
              </w:rPr>
              <w:t>(8)</w:t>
            </w:r>
          </w:p>
        </w:tc>
        <w:tc>
          <w:tcPr>
            <w:tcW w:w="1360" w:type="dxa"/>
            <w:vAlign w:val="bottom"/>
          </w:tcPr>
          <w:p>
            <w:pPr>
              <w:jc w:val="center"/>
              <w:ind w:left="597"/>
              <w:spacing w:after="0" w:line="121" w:lineRule="exact"/>
              <w:rPr>
                <w:sz w:val="20"/>
                <w:szCs w:val="20"/>
                <w:color w:val="auto"/>
              </w:rPr>
            </w:pPr>
            <w:r>
              <w:rPr>
                <w:rFonts w:ascii="Arial" w:cs="Arial" w:eastAsia="Arial" w:hAnsi="Arial"/>
                <w:sz w:val="13"/>
                <w:szCs w:val="13"/>
                <w:color w:val="auto"/>
                <w:w w:val="89"/>
              </w:rPr>
              <w:t>12/22/2021</w:t>
            </w:r>
          </w:p>
        </w:tc>
        <w:tc>
          <w:tcPr>
            <w:tcW w:w="1980" w:type="dxa"/>
            <w:vAlign w:val="bottom"/>
          </w:tcPr>
          <w:p>
            <w:pPr>
              <w:jc w:val="center"/>
              <w:spacing w:after="0" w:line="121" w:lineRule="exact"/>
              <w:rPr>
                <w:sz w:val="20"/>
                <w:szCs w:val="20"/>
                <w:color w:val="auto"/>
              </w:rPr>
            </w:pPr>
            <w:r>
              <w:rPr>
                <w:rFonts w:ascii="Arial" w:cs="Arial" w:eastAsia="Arial" w:hAnsi="Arial"/>
                <w:sz w:val="13"/>
                <w:szCs w:val="13"/>
                <w:color w:val="auto"/>
                <w:w w:val="84"/>
              </w:rPr>
              <w:t>Personal, Food and</w:t>
            </w:r>
          </w:p>
        </w:tc>
        <w:tc>
          <w:tcPr>
            <w:tcW w:w="86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760" w:type="dxa"/>
            <w:vAlign w:val="bottom"/>
          </w:tcPr>
          <w:p>
            <w:pPr>
              <w:jc w:val="right"/>
              <w:ind w:right="117"/>
              <w:spacing w:after="0" w:line="121" w:lineRule="exact"/>
              <w:rPr>
                <w:sz w:val="20"/>
                <w:szCs w:val="20"/>
                <w:color w:val="auto"/>
              </w:rPr>
            </w:pPr>
            <w:r>
              <w:rPr>
                <w:rFonts w:ascii="Arial" w:cs="Arial" w:eastAsia="Arial" w:hAnsi="Arial"/>
                <w:sz w:val="13"/>
                <w:szCs w:val="13"/>
                <w:color w:val="auto"/>
                <w:w w:val="96"/>
              </w:rPr>
              <w:t>3,600,000</w:t>
            </w:r>
          </w:p>
        </w:tc>
        <w:tc>
          <w:tcPr>
            <w:tcW w:w="60" w:type="dxa"/>
            <w:vAlign w:val="bottom"/>
          </w:tcPr>
          <w:p>
            <w:pPr>
              <w:spacing w:after="0"/>
              <w:rPr>
                <w:sz w:val="10"/>
                <w:szCs w:val="10"/>
                <w:color w:val="auto"/>
              </w:rPr>
            </w:pPr>
          </w:p>
        </w:tc>
        <w:tc>
          <w:tcPr>
            <w:tcW w:w="720" w:type="dxa"/>
            <w:vAlign w:val="bottom"/>
            <w:gridSpan w:val="3"/>
          </w:tcPr>
          <w:p>
            <w:pPr>
              <w:jc w:val="right"/>
              <w:ind w:right="80"/>
              <w:spacing w:after="0" w:line="12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980" w:type="dxa"/>
            <w:vAlign w:val="bottom"/>
          </w:tcPr>
          <w:p>
            <w:pPr>
              <w:jc w:val="center"/>
              <w:spacing w:after="0"/>
              <w:rPr>
                <w:sz w:val="20"/>
                <w:szCs w:val="20"/>
                <w:color w:val="auto"/>
              </w:rPr>
            </w:pPr>
            <w:r>
              <w:rPr>
                <w:rFonts w:ascii="Arial" w:cs="Arial" w:eastAsia="Arial" w:hAnsi="Arial"/>
                <w:sz w:val="13"/>
                <w:szCs w:val="13"/>
                <w:color w:val="auto"/>
                <w:w w:val="88"/>
              </w:rPr>
              <w:t>Miscellaneous Services</w:t>
            </w:r>
          </w:p>
        </w:tc>
        <w:tc>
          <w:tcPr>
            <w:tcW w:w="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K2 Pure Solutions NoCal, L.P.</w:t>
            </w:r>
          </w:p>
        </w:tc>
        <w:tc>
          <w:tcPr>
            <w:tcW w:w="1360" w:type="dxa"/>
            <w:vAlign w:val="bottom"/>
            <w:shd w:val="clear" w:color="auto" w:fill="CCEEFF"/>
          </w:tcPr>
          <w:p>
            <w:pPr>
              <w:jc w:val="center"/>
              <w:ind w:left="597"/>
              <w:spacing w:after="0" w:line="135" w:lineRule="exact"/>
              <w:rPr>
                <w:sz w:val="20"/>
                <w:szCs w:val="20"/>
                <w:color w:val="auto"/>
              </w:rPr>
            </w:pPr>
            <w:r>
              <w:rPr>
                <w:rFonts w:ascii="Arial" w:cs="Arial" w:eastAsia="Arial" w:hAnsi="Arial"/>
                <w:sz w:val="13"/>
                <w:szCs w:val="13"/>
                <w:color w:val="auto"/>
                <w:w w:val="89"/>
              </w:rPr>
              <w:t>02/19/2021</w:t>
            </w:r>
          </w:p>
        </w:tc>
        <w:tc>
          <w:tcPr>
            <w:tcW w:w="19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Chemicals, Plastics and Rubber</w:t>
            </w:r>
          </w:p>
        </w:tc>
        <w:tc>
          <w:tcPr>
            <w:tcW w:w="8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10.00%</w:t>
            </w:r>
          </w:p>
        </w:tc>
        <w:tc>
          <w:tcPr>
            <w:tcW w:w="104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L+900</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w w:val="86"/>
              </w:rPr>
              <w:t>14,522,529</w:t>
            </w:r>
          </w:p>
        </w:tc>
        <w:tc>
          <w:tcPr>
            <w:tcW w:w="6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5"/>
              </w:rPr>
              <w:t>14,277,953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5"/>
              </w:rPr>
              <w:t>14,250,687</w:t>
            </w:r>
          </w:p>
        </w:tc>
        <w:tc>
          <w:tcPr>
            <w:tcW w:w="0" w:type="dxa"/>
            <w:vAlign w:val="bottom"/>
          </w:tcPr>
          <w:p>
            <w:pPr>
              <w:spacing w:after="0"/>
              <w:rPr>
                <w:sz w:val="1"/>
                <w:szCs w:val="1"/>
                <w:color w:val="auto"/>
              </w:rPr>
            </w:pPr>
          </w:p>
        </w:tc>
      </w:tr>
      <w:tr>
        <w:trPr>
          <w:trHeight w:val="135"/>
        </w:trPr>
        <w:tc>
          <w:tcPr>
            <w:tcW w:w="3380" w:type="dxa"/>
            <w:vAlign w:val="bottom"/>
          </w:tcPr>
          <w:p>
            <w:pPr>
              <w:spacing w:after="0" w:line="135" w:lineRule="exact"/>
              <w:rPr>
                <w:sz w:val="20"/>
                <w:szCs w:val="20"/>
                <w:color w:val="auto"/>
              </w:rPr>
            </w:pPr>
            <w:r>
              <w:rPr>
                <w:rFonts w:ascii="Arial" w:cs="Arial" w:eastAsia="Arial" w:hAnsi="Arial"/>
                <w:sz w:val="13"/>
                <w:szCs w:val="13"/>
                <w:color w:val="auto"/>
              </w:rPr>
              <w:t>LSF9 Atlantis Holdings, LLC</w:t>
            </w:r>
          </w:p>
        </w:tc>
        <w:tc>
          <w:tcPr>
            <w:tcW w:w="1360" w:type="dxa"/>
            <w:vAlign w:val="bottom"/>
          </w:tcPr>
          <w:p>
            <w:pPr>
              <w:jc w:val="center"/>
              <w:ind w:left="597"/>
              <w:spacing w:after="0" w:line="135" w:lineRule="exact"/>
              <w:rPr>
                <w:sz w:val="20"/>
                <w:szCs w:val="20"/>
                <w:color w:val="auto"/>
              </w:rPr>
            </w:pPr>
            <w:r>
              <w:rPr>
                <w:rFonts w:ascii="Arial" w:cs="Arial" w:eastAsia="Arial" w:hAnsi="Arial"/>
                <w:sz w:val="13"/>
                <w:szCs w:val="13"/>
                <w:color w:val="auto"/>
                <w:w w:val="89"/>
              </w:rPr>
              <w:t>01/15/2021</w:t>
            </w:r>
          </w:p>
        </w:tc>
        <w:tc>
          <w:tcPr>
            <w:tcW w:w="1980" w:type="dxa"/>
            <w:vAlign w:val="bottom"/>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8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10.00%</w:t>
            </w:r>
          </w:p>
        </w:tc>
        <w:tc>
          <w:tcPr>
            <w:tcW w:w="10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L+900</w:t>
            </w:r>
          </w:p>
        </w:tc>
        <w:tc>
          <w:tcPr>
            <w:tcW w:w="140" w:type="dxa"/>
            <w:vAlign w:val="bottom"/>
          </w:tcPr>
          <w:p>
            <w:pPr>
              <w:spacing w:after="0"/>
              <w:rPr>
                <w:sz w:val="11"/>
                <w:szCs w:val="11"/>
                <w:color w:val="auto"/>
              </w:rPr>
            </w:pPr>
          </w:p>
        </w:tc>
        <w:tc>
          <w:tcPr>
            <w:tcW w:w="760" w:type="dxa"/>
            <w:vAlign w:val="bottom"/>
          </w:tcPr>
          <w:p>
            <w:pPr>
              <w:jc w:val="right"/>
              <w:ind w:right="117"/>
              <w:spacing w:after="0" w:line="135" w:lineRule="exact"/>
              <w:rPr>
                <w:sz w:val="20"/>
                <w:szCs w:val="20"/>
                <w:color w:val="auto"/>
              </w:rPr>
            </w:pPr>
            <w:r>
              <w:rPr>
                <w:rFonts w:ascii="Arial" w:cs="Arial" w:eastAsia="Arial" w:hAnsi="Arial"/>
                <w:sz w:val="13"/>
                <w:szCs w:val="13"/>
                <w:color w:val="auto"/>
                <w:w w:val="86"/>
              </w:rPr>
              <w:t>37,898,852</w:t>
            </w:r>
          </w:p>
        </w:tc>
        <w:tc>
          <w:tcPr>
            <w:tcW w:w="60" w:type="dxa"/>
            <w:vAlign w:val="bottom"/>
          </w:tcPr>
          <w:p>
            <w:pPr>
              <w:spacing w:after="0"/>
              <w:rPr>
                <w:sz w:val="11"/>
                <w:szCs w:val="11"/>
                <w:color w:val="auto"/>
              </w:rPr>
            </w:pPr>
          </w:p>
        </w:tc>
        <w:tc>
          <w:tcPr>
            <w:tcW w:w="72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w w:val="95"/>
              </w:rPr>
              <w:t>37,422,706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5"/>
              </w:rPr>
              <w:t>37,898,852</w:t>
            </w:r>
          </w:p>
        </w:tc>
        <w:tc>
          <w:tcPr>
            <w:tcW w:w="0" w:type="dxa"/>
            <w:vAlign w:val="bottom"/>
          </w:tcPr>
          <w:p>
            <w:pPr>
              <w:spacing w:after="0"/>
              <w:rPr>
                <w:sz w:val="1"/>
                <w:szCs w:val="1"/>
                <w:color w:val="auto"/>
              </w:rPr>
            </w:pPr>
          </w:p>
        </w:tc>
      </w:tr>
      <w:tr>
        <w:trPr>
          <w:trHeight w:val="135"/>
        </w:trPr>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Montreign Operating Company, LLC</w:t>
            </w:r>
          </w:p>
        </w:tc>
        <w:tc>
          <w:tcPr>
            <w:tcW w:w="1360" w:type="dxa"/>
            <w:vAlign w:val="bottom"/>
            <w:shd w:val="clear" w:color="auto" w:fill="CCEEFF"/>
          </w:tcPr>
          <w:p>
            <w:pPr>
              <w:jc w:val="center"/>
              <w:ind w:left="597"/>
              <w:spacing w:after="0" w:line="135" w:lineRule="exact"/>
              <w:rPr>
                <w:sz w:val="20"/>
                <w:szCs w:val="20"/>
                <w:color w:val="auto"/>
              </w:rPr>
            </w:pPr>
            <w:r>
              <w:rPr>
                <w:rFonts w:ascii="Arial" w:cs="Arial" w:eastAsia="Arial" w:hAnsi="Arial"/>
                <w:sz w:val="13"/>
                <w:szCs w:val="13"/>
                <w:color w:val="auto"/>
                <w:w w:val="89"/>
              </w:rPr>
              <w:t>01/24/2023</w:t>
            </w:r>
          </w:p>
        </w:tc>
        <w:tc>
          <w:tcPr>
            <w:tcW w:w="19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Hotels, Motels, Inns and Gaming</w:t>
            </w:r>
          </w:p>
        </w:tc>
        <w:tc>
          <w:tcPr>
            <w:tcW w:w="8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9.25%</w:t>
            </w:r>
          </w:p>
        </w:tc>
        <w:tc>
          <w:tcPr>
            <w:tcW w:w="104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L+825</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w w:val="86"/>
              </w:rPr>
              <w:t>23,800,000</w:t>
            </w:r>
          </w:p>
        </w:tc>
        <w:tc>
          <w:tcPr>
            <w:tcW w:w="6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5"/>
              </w:rPr>
              <w:t>23,324,000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5"/>
              </w:rPr>
              <w:t>23,978,500</w:t>
            </w:r>
          </w:p>
        </w:tc>
        <w:tc>
          <w:tcPr>
            <w:tcW w:w="0" w:type="dxa"/>
            <w:vAlign w:val="bottom"/>
          </w:tcPr>
          <w:p>
            <w:pPr>
              <w:spacing w:after="0"/>
              <w:rPr>
                <w:sz w:val="1"/>
                <w:szCs w:val="1"/>
                <w:color w:val="auto"/>
              </w:rPr>
            </w:pPr>
          </w:p>
        </w:tc>
      </w:tr>
      <w:tr>
        <w:trPr>
          <w:trHeight w:val="121"/>
        </w:trPr>
        <w:tc>
          <w:tcPr>
            <w:tcW w:w="3380" w:type="dxa"/>
            <w:vAlign w:val="bottom"/>
          </w:tcPr>
          <w:p>
            <w:pPr>
              <w:spacing w:after="0" w:line="121" w:lineRule="exact"/>
              <w:rPr>
                <w:sz w:val="20"/>
                <w:szCs w:val="20"/>
                <w:color w:val="auto"/>
              </w:rPr>
            </w:pPr>
            <w:r>
              <w:rPr>
                <w:rFonts w:ascii="Arial" w:cs="Arial" w:eastAsia="Arial" w:hAnsi="Arial"/>
                <w:sz w:val="13"/>
                <w:szCs w:val="13"/>
                <w:color w:val="auto"/>
              </w:rPr>
              <w:t xml:space="preserve">Prince Mineral Holding Corp. </w:t>
            </w:r>
            <w:r>
              <w:rPr>
                <w:rFonts w:ascii="Arial" w:cs="Arial" w:eastAsia="Arial" w:hAnsi="Arial"/>
                <w:sz w:val="10"/>
                <w:szCs w:val="10"/>
                <w:color w:val="auto"/>
              </w:rPr>
              <w:t>(5)</w:t>
            </w:r>
          </w:p>
        </w:tc>
        <w:tc>
          <w:tcPr>
            <w:tcW w:w="1360" w:type="dxa"/>
            <w:vAlign w:val="bottom"/>
          </w:tcPr>
          <w:p>
            <w:pPr>
              <w:jc w:val="center"/>
              <w:ind w:left="597"/>
              <w:spacing w:after="0" w:line="121" w:lineRule="exact"/>
              <w:rPr>
                <w:sz w:val="20"/>
                <w:szCs w:val="20"/>
                <w:color w:val="auto"/>
              </w:rPr>
            </w:pPr>
            <w:r>
              <w:rPr>
                <w:rFonts w:ascii="Arial" w:cs="Arial" w:eastAsia="Arial" w:hAnsi="Arial"/>
                <w:sz w:val="13"/>
                <w:szCs w:val="13"/>
                <w:color w:val="auto"/>
                <w:w w:val="89"/>
              </w:rPr>
              <w:t>12/16/2019</w:t>
            </w:r>
          </w:p>
        </w:tc>
        <w:tc>
          <w:tcPr>
            <w:tcW w:w="1980" w:type="dxa"/>
            <w:vAlign w:val="bottom"/>
          </w:tcPr>
          <w:p>
            <w:pPr>
              <w:jc w:val="center"/>
              <w:spacing w:after="0" w:line="121" w:lineRule="exact"/>
              <w:rPr>
                <w:sz w:val="20"/>
                <w:szCs w:val="20"/>
                <w:color w:val="auto"/>
              </w:rPr>
            </w:pPr>
            <w:r>
              <w:rPr>
                <w:rFonts w:ascii="Arial" w:cs="Arial" w:eastAsia="Arial" w:hAnsi="Arial"/>
                <w:sz w:val="13"/>
                <w:szCs w:val="13"/>
                <w:color w:val="auto"/>
                <w:w w:val="89"/>
              </w:rPr>
              <w:t>Mining, Steel, Iron and</w:t>
            </w:r>
          </w:p>
        </w:tc>
        <w:tc>
          <w:tcPr>
            <w:tcW w:w="860" w:type="dxa"/>
            <w:vAlign w:val="bottom"/>
          </w:tcPr>
          <w:p>
            <w:pPr>
              <w:jc w:val="right"/>
              <w:ind w:right="57"/>
              <w:spacing w:after="0" w:line="121" w:lineRule="exact"/>
              <w:rPr>
                <w:sz w:val="20"/>
                <w:szCs w:val="20"/>
                <w:color w:val="auto"/>
              </w:rPr>
            </w:pPr>
            <w:r>
              <w:rPr>
                <w:rFonts w:ascii="Arial" w:cs="Arial" w:eastAsia="Arial" w:hAnsi="Arial"/>
                <w:sz w:val="13"/>
                <w:szCs w:val="13"/>
                <w:color w:val="auto"/>
              </w:rPr>
              <w:t>11.50%</w:t>
            </w:r>
          </w:p>
        </w:tc>
        <w:tc>
          <w:tcPr>
            <w:tcW w:w="104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760" w:type="dxa"/>
            <w:vAlign w:val="bottom"/>
          </w:tcPr>
          <w:p>
            <w:pPr>
              <w:jc w:val="right"/>
              <w:ind w:right="117"/>
              <w:spacing w:after="0" w:line="121" w:lineRule="exact"/>
              <w:rPr>
                <w:sz w:val="20"/>
                <w:szCs w:val="20"/>
                <w:color w:val="auto"/>
              </w:rPr>
            </w:pPr>
            <w:r>
              <w:rPr>
                <w:rFonts w:ascii="Arial" w:cs="Arial" w:eastAsia="Arial" w:hAnsi="Arial"/>
                <w:sz w:val="13"/>
                <w:szCs w:val="13"/>
                <w:color w:val="auto"/>
                <w:w w:val="86"/>
              </w:rPr>
              <w:t>14,250,000</w:t>
            </w:r>
          </w:p>
        </w:tc>
        <w:tc>
          <w:tcPr>
            <w:tcW w:w="60" w:type="dxa"/>
            <w:vAlign w:val="bottom"/>
          </w:tcPr>
          <w:p>
            <w:pPr>
              <w:spacing w:after="0"/>
              <w:rPr>
                <w:sz w:val="10"/>
                <w:szCs w:val="10"/>
                <w:color w:val="auto"/>
              </w:rPr>
            </w:pPr>
          </w:p>
        </w:tc>
        <w:tc>
          <w:tcPr>
            <w:tcW w:w="720" w:type="dxa"/>
            <w:vAlign w:val="bottom"/>
            <w:gridSpan w:val="3"/>
          </w:tcPr>
          <w:p>
            <w:pPr>
              <w:jc w:val="right"/>
              <w:ind w:right="80"/>
              <w:spacing w:after="0" w:line="121" w:lineRule="exact"/>
              <w:rPr>
                <w:sz w:val="20"/>
                <w:szCs w:val="20"/>
                <w:color w:val="auto"/>
              </w:rPr>
            </w:pPr>
            <w:r>
              <w:rPr>
                <w:rFonts w:ascii="Arial" w:cs="Arial" w:eastAsia="Arial" w:hAnsi="Arial"/>
                <w:sz w:val="13"/>
                <w:szCs w:val="13"/>
                <w:color w:val="auto"/>
                <w:w w:val="95"/>
              </w:rPr>
              <w:t>14,162,605</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w w:val="95"/>
              </w:rPr>
              <w:t>13,929,375</w:t>
            </w: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980" w:type="dxa"/>
            <w:vAlign w:val="bottom"/>
          </w:tcPr>
          <w:p>
            <w:pPr>
              <w:jc w:val="center"/>
              <w:spacing w:after="0"/>
              <w:rPr>
                <w:sz w:val="20"/>
                <w:szCs w:val="20"/>
                <w:color w:val="auto"/>
              </w:rPr>
            </w:pPr>
            <w:r>
              <w:rPr>
                <w:rFonts w:ascii="Arial" w:cs="Arial" w:eastAsia="Arial" w:hAnsi="Arial"/>
                <w:sz w:val="13"/>
                <w:szCs w:val="13"/>
                <w:color w:val="auto"/>
                <w:w w:val="89"/>
              </w:rPr>
              <w:t>Non-Precious Metals</w:t>
            </w:r>
          </w:p>
        </w:tc>
        <w:tc>
          <w:tcPr>
            <w:tcW w:w="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Robertshaw US Holding Corp.</w:t>
            </w:r>
          </w:p>
        </w:tc>
        <w:tc>
          <w:tcPr>
            <w:tcW w:w="1360" w:type="dxa"/>
            <w:vAlign w:val="bottom"/>
            <w:shd w:val="clear" w:color="auto" w:fill="CCEEFF"/>
          </w:tcPr>
          <w:p>
            <w:pPr>
              <w:jc w:val="center"/>
              <w:ind w:left="597"/>
              <w:spacing w:after="0" w:line="135" w:lineRule="exact"/>
              <w:rPr>
                <w:sz w:val="20"/>
                <w:szCs w:val="20"/>
                <w:color w:val="auto"/>
              </w:rPr>
            </w:pPr>
            <w:r>
              <w:rPr>
                <w:rFonts w:ascii="Arial" w:cs="Arial" w:eastAsia="Arial" w:hAnsi="Arial"/>
                <w:sz w:val="13"/>
                <w:szCs w:val="13"/>
                <w:color w:val="auto"/>
                <w:w w:val="89"/>
              </w:rPr>
              <w:t>06/18/2019</w:t>
            </w:r>
          </w:p>
        </w:tc>
        <w:tc>
          <w:tcPr>
            <w:tcW w:w="19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8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8.50%</w:t>
            </w:r>
          </w:p>
        </w:tc>
        <w:tc>
          <w:tcPr>
            <w:tcW w:w="104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L+700</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w w:val="86"/>
              </w:rPr>
              <w:t>15,921,316</w:t>
            </w:r>
          </w:p>
        </w:tc>
        <w:tc>
          <w:tcPr>
            <w:tcW w:w="6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5"/>
              </w:rPr>
              <w:t>15,855,578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5"/>
              </w:rPr>
              <w:t>15,711,057</w:t>
            </w:r>
          </w:p>
        </w:tc>
        <w:tc>
          <w:tcPr>
            <w:tcW w:w="0" w:type="dxa"/>
            <w:vAlign w:val="bottom"/>
          </w:tcPr>
          <w:p>
            <w:pPr>
              <w:spacing w:after="0"/>
              <w:rPr>
                <w:sz w:val="1"/>
                <w:szCs w:val="1"/>
                <w:color w:val="auto"/>
              </w:rPr>
            </w:pPr>
          </w:p>
        </w:tc>
      </w:tr>
      <w:tr>
        <w:trPr>
          <w:trHeight w:val="135"/>
        </w:trPr>
        <w:tc>
          <w:tcPr>
            <w:tcW w:w="3380" w:type="dxa"/>
            <w:vAlign w:val="bottom"/>
          </w:tcPr>
          <w:p>
            <w:pPr>
              <w:spacing w:after="0" w:line="135" w:lineRule="exact"/>
              <w:rPr>
                <w:sz w:val="20"/>
                <w:szCs w:val="20"/>
                <w:color w:val="auto"/>
              </w:rPr>
            </w:pPr>
            <w:r>
              <w:rPr>
                <w:rFonts w:ascii="Arial" w:cs="Arial" w:eastAsia="Arial" w:hAnsi="Arial"/>
                <w:sz w:val="13"/>
                <w:szCs w:val="13"/>
                <w:color w:val="auto"/>
              </w:rPr>
              <w:t>Sotera Defense Solutions, Inc.</w:t>
            </w:r>
          </w:p>
        </w:tc>
        <w:tc>
          <w:tcPr>
            <w:tcW w:w="1360" w:type="dxa"/>
            <w:vAlign w:val="bottom"/>
          </w:tcPr>
          <w:p>
            <w:pPr>
              <w:jc w:val="center"/>
              <w:ind w:left="597"/>
              <w:spacing w:after="0" w:line="135" w:lineRule="exact"/>
              <w:rPr>
                <w:sz w:val="20"/>
                <w:szCs w:val="20"/>
                <w:color w:val="auto"/>
              </w:rPr>
            </w:pPr>
            <w:r>
              <w:rPr>
                <w:rFonts w:ascii="Arial" w:cs="Arial" w:eastAsia="Arial" w:hAnsi="Arial"/>
                <w:sz w:val="13"/>
                <w:szCs w:val="13"/>
                <w:color w:val="auto"/>
                <w:w w:val="89"/>
              </w:rPr>
              <w:t>04/21/2017</w:t>
            </w:r>
          </w:p>
        </w:tc>
        <w:tc>
          <w:tcPr>
            <w:tcW w:w="1980" w:type="dxa"/>
            <w:vAlign w:val="bottom"/>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8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9.00%</w:t>
            </w:r>
          </w:p>
        </w:tc>
        <w:tc>
          <w:tcPr>
            <w:tcW w:w="10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L+750</w:t>
            </w:r>
          </w:p>
        </w:tc>
        <w:tc>
          <w:tcPr>
            <w:tcW w:w="140" w:type="dxa"/>
            <w:vAlign w:val="bottom"/>
          </w:tcPr>
          <w:p>
            <w:pPr>
              <w:spacing w:after="0"/>
              <w:rPr>
                <w:sz w:val="11"/>
                <w:szCs w:val="11"/>
                <w:color w:val="auto"/>
              </w:rPr>
            </w:pPr>
          </w:p>
        </w:tc>
        <w:tc>
          <w:tcPr>
            <w:tcW w:w="760" w:type="dxa"/>
            <w:vAlign w:val="bottom"/>
          </w:tcPr>
          <w:p>
            <w:pPr>
              <w:jc w:val="right"/>
              <w:ind w:right="117"/>
              <w:spacing w:after="0" w:line="135" w:lineRule="exact"/>
              <w:rPr>
                <w:sz w:val="20"/>
                <w:szCs w:val="20"/>
                <w:color w:val="auto"/>
              </w:rPr>
            </w:pPr>
            <w:r>
              <w:rPr>
                <w:rFonts w:ascii="Arial" w:cs="Arial" w:eastAsia="Arial" w:hAnsi="Arial"/>
                <w:sz w:val="13"/>
                <w:szCs w:val="13"/>
                <w:color w:val="auto"/>
                <w:w w:val="86"/>
              </w:rPr>
              <w:t>37,929,343</w:t>
            </w:r>
          </w:p>
        </w:tc>
        <w:tc>
          <w:tcPr>
            <w:tcW w:w="60" w:type="dxa"/>
            <w:vAlign w:val="bottom"/>
          </w:tcPr>
          <w:p>
            <w:pPr>
              <w:spacing w:after="0"/>
              <w:rPr>
                <w:sz w:val="11"/>
                <w:szCs w:val="11"/>
                <w:color w:val="auto"/>
              </w:rPr>
            </w:pPr>
          </w:p>
        </w:tc>
        <w:tc>
          <w:tcPr>
            <w:tcW w:w="72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w w:val="95"/>
              </w:rPr>
              <w:t>37,718,698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5"/>
              </w:rPr>
              <w:t>36,981,109</w:t>
            </w:r>
          </w:p>
        </w:tc>
        <w:tc>
          <w:tcPr>
            <w:tcW w:w="0" w:type="dxa"/>
            <w:vAlign w:val="bottom"/>
          </w:tcPr>
          <w:p>
            <w:pPr>
              <w:spacing w:after="0"/>
              <w:rPr>
                <w:sz w:val="1"/>
                <w:szCs w:val="1"/>
                <w:color w:val="auto"/>
              </w:rPr>
            </w:pPr>
          </w:p>
        </w:tc>
      </w:tr>
      <w:tr>
        <w:trPr>
          <w:trHeight w:val="121"/>
        </w:trPr>
        <w:tc>
          <w:tcPr>
            <w:tcW w:w="33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Sunborn Oy, Sunborn Saga Oy </w:t>
            </w:r>
            <w:r>
              <w:rPr>
                <w:rFonts w:ascii="Arial" w:cs="Arial" w:eastAsia="Arial" w:hAnsi="Arial"/>
                <w:sz w:val="10"/>
                <w:szCs w:val="10"/>
                <w:color w:val="auto"/>
              </w:rPr>
              <w:t>(9), (11), (12)</w:t>
            </w:r>
          </w:p>
        </w:tc>
        <w:tc>
          <w:tcPr>
            <w:tcW w:w="1360" w:type="dxa"/>
            <w:vAlign w:val="bottom"/>
            <w:shd w:val="clear" w:color="auto" w:fill="CCEEFF"/>
          </w:tcPr>
          <w:p>
            <w:pPr>
              <w:jc w:val="center"/>
              <w:ind w:left="597"/>
              <w:spacing w:after="0" w:line="121" w:lineRule="exact"/>
              <w:rPr>
                <w:sz w:val="20"/>
                <w:szCs w:val="20"/>
                <w:color w:val="auto"/>
              </w:rPr>
            </w:pPr>
            <w:r>
              <w:rPr>
                <w:rFonts w:ascii="Arial" w:cs="Arial" w:eastAsia="Arial" w:hAnsi="Arial"/>
                <w:sz w:val="13"/>
                <w:szCs w:val="13"/>
                <w:color w:val="auto"/>
                <w:w w:val="89"/>
              </w:rPr>
              <w:t>07/01/2019</w:t>
            </w:r>
          </w:p>
        </w:tc>
        <w:tc>
          <w:tcPr>
            <w:tcW w:w="19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9"/>
              </w:rPr>
              <w:t>Hotels, Motels, Inns and Gaming</w:t>
            </w:r>
          </w:p>
        </w:tc>
        <w:tc>
          <w:tcPr>
            <w:tcW w:w="86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11.50%</w:t>
            </w:r>
          </w:p>
        </w:tc>
        <w:tc>
          <w:tcPr>
            <w:tcW w:w="104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L+1,050</w:t>
            </w:r>
          </w:p>
        </w:tc>
        <w:tc>
          <w:tcPr>
            <w:tcW w:w="140" w:type="dxa"/>
            <w:vAlign w:val="bottom"/>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117"/>
              <w:spacing w:after="0" w:line="121" w:lineRule="exact"/>
              <w:rPr>
                <w:sz w:val="20"/>
                <w:szCs w:val="20"/>
                <w:color w:val="auto"/>
              </w:rPr>
            </w:pPr>
            <w:r>
              <w:rPr>
                <w:rFonts w:ascii="Arial" w:cs="Arial" w:eastAsia="Arial" w:hAnsi="Arial"/>
                <w:sz w:val="13"/>
                <w:szCs w:val="13"/>
                <w:color w:val="auto"/>
                <w:w w:val="86"/>
              </w:rPr>
              <w:t>38,300,000</w:t>
            </w:r>
          </w:p>
        </w:tc>
        <w:tc>
          <w:tcPr>
            <w:tcW w:w="60" w:type="dxa"/>
            <w:vAlign w:val="bottom"/>
            <w:shd w:val="clear" w:color="auto" w:fill="CCEEFF"/>
          </w:tcPr>
          <w:p>
            <w:pPr>
              <w:spacing w:after="0"/>
              <w:rPr>
                <w:sz w:val="10"/>
                <w:szCs w:val="10"/>
                <w:color w:val="auto"/>
              </w:rPr>
            </w:pPr>
          </w:p>
        </w:tc>
        <w:tc>
          <w:tcPr>
            <w:tcW w:w="720" w:type="dxa"/>
            <w:vAlign w:val="bottom"/>
            <w:gridSpan w:val="3"/>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w w:val="95"/>
              </w:rPr>
              <w:t>39,444,336</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w w:val="95"/>
              </w:rPr>
              <w:t>39,993,032</w:t>
            </w:r>
          </w:p>
        </w:tc>
        <w:tc>
          <w:tcPr>
            <w:tcW w:w="0" w:type="dxa"/>
            <w:vAlign w:val="bottom"/>
          </w:tcPr>
          <w:p>
            <w:pPr>
              <w:spacing w:after="0"/>
              <w:rPr>
                <w:sz w:val="1"/>
                <w:szCs w:val="1"/>
                <w:color w:val="auto"/>
              </w:rPr>
            </w:pPr>
          </w:p>
        </w:tc>
      </w:tr>
      <w:tr>
        <w:trPr>
          <w:trHeight w:val="163"/>
        </w:trPr>
        <w:tc>
          <w:tcPr>
            <w:tcW w:w="33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(PIK 3.50%)</w:t>
            </w: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380" w:type="dxa"/>
            <w:vAlign w:val="bottom"/>
          </w:tcPr>
          <w:p>
            <w:pPr>
              <w:spacing w:after="0" w:line="135" w:lineRule="exact"/>
              <w:rPr>
                <w:sz w:val="20"/>
                <w:szCs w:val="20"/>
                <w:color w:val="auto"/>
              </w:rPr>
            </w:pPr>
            <w:r>
              <w:rPr>
                <w:rFonts w:ascii="Arial" w:cs="Arial" w:eastAsia="Arial" w:hAnsi="Arial"/>
                <w:sz w:val="13"/>
                <w:szCs w:val="13"/>
                <w:color w:val="auto"/>
              </w:rPr>
              <w:t>Triad Manufacturing, Inc.</w:t>
            </w:r>
          </w:p>
        </w:tc>
        <w:tc>
          <w:tcPr>
            <w:tcW w:w="1360" w:type="dxa"/>
            <w:vAlign w:val="bottom"/>
          </w:tcPr>
          <w:p>
            <w:pPr>
              <w:jc w:val="center"/>
              <w:ind w:left="597"/>
              <w:spacing w:after="0" w:line="135" w:lineRule="exact"/>
              <w:rPr>
                <w:sz w:val="20"/>
                <w:szCs w:val="20"/>
                <w:color w:val="auto"/>
              </w:rPr>
            </w:pPr>
            <w:r>
              <w:rPr>
                <w:rFonts w:ascii="Arial" w:cs="Arial" w:eastAsia="Arial" w:hAnsi="Arial"/>
                <w:sz w:val="13"/>
                <w:szCs w:val="13"/>
                <w:color w:val="auto"/>
                <w:w w:val="89"/>
              </w:rPr>
              <w:t>12/28/2020</w:t>
            </w:r>
          </w:p>
        </w:tc>
        <w:tc>
          <w:tcPr>
            <w:tcW w:w="1980" w:type="dxa"/>
            <w:vAlign w:val="bottom"/>
          </w:tcPr>
          <w:p>
            <w:pPr>
              <w:jc w:val="center"/>
              <w:spacing w:after="0" w:line="135" w:lineRule="exact"/>
              <w:rPr>
                <w:sz w:val="20"/>
                <w:szCs w:val="20"/>
                <w:color w:val="auto"/>
              </w:rPr>
            </w:pPr>
            <w:r>
              <w:rPr>
                <w:rFonts w:ascii="Arial" w:cs="Arial" w:eastAsia="Arial" w:hAnsi="Arial"/>
                <w:sz w:val="13"/>
                <w:szCs w:val="13"/>
                <w:color w:val="auto"/>
                <w:w w:val="88"/>
              </w:rPr>
              <w:t>Manufacturing / Basic Industries</w:t>
            </w:r>
          </w:p>
        </w:tc>
        <w:tc>
          <w:tcPr>
            <w:tcW w:w="8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12.02%</w:t>
            </w:r>
          </w:p>
        </w:tc>
        <w:tc>
          <w:tcPr>
            <w:tcW w:w="10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L+1,125</w:t>
            </w:r>
            <w:r>
              <w:rPr>
                <w:rFonts w:ascii="Arial" w:cs="Arial" w:eastAsia="Arial" w:hAnsi="Arial"/>
                <w:sz w:val="10"/>
                <w:szCs w:val="10"/>
                <w:color w:val="auto"/>
              </w:rPr>
              <w:t>(7)</w:t>
            </w:r>
          </w:p>
        </w:tc>
        <w:tc>
          <w:tcPr>
            <w:tcW w:w="140" w:type="dxa"/>
            <w:vAlign w:val="bottom"/>
          </w:tcPr>
          <w:p>
            <w:pPr>
              <w:spacing w:after="0"/>
              <w:rPr>
                <w:sz w:val="11"/>
                <w:szCs w:val="11"/>
                <w:color w:val="auto"/>
              </w:rPr>
            </w:pPr>
          </w:p>
        </w:tc>
        <w:tc>
          <w:tcPr>
            <w:tcW w:w="760" w:type="dxa"/>
            <w:vAlign w:val="bottom"/>
          </w:tcPr>
          <w:p>
            <w:pPr>
              <w:jc w:val="right"/>
              <w:ind w:right="117"/>
              <w:spacing w:after="0" w:line="135" w:lineRule="exact"/>
              <w:rPr>
                <w:sz w:val="20"/>
                <w:szCs w:val="20"/>
                <w:color w:val="auto"/>
              </w:rPr>
            </w:pPr>
            <w:r>
              <w:rPr>
                <w:rFonts w:ascii="Arial" w:cs="Arial" w:eastAsia="Arial" w:hAnsi="Arial"/>
                <w:sz w:val="13"/>
                <w:szCs w:val="13"/>
                <w:color w:val="auto"/>
                <w:w w:val="86"/>
              </w:rPr>
              <w:t>27,036,269</w:t>
            </w:r>
          </w:p>
        </w:tc>
        <w:tc>
          <w:tcPr>
            <w:tcW w:w="60" w:type="dxa"/>
            <w:vAlign w:val="bottom"/>
          </w:tcPr>
          <w:p>
            <w:pPr>
              <w:spacing w:after="0"/>
              <w:rPr>
                <w:sz w:val="11"/>
                <w:szCs w:val="11"/>
                <w:color w:val="auto"/>
              </w:rPr>
            </w:pPr>
          </w:p>
        </w:tc>
        <w:tc>
          <w:tcPr>
            <w:tcW w:w="72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w w:val="95"/>
              </w:rPr>
              <w:t>26,581,806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5"/>
              </w:rPr>
              <w:t>27,036,269</w:t>
            </w:r>
          </w:p>
        </w:tc>
        <w:tc>
          <w:tcPr>
            <w:tcW w:w="0" w:type="dxa"/>
            <w:vAlign w:val="bottom"/>
          </w:tcPr>
          <w:p>
            <w:pPr>
              <w:spacing w:after="0"/>
              <w:rPr>
                <w:sz w:val="1"/>
                <w:szCs w:val="1"/>
                <w:color w:val="auto"/>
              </w:rPr>
            </w:pPr>
          </w:p>
        </w:tc>
      </w:tr>
      <w:tr>
        <w:trPr>
          <w:trHeight w:val="135"/>
        </w:trPr>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Trust Inns Limited </w:t>
            </w:r>
            <w:r>
              <w:rPr>
                <w:rFonts w:ascii="Arial" w:cs="Arial" w:eastAsia="Arial" w:hAnsi="Arial"/>
                <w:sz w:val="10"/>
                <w:szCs w:val="10"/>
                <w:color w:val="auto"/>
              </w:rPr>
              <w:t>(9), (11), (12)</w:t>
            </w:r>
          </w:p>
        </w:tc>
        <w:tc>
          <w:tcPr>
            <w:tcW w:w="1360" w:type="dxa"/>
            <w:vAlign w:val="bottom"/>
            <w:shd w:val="clear" w:color="auto" w:fill="CCEEFF"/>
          </w:tcPr>
          <w:p>
            <w:pPr>
              <w:jc w:val="center"/>
              <w:ind w:left="597"/>
              <w:spacing w:after="0" w:line="135" w:lineRule="exact"/>
              <w:rPr>
                <w:sz w:val="20"/>
                <w:szCs w:val="20"/>
                <w:color w:val="auto"/>
              </w:rPr>
            </w:pPr>
            <w:r>
              <w:rPr>
                <w:rFonts w:ascii="Arial" w:cs="Arial" w:eastAsia="Arial" w:hAnsi="Arial"/>
                <w:sz w:val="13"/>
                <w:szCs w:val="13"/>
                <w:color w:val="auto"/>
                <w:w w:val="89"/>
              </w:rPr>
              <w:t>02/12/2020</w:t>
            </w:r>
          </w:p>
        </w:tc>
        <w:tc>
          <w:tcPr>
            <w:tcW w:w="19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Buildings and Real Estate</w:t>
            </w:r>
          </w:p>
        </w:tc>
        <w:tc>
          <w:tcPr>
            <w:tcW w:w="8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10.87%</w:t>
            </w:r>
          </w:p>
        </w:tc>
        <w:tc>
          <w:tcPr>
            <w:tcW w:w="10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L+1,050</w:t>
            </w:r>
            <w:r>
              <w:rPr>
                <w:rFonts w:ascii="Arial" w:cs="Arial" w:eastAsia="Arial" w:hAnsi="Arial"/>
                <w:sz w:val="10"/>
                <w:szCs w:val="10"/>
                <w:color w:val="auto"/>
              </w:rPr>
              <w:t>(7)</w:t>
            </w:r>
          </w:p>
        </w:tc>
        <w:tc>
          <w:tcPr>
            <w:tcW w:w="140" w:type="dxa"/>
            <w:vAlign w:val="bottom"/>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w w:val="86"/>
              </w:rPr>
              <w:t>22,083,433</w:t>
            </w:r>
          </w:p>
        </w:tc>
        <w:tc>
          <w:tcPr>
            <w:tcW w:w="6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5"/>
              </w:rPr>
              <w:t>35,343,737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5"/>
              </w:rPr>
              <w:t>27,219,664</w:t>
            </w:r>
          </w:p>
        </w:tc>
        <w:tc>
          <w:tcPr>
            <w:tcW w:w="0" w:type="dxa"/>
            <w:vAlign w:val="bottom"/>
          </w:tcPr>
          <w:p>
            <w:pPr>
              <w:spacing w:after="0"/>
              <w:rPr>
                <w:sz w:val="1"/>
                <w:szCs w:val="1"/>
                <w:color w:val="auto"/>
              </w:rPr>
            </w:pPr>
          </w:p>
        </w:tc>
      </w:tr>
      <w:tr>
        <w:trPr>
          <w:trHeight w:val="135"/>
        </w:trPr>
        <w:tc>
          <w:tcPr>
            <w:tcW w:w="3380" w:type="dxa"/>
            <w:vAlign w:val="bottom"/>
          </w:tcPr>
          <w:p>
            <w:pPr>
              <w:spacing w:after="0" w:line="135" w:lineRule="exact"/>
              <w:rPr>
                <w:sz w:val="20"/>
                <w:szCs w:val="20"/>
                <w:color w:val="auto"/>
              </w:rPr>
            </w:pPr>
            <w:r>
              <w:rPr>
                <w:rFonts w:ascii="Arial" w:cs="Arial" w:eastAsia="Arial" w:hAnsi="Arial"/>
                <w:sz w:val="13"/>
                <w:szCs w:val="13"/>
                <w:color w:val="auto"/>
              </w:rPr>
              <w:t>US Med Acquisition, Inc.</w:t>
            </w:r>
          </w:p>
        </w:tc>
        <w:tc>
          <w:tcPr>
            <w:tcW w:w="1360" w:type="dxa"/>
            <w:vAlign w:val="bottom"/>
          </w:tcPr>
          <w:p>
            <w:pPr>
              <w:jc w:val="center"/>
              <w:ind w:left="597"/>
              <w:spacing w:after="0" w:line="135" w:lineRule="exact"/>
              <w:rPr>
                <w:sz w:val="20"/>
                <w:szCs w:val="20"/>
                <w:color w:val="auto"/>
              </w:rPr>
            </w:pPr>
            <w:r>
              <w:rPr>
                <w:rFonts w:ascii="Arial" w:cs="Arial" w:eastAsia="Arial" w:hAnsi="Arial"/>
                <w:sz w:val="13"/>
                <w:szCs w:val="13"/>
                <w:color w:val="auto"/>
                <w:w w:val="89"/>
              </w:rPr>
              <w:t>08/13/2021</w:t>
            </w:r>
          </w:p>
        </w:tc>
        <w:tc>
          <w:tcPr>
            <w:tcW w:w="1980" w:type="dxa"/>
            <w:vAlign w:val="bottom"/>
          </w:tcPr>
          <w:p>
            <w:pPr>
              <w:jc w:val="center"/>
              <w:spacing w:after="0" w:line="135" w:lineRule="exact"/>
              <w:rPr>
                <w:sz w:val="20"/>
                <w:szCs w:val="20"/>
                <w:color w:val="auto"/>
              </w:rPr>
            </w:pPr>
            <w:r>
              <w:rPr>
                <w:rFonts w:ascii="Arial" w:cs="Arial" w:eastAsia="Arial" w:hAnsi="Arial"/>
                <w:sz w:val="13"/>
                <w:szCs w:val="13"/>
                <w:color w:val="auto"/>
                <w:w w:val="86"/>
              </w:rPr>
              <w:t>Healthcare, Education and Childcare</w:t>
            </w:r>
          </w:p>
        </w:tc>
        <w:tc>
          <w:tcPr>
            <w:tcW w:w="8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10.00%</w:t>
            </w:r>
          </w:p>
        </w:tc>
        <w:tc>
          <w:tcPr>
            <w:tcW w:w="10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L+900</w:t>
            </w:r>
          </w:p>
        </w:tc>
        <w:tc>
          <w:tcPr>
            <w:tcW w:w="140" w:type="dxa"/>
            <w:vAlign w:val="bottom"/>
          </w:tcPr>
          <w:p>
            <w:pPr>
              <w:spacing w:after="0"/>
              <w:rPr>
                <w:sz w:val="11"/>
                <w:szCs w:val="11"/>
                <w:color w:val="auto"/>
              </w:rPr>
            </w:pPr>
          </w:p>
        </w:tc>
        <w:tc>
          <w:tcPr>
            <w:tcW w:w="760" w:type="dxa"/>
            <w:vAlign w:val="bottom"/>
          </w:tcPr>
          <w:p>
            <w:pPr>
              <w:jc w:val="right"/>
              <w:ind w:right="117"/>
              <w:spacing w:after="0" w:line="135" w:lineRule="exact"/>
              <w:rPr>
                <w:sz w:val="20"/>
                <w:szCs w:val="20"/>
                <w:color w:val="auto"/>
              </w:rPr>
            </w:pPr>
            <w:r>
              <w:rPr>
                <w:rFonts w:ascii="Arial" w:cs="Arial" w:eastAsia="Arial" w:hAnsi="Arial"/>
                <w:sz w:val="13"/>
                <w:szCs w:val="13"/>
                <w:color w:val="auto"/>
                <w:w w:val="96"/>
              </w:rPr>
              <w:t>8,629,688</w:t>
            </w: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8,629,688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8,629,688</w:t>
            </w:r>
          </w:p>
        </w:tc>
        <w:tc>
          <w:tcPr>
            <w:tcW w:w="0" w:type="dxa"/>
            <w:vAlign w:val="bottom"/>
          </w:tcPr>
          <w:p>
            <w:pPr>
              <w:spacing w:after="0"/>
              <w:rPr>
                <w:sz w:val="1"/>
                <w:szCs w:val="1"/>
                <w:color w:val="auto"/>
              </w:rPr>
            </w:pPr>
          </w:p>
        </w:tc>
      </w:tr>
      <w:tr>
        <w:trPr>
          <w:trHeight w:val="121"/>
        </w:trPr>
        <w:tc>
          <w:tcPr>
            <w:tcW w:w="33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U.S. Well Services, LLC</w:t>
            </w:r>
          </w:p>
        </w:tc>
        <w:tc>
          <w:tcPr>
            <w:tcW w:w="1360" w:type="dxa"/>
            <w:vAlign w:val="bottom"/>
            <w:shd w:val="clear" w:color="auto" w:fill="CCEEFF"/>
          </w:tcPr>
          <w:p>
            <w:pPr>
              <w:jc w:val="center"/>
              <w:ind w:left="597"/>
              <w:spacing w:after="0" w:line="121" w:lineRule="exact"/>
              <w:rPr>
                <w:sz w:val="20"/>
                <w:szCs w:val="20"/>
                <w:color w:val="auto"/>
              </w:rPr>
            </w:pPr>
            <w:r>
              <w:rPr>
                <w:rFonts w:ascii="Arial" w:cs="Arial" w:eastAsia="Arial" w:hAnsi="Arial"/>
                <w:sz w:val="13"/>
                <w:szCs w:val="13"/>
                <w:color w:val="auto"/>
                <w:w w:val="89"/>
              </w:rPr>
              <w:t>05/02/2019</w:t>
            </w:r>
          </w:p>
        </w:tc>
        <w:tc>
          <w:tcPr>
            <w:tcW w:w="19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Oil and Gas</w:t>
            </w:r>
          </w:p>
        </w:tc>
        <w:tc>
          <w:tcPr>
            <w:tcW w:w="86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14.11%</w:t>
            </w:r>
          </w:p>
        </w:tc>
        <w:tc>
          <w:tcPr>
            <w:tcW w:w="104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L+1,350</w:t>
            </w:r>
            <w:r>
              <w:rPr>
                <w:rFonts w:ascii="Arial" w:cs="Arial" w:eastAsia="Arial" w:hAnsi="Arial"/>
                <w:sz w:val="10"/>
                <w:szCs w:val="10"/>
                <w:color w:val="auto"/>
              </w:rPr>
              <w:t>(7)</w:t>
            </w: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117"/>
              <w:spacing w:after="0" w:line="121" w:lineRule="exact"/>
              <w:rPr>
                <w:sz w:val="20"/>
                <w:szCs w:val="20"/>
                <w:color w:val="auto"/>
              </w:rPr>
            </w:pPr>
            <w:r>
              <w:rPr>
                <w:rFonts w:ascii="Arial" w:cs="Arial" w:eastAsia="Arial" w:hAnsi="Arial"/>
                <w:sz w:val="13"/>
                <w:szCs w:val="13"/>
                <w:color w:val="auto"/>
                <w:w w:val="86"/>
              </w:rPr>
              <w:t>15,340,831</w:t>
            </w:r>
          </w:p>
        </w:tc>
        <w:tc>
          <w:tcPr>
            <w:tcW w:w="60" w:type="dxa"/>
            <w:vAlign w:val="bottom"/>
            <w:shd w:val="clear" w:color="auto" w:fill="CCEEFF"/>
          </w:tcPr>
          <w:p>
            <w:pPr>
              <w:spacing w:after="0"/>
              <w:rPr>
                <w:sz w:val="10"/>
                <w:szCs w:val="10"/>
                <w:color w:val="auto"/>
              </w:rPr>
            </w:pPr>
          </w:p>
        </w:tc>
        <w:tc>
          <w:tcPr>
            <w:tcW w:w="720" w:type="dxa"/>
            <w:vAlign w:val="bottom"/>
            <w:gridSpan w:val="3"/>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w w:val="95"/>
              </w:rPr>
              <w:t>15,166,283</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w w:val="95"/>
              </w:rPr>
              <w:t>13,193,114</w:t>
            </w:r>
          </w:p>
        </w:tc>
        <w:tc>
          <w:tcPr>
            <w:tcW w:w="0" w:type="dxa"/>
            <w:vAlign w:val="bottom"/>
          </w:tcPr>
          <w:p>
            <w:pPr>
              <w:spacing w:after="0"/>
              <w:rPr>
                <w:sz w:val="1"/>
                <w:szCs w:val="1"/>
                <w:color w:val="auto"/>
              </w:rPr>
            </w:pPr>
          </w:p>
        </w:tc>
      </w:tr>
      <w:tr>
        <w:trPr>
          <w:trHeight w:val="163"/>
        </w:trPr>
        <w:tc>
          <w:tcPr>
            <w:tcW w:w="33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98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98"/>
              </w:rPr>
              <w:t>(PIK 14.11%)</w:t>
            </w: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line="142" w:lineRule="exact"/>
              <w:rPr>
                <w:sz w:val="20"/>
                <w:szCs w:val="20"/>
                <w:color w:val="auto"/>
              </w:rPr>
            </w:pPr>
            <w:r>
              <w:rPr>
                <w:rFonts w:ascii="Arial" w:cs="Arial" w:eastAsia="Arial" w:hAnsi="Arial"/>
                <w:sz w:val="13"/>
                <w:szCs w:val="13"/>
                <w:b w:val="1"/>
                <w:bCs w:val="1"/>
                <w:color w:val="auto"/>
              </w:rPr>
              <w:t>Total First Lien Secured Debt</w:t>
            </w:r>
          </w:p>
        </w:tc>
        <w:tc>
          <w:tcPr>
            <w:tcW w:w="13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366,689,655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358,517,968</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Second Lien Secured Debt—63.3%</w:t>
            </w:r>
          </w:p>
        </w:tc>
        <w:tc>
          <w:tcPr>
            <w:tcW w:w="136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80" w:type="dxa"/>
            <w:vAlign w:val="bottom"/>
          </w:tcPr>
          <w:p>
            <w:pPr>
              <w:spacing w:after="0" w:line="135" w:lineRule="exact"/>
              <w:rPr>
                <w:sz w:val="20"/>
                <w:szCs w:val="20"/>
                <w:color w:val="auto"/>
              </w:rPr>
            </w:pPr>
            <w:r>
              <w:rPr>
                <w:rFonts w:ascii="Arial" w:cs="Arial" w:eastAsia="Arial" w:hAnsi="Arial"/>
                <w:sz w:val="13"/>
                <w:szCs w:val="13"/>
                <w:color w:val="auto"/>
              </w:rPr>
              <w:t>Acre Operating Company, LLC</w:t>
            </w:r>
          </w:p>
        </w:tc>
        <w:tc>
          <w:tcPr>
            <w:tcW w:w="1360" w:type="dxa"/>
            <w:vAlign w:val="bottom"/>
          </w:tcPr>
          <w:p>
            <w:pPr>
              <w:jc w:val="center"/>
              <w:ind w:left="597"/>
              <w:spacing w:after="0" w:line="135" w:lineRule="exact"/>
              <w:rPr>
                <w:sz w:val="20"/>
                <w:szCs w:val="20"/>
                <w:color w:val="auto"/>
              </w:rPr>
            </w:pPr>
            <w:r>
              <w:rPr>
                <w:rFonts w:ascii="Arial" w:cs="Arial" w:eastAsia="Arial" w:hAnsi="Arial"/>
                <w:sz w:val="13"/>
                <w:szCs w:val="13"/>
                <w:color w:val="auto"/>
                <w:w w:val="89"/>
              </w:rPr>
              <w:t>12/12/2023</w:t>
            </w:r>
          </w:p>
        </w:tc>
        <w:tc>
          <w:tcPr>
            <w:tcW w:w="1980" w:type="dxa"/>
            <w:vAlign w:val="bottom"/>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8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10.50%</w:t>
            </w:r>
          </w:p>
        </w:tc>
        <w:tc>
          <w:tcPr>
            <w:tcW w:w="10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L+950</w:t>
            </w:r>
          </w:p>
        </w:tc>
        <w:tc>
          <w:tcPr>
            <w:tcW w:w="140" w:type="dxa"/>
            <w:vAlign w:val="bottom"/>
          </w:tcPr>
          <w:p>
            <w:pPr>
              <w:spacing w:after="0"/>
              <w:rPr>
                <w:sz w:val="11"/>
                <w:szCs w:val="11"/>
                <w:color w:val="auto"/>
              </w:rPr>
            </w:pPr>
          </w:p>
        </w:tc>
        <w:tc>
          <w:tcPr>
            <w:tcW w:w="760" w:type="dxa"/>
            <w:vAlign w:val="bottom"/>
          </w:tcPr>
          <w:p>
            <w:pPr>
              <w:jc w:val="right"/>
              <w:ind w:right="117"/>
              <w:spacing w:after="0" w:line="135" w:lineRule="exact"/>
              <w:rPr>
                <w:sz w:val="20"/>
                <w:szCs w:val="20"/>
                <w:color w:val="auto"/>
              </w:rPr>
            </w:pPr>
            <w:r>
              <w:rPr>
                <w:rFonts w:ascii="Arial" w:cs="Arial" w:eastAsia="Arial" w:hAnsi="Arial"/>
                <w:sz w:val="13"/>
                <w:szCs w:val="13"/>
                <w:color w:val="auto"/>
                <w:w w:val="86"/>
              </w:rPr>
              <w:t>38,800,000</w:t>
            </w:r>
          </w:p>
        </w:tc>
        <w:tc>
          <w:tcPr>
            <w:tcW w:w="60" w:type="dxa"/>
            <w:vAlign w:val="bottom"/>
          </w:tcPr>
          <w:p>
            <w:pPr>
              <w:spacing w:after="0"/>
              <w:rPr>
                <w:sz w:val="11"/>
                <w:szCs w:val="11"/>
                <w:color w:val="auto"/>
              </w:rPr>
            </w:pPr>
          </w:p>
        </w:tc>
        <w:tc>
          <w:tcPr>
            <w:tcW w:w="72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w w:val="95"/>
              </w:rPr>
              <w:t>38,125,000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5"/>
              </w:rPr>
              <w:t>38,121,000</w:t>
            </w:r>
          </w:p>
        </w:tc>
        <w:tc>
          <w:tcPr>
            <w:tcW w:w="0" w:type="dxa"/>
            <w:vAlign w:val="bottom"/>
          </w:tcPr>
          <w:p>
            <w:pPr>
              <w:spacing w:after="0"/>
              <w:rPr>
                <w:sz w:val="1"/>
                <w:szCs w:val="1"/>
                <w:color w:val="auto"/>
              </w:rPr>
            </w:pPr>
          </w:p>
        </w:tc>
      </w:tr>
      <w:tr>
        <w:trPr>
          <w:trHeight w:val="135"/>
        </w:trPr>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Balboa Capital Corporation </w:t>
            </w:r>
            <w:r>
              <w:rPr>
                <w:rFonts w:ascii="Arial" w:cs="Arial" w:eastAsia="Arial" w:hAnsi="Arial"/>
                <w:sz w:val="10"/>
                <w:szCs w:val="10"/>
                <w:color w:val="auto"/>
              </w:rPr>
              <w:t>(12)</w:t>
            </w:r>
          </w:p>
        </w:tc>
        <w:tc>
          <w:tcPr>
            <w:tcW w:w="1360" w:type="dxa"/>
            <w:vAlign w:val="bottom"/>
            <w:shd w:val="clear" w:color="auto" w:fill="CCEEFF"/>
          </w:tcPr>
          <w:p>
            <w:pPr>
              <w:jc w:val="center"/>
              <w:ind w:left="597"/>
              <w:spacing w:after="0" w:line="135" w:lineRule="exact"/>
              <w:rPr>
                <w:sz w:val="20"/>
                <w:szCs w:val="20"/>
                <w:color w:val="auto"/>
              </w:rPr>
            </w:pPr>
            <w:r>
              <w:rPr>
                <w:rFonts w:ascii="Arial" w:cs="Arial" w:eastAsia="Arial" w:hAnsi="Arial"/>
                <w:sz w:val="13"/>
                <w:szCs w:val="13"/>
                <w:color w:val="auto"/>
                <w:w w:val="89"/>
              </w:rPr>
              <w:t>03/04/2022</w:t>
            </w:r>
          </w:p>
        </w:tc>
        <w:tc>
          <w:tcPr>
            <w:tcW w:w="19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Financial Services</w:t>
            </w:r>
          </w:p>
        </w:tc>
        <w:tc>
          <w:tcPr>
            <w:tcW w:w="8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13.75%</w:t>
            </w:r>
          </w:p>
        </w:tc>
        <w:tc>
          <w:tcPr>
            <w:tcW w:w="104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w w:val="86"/>
              </w:rPr>
              <w:t>28,500,000</w:t>
            </w:r>
          </w:p>
        </w:tc>
        <w:tc>
          <w:tcPr>
            <w:tcW w:w="6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5"/>
              </w:rPr>
              <w:t>28,263,183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5"/>
              </w:rPr>
              <w:t>28,500,000</w:t>
            </w:r>
          </w:p>
        </w:tc>
        <w:tc>
          <w:tcPr>
            <w:tcW w:w="0" w:type="dxa"/>
            <w:vAlign w:val="bottom"/>
          </w:tcPr>
          <w:p>
            <w:pPr>
              <w:spacing w:after="0"/>
              <w:rPr>
                <w:sz w:val="1"/>
                <w:szCs w:val="1"/>
                <w:color w:val="auto"/>
              </w:rPr>
            </w:pPr>
          </w:p>
        </w:tc>
      </w:tr>
      <w:tr>
        <w:trPr>
          <w:trHeight w:val="135"/>
        </w:trPr>
        <w:tc>
          <w:tcPr>
            <w:tcW w:w="3380" w:type="dxa"/>
            <w:vAlign w:val="bottom"/>
          </w:tcPr>
          <w:p>
            <w:pPr>
              <w:spacing w:after="0" w:line="135" w:lineRule="exact"/>
              <w:rPr>
                <w:sz w:val="20"/>
                <w:szCs w:val="20"/>
                <w:color w:val="auto"/>
              </w:rPr>
            </w:pPr>
            <w:r>
              <w:rPr>
                <w:rFonts w:ascii="Arial" w:cs="Arial" w:eastAsia="Arial" w:hAnsi="Arial"/>
                <w:sz w:val="13"/>
                <w:szCs w:val="13"/>
                <w:color w:val="auto"/>
              </w:rPr>
              <w:t>Harbortouch Payments, LLC</w:t>
            </w:r>
          </w:p>
        </w:tc>
        <w:tc>
          <w:tcPr>
            <w:tcW w:w="1360" w:type="dxa"/>
            <w:vAlign w:val="bottom"/>
          </w:tcPr>
          <w:p>
            <w:pPr>
              <w:jc w:val="center"/>
              <w:ind w:left="617"/>
              <w:spacing w:after="0" w:line="135" w:lineRule="exact"/>
              <w:rPr>
                <w:sz w:val="20"/>
                <w:szCs w:val="20"/>
                <w:color w:val="auto"/>
              </w:rPr>
            </w:pPr>
            <w:r>
              <w:rPr>
                <w:rFonts w:ascii="Arial" w:cs="Arial" w:eastAsia="Arial" w:hAnsi="Arial"/>
                <w:sz w:val="13"/>
                <w:szCs w:val="13"/>
                <w:color w:val="auto"/>
                <w:w w:val="86"/>
              </w:rPr>
              <w:t>10/11/2024</w:t>
            </w:r>
          </w:p>
        </w:tc>
        <w:tc>
          <w:tcPr>
            <w:tcW w:w="1980" w:type="dxa"/>
            <w:vAlign w:val="bottom"/>
          </w:tcPr>
          <w:p>
            <w:pPr>
              <w:jc w:val="center"/>
              <w:spacing w:after="0" w:line="135" w:lineRule="exact"/>
              <w:rPr>
                <w:sz w:val="20"/>
                <w:szCs w:val="20"/>
                <w:color w:val="auto"/>
              </w:rPr>
            </w:pPr>
            <w:r>
              <w:rPr>
                <w:rFonts w:ascii="Arial" w:cs="Arial" w:eastAsia="Arial" w:hAnsi="Arial"/>
                <w:sz w:val="13"/>
                <w:szCs w:val="13"/>
                <w:color w:val="auto"/>
                <w:w w:val="87"/>
              </w:rPr>
              <w:t>Financial Services</w:t>
            </w:r>
          </w:p>
        </w:tc>
        <w:tc>
          <w:tcPr>
            <w:tcW w:w="8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10.50%</w:t>
            </w:r>
          </w:p>
        </w:tc>
        <w:tc>
          <w:tcPr>
            <w:tcW w:w="10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L+950</w:t>
            </w:r>
          </w:p>
        </w:tc>
        <w:tc>
          <w:tcPr>
            <w:tcW w:w="140" w:type="dxa"/>
            <w:vAlign w:val="bottom"/>
          </w:tcPr>
          <w:p>
            <w:pPr>
              <w:spacing w:after="0"/>
              <w:rPr>
                <w:sz w:val="11"/>
                <w:szCs w:val="11"/>
                <w:color w:val="auto"/>
              </w:rPr>
            </w:pPr>
          </w:p>
        </w:tc>
        <w:tc>
          <w:tcPr>
            <w:tcW w:w="760" w:type="dxa"/>
            <w:vAlign w:val="bottom"/>
          </w:tcPr>
          <w:p>
            <w:pPr>
              <w:jc w:val="right"/>
              <w:ind w:right="117"/>
              <w:spacing w:after="0" w:line="135" w:lineRule="exact"/>
              <w:rPr>
                <w:sz w:val="20"/>
                <w:szCs w:val="20"/>
                <w:color w:val="auto"/>
              </w:rPr>
            </w:pPr>
            <w:r>
              <w:rPr>
                <w:rFonts w:ascii="Arial" w:cs="Arial" w:eastAsia="Arial" w:hAnsi="Arial"/>
                <w:sz w:val="13"/>
                <w:szCs w:val="13"/>
                <w:color w:val="auto"/>
                <w:w w:val="86"/>
              </w:rPr>
              <w:t>22,500,000</w:t>
            </w:r>
          </w:p>
        </w:tc>
        <w:tc>
          <w:tcPr>
            <w:tcW w:w="60" w:type="dxa"/>
            <w:vAlign w:val="bottom"/>
          </w:tcPr>
          <w:p>
            <w:pPr>
              <w:spacing w:after="0"/>
              <w:rPr>
                <w:sz w:val="11"/>
                <w:szCs w:val="11"/>
                <w:color w:val="auto"/>
              </w:rPr>
            </w:pPr>
          </w:p>
        </w:tc>
        <w:tc>
          <w:tcPr>
            <w:tcW w:w="72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w w:val="95"/>
              </w:rPr>
              <w:t>22,104,967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5"/>
              </w:rPr>
              <w:t>22,162,500</w:t>
            </w:r>
          </w:p>
        </w:tc>
        <w:tc>
          <w:tcPr>
            <w:tcW w:w="0" w:type="dxa"/>
            <w:vAlign w:val="bottom"/>
          </w:tcPr>
          <w:p>
            <w:pPr>
              <w:spacing w:after="0"/>
              <w:rPr>
                <w:sz w:val="1"/>
                <w:szCs w:val="1"/>
                <w:color w:val="auto"/>
              </w:rPr>
            </w:pPr>
          </w:p>
        </w:tc>
      </w:tr>
      <w:tr>
        <w:trPr>
          <w:trHeight w:val="135"/>
        </w:trPr>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Howard Berger Co. LLC</w:t>
            </w:r>
          </w:p>
        </w:tc>
        <w:tc>
          <w:tcPr>
            <w:tcW w:w="1360" w:type="dxa"/>
            <w:vAlign w:val="bottom"/>
            <w:shd w:val="clear" w:color="auto" w:fill="CCEEFF"/>
          </w:tcPr>
          <w:p>
            <w:pPr>
              <w:jc w:val="center"/>
              <w:ind w:left="597"/>
              <w:spacing w:after="0" w:line="135" w:lineRule="exact"/>
              <w:rPr>
                <w:sz w:val="20"/>
                <w:szCs w:val="20"/>
                <w:color w:val="auto"/>
              </w:rPr>
            </w:pPr>
            <w:r>
              <w:rPr>
                <w:rFonts w:ascii="Arial" w:cs="Arial" w:eastAsia="Arial" w:hAnsi="Arial"/>
                <w:sz w:val="13"/>
                <w:szCs w:val="13"/>
                <w:color w:val="auto"/>
                <w:w w:val="89"/>
              </w:rPr>
              <w:t>09/30/2020</w:t>
            </w:r>
          </w:p>
        </w:tc>
        <w:tc>
          <w:tcPr>
            <w:tcW w:w="19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2"/>
              </w:rPr>
              <w:t>Distribution</w:t>
            </w:r>
          </w:p>
        </w:tc>
        <w:tc>
          <w:tcPr>
            <w:tcW w:w="8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11.00%</w:t>
            </w:r>
          </w:p>
        </w:tc>
        <w:tc>
          <w:tcPr>
            <w:tcW w:w="104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L+1,000</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w w:val="86"/>
              </w:rPr>
              <w:t>41,250,000</w:t>
            </w:r>
          </w:p>
        </w:tc>
        <w:tc>
          <w:tcPr>
            <w:tcW w:w="6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5"/>
              </w:rPr>
              <w:t>39,513,616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5"/>
              </w:rPr>
              <w:t>36,712,500</w:t>
            </w:r>
          </w:p>
        </w:tc>
        <w:tc>
          <w:tcPr>
            <w:tcW w:w="0" w:type="dxa"/>
            <w:vAlign w:val="bottom"/>
          </w:tcPr>
          <w:p>
            <w:pPr>
              <w:spacing w:after="0"/>
              <w:rPr>
                <w:sz w:val="1"/>
                <w:szCs w:val="1"/>
                <w:color w:val="auto"/>
              </w:rPr>
            </w:pPr>
          </w:p>
        </w:tc>
      </w:tr>
      <w:tr>
        <w:trPr>
          <w:trHeight w:val="135"/>
        </w:trPr>
        <w:tc>
          <w:tcPr>
            <w:tcW w:w="3380" w:type="dxa"/>
            <w:vAlign w:val="bottom"/>
          </w:tcPr>
          <w:p>
            <w:pPr>
              <w:spacing w:after="0" w:line="135" w:lineRule="exact"/>
              <w:rPr>
                <w:sz w:val="20"/>
                <w:szCs w:val="20"/>
                <w:color w:val="auto"/>
              </w:rPr>
            </w:pPr>
            <w:r>
              <w:rPr>
                <w:rFonts w:ascii="Arial" w:cs="Arial" w:eastAsia="Arial" w:hAnsi="Arial"/>
                <w:sz w:val="13"/>
                <w:szCs w:val="13"/>
                <w:color w:val="auto"/>
              </w:rPr>
              <w:t xml:space="preserve">Intermediate Transportation 100, LLC </w:t>
            </w:r>
            <w:r>
              <w:rPr>
                <w:rFonts w:ascii="Arial" w:cs="Arial" w:eastAsia="Arial" w:hAnsi="Arial"/>
                <w:sz w:val="10"/>
                <w:szCs w:val="10"/>
                <w:color w:val="auto"/>
              </w:rPr>
              <w:t>(5)</w:t>
            </w:r>
          </w:p>
        </w:tc>
        <w:tc>
          <w:tcPr>
            <w:tcW w:w="1360" w:type="dxa"/>
            <w:vAlign w:val="bottom"/>
          </w:tcPr>
          <w:p>
            <w:pPr>
              <w:jc w:val="center"/>
              <w:ind w:left="597"/>
              <w:spacing w:after="0" w:line="135" w:lineRule="exact"/>
              <w:rPr>
                <w:sz w:val="20"/>
                <w:szCs w:val="20"/>
                <w:color w:val="auto"/>
              </w:rPr>
            </w:pPr>
            <w:r>
              <w:rPr>
                <w:rFonts w:ascii="Arial" w:cs="Arial" w:eastAsia="Arial" w:hAnsi="Arial"/>
                <w:sz w:val="13"/>
                <w:szCs w:val="13"/>
                <w:color w:val="auto"/>
                <w:w w:val="89"/>
              </w:rPr>
              <w:t>03/01/2017</w:t>
            </w:r>
          </w:p>
        </w:tc>
        <w:tc>
          <w:tcPr>
            <w:tcW w:w="1980" w:type="dxa"/>
            <w:vAlign w:val="bottom"/>
          </w:tcPr>
          <w:p>
            <w:pPr>
              <w:jc w:val="center"/>
              <w:spacing w:after="0" w:line="135" w:lineRule="exact"/>
              <w:rPr>
                <w:sz w:val="20"/>
                <w:szCs w:val="20"/>
                <w:color w:val="auto"/>
              </w:rPr>
            </w:pPr>
            <w:r>
              <w:rPr>
                <w:rFonts w:ascii="Arial" w:cs="Arial" w:eastAsia="Arial" w:hAnsi="Arial"/>
                <w:sz w:val="13"/>
                <w:szCs w:val="13"/>
                <w:color w:val="auto"/>
                <w:w w:val="86"/>
              </w:rPr>
              <w:t>Cargo Transport</w:t>
            </w:r>
          </w:p>
        </w:tc>
        <w:tc>
          <w:tcPr>
            <w:tcW w:w="8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10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60" w:type="dxa"/>
            <w:vAlign w:val="bottom"/>
          </w:tcPr>
          <w:p>
            <w:pPr>
              <w:jc w:val="right"/>
              <w:ind w:right="117"/>
              <w:spacing w:after="0" w:line="135" w:lineRule="exact"/>
              <w:rPr>
                <w:sz w:val="20"/>
                <w:szCs w:val="20"/>
                <w:color w:val="auto"/>
              </w:rPr>
            </w:pPr>
            <w:r>
              <w:rPr>
                <w:rFonts w:ascii="Arial" w:cs="Arial" w:eastAsia="Arial" w:hAnsi="Arial"/>
                <w:sz w:val="13"/>
                <w:szCs w:val="13"/>
                <w:color w:val="auto"/>
                <w:w w:val="96"/>
              </w:rPr>
              <w:t>4,887,760</w:t>
            </w: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3,739,797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2,932,656</w:t>
            </w:r>
          </w:p>
        </w:tc>
        <w:tc>
          <w:tcPr>
            <w:tcW w:w="0" w:type="dxa"/>
            <w:vAlign w:val="bottom"/>
          </w:tcPr>
          <w:p>
            <w:pPr>
              <w:spacing w:after="0"/>
              <w:rPr>
                <w:sz w:val="1"/>
                <w:szCs w:val="1"/>
                <w:color w:val="auto"/>
              </w:rPr>
            </w:pPr>
          </w:p>
        </w:tc>
      </w:tr>
      <w:tr>
        <w:trPr>
          <w:trHeight w:val="135"/>
        </w:trPr>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Jacobs Entertainment, Inc.</w:t>
            </w:r>
          </w:p>
        </w:tc>
        <w:tc>
          <w:tcPr>
            <w:tcW w:w="1360" w:type="dxa"/>
            <w:vAlign w:val="bottom"/>
            <w:shd w:val="clear" w:color="auto" w:fill="CCEEFF"/>
          </w:tcPr>
          <w:p>
            <w:pPr>
              <w:jc w:val="center"/>
              <w:ind w:left="597"/>
              <w:spacing w:after="0" w:line="135" w:lineRule="exact"/>
              <w:rPr>
                <w:sz w:val="20"/>
                <w:szCs w:val="20"/>
                <w:color w:val="auto"/>
              </w:rPr>
            </w:pPr>
            <w:r>
              <w:rPr>
                <w:rFonts w:ascii="Arial" w:cs="Arial" w:eastAsia="Arial" w:hAnsi="Arial"/>
                <w:sz w:val="13"/>
                <w:szCs w:val="13"/>
                <w:color w:val="auto"/>
                <w:w w:val="89"/>
              </w:rPr>
              <w:t>10/29/2019</w:t>
            </w:r>
          </w:p>
        </w:tc>
        <w:tc>
          <w:tcPr>
            <w:tcW w:w="19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Hotels, Motels, Inns and Gaming</w:t>
            </w:r>
          </w:p>
        </w:tc>
        <w:tc>
          <w:tcPr>
            <w:tcW w:w="8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13.00%</w:t>
            </w:r>
          </w:p>
        </w:tc>
        <w:tc>
          <w:tcPr>
            <w:tcW w:w="104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L+1,175</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w w:val="86"/>
              </w:rPr>
              <w:t>51,775,000</w:t>
            </w:r>
          </w:p>
        </w:tc>
        <w:tc>
          <w:tcPr>
            <w:tcW w:w="6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5"/>
              </w:rPr>
              <w:t>51,341,138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5"/>
              </w:rPr>
              <w:t>50,739,500</w:t>
            </w:r>
          </w:p>
        </w:tc>
        <w:tc>
          <w:tcPr>
            <w:tcW w:w="0" w:type="dxa"/>
            <w:vAlign w:val="bottom"/>
          </w:tcPr>
          <w:p>
            <w:pPr>
              <w:spacing w:after="0"/>
              <w:rPr>
                <w:sz w:val="1"/>
                <w:szCs w:val="1"/>
                <w:color w:val="auto"/>
              </w:rPr>
            </w:pPr>
          </w:p>
        </w:tc>
      </w:tr>
      <w:tr>
        <w:trPr>
          <w:trHeight w:val="135"/>
        </w:trPr>
        <w:tc>
          <w:tcPr>
            <w:tcW w:w="3380" w:type="dxa"/>
            <w:vAlign w:val="bottom"/>
          </w:tcPr>
          <w:p>
            <w:pPr>
              <w:spacing w:after="0" w:line="135" w:lineRule="exact"/>
              <w:rPr>
                <w:sz w:val="20"/>
                <w:szCs w:val="20"/>
                <w:color w:val="auto"/>
              </w:rPr>
            </w:pPr>
            <w:r>
              <w:rPr>
                <w:rFonts w:ascii="Arial" w:cs="Arial" w:eastAsia="Arial" w:hAnsi="Arial"/>
                <w:sz w:val="13"/>
                <w:szCs w:val="13"/>
                <w:color w:val="auto"/>
              </w:rPr>
              <w:t>MailSouth, Inc.</w:t>
            </w:r>
          </w:p>
        </w:tc>
        <w:tc>
          <w:tcPr>
            <w:tcW w:w="1360" w:type="dxa"/>
            <w:vAlign w:val="bottom"/>
          </w:tcPr>
          <w:p>
            <w:pPr>
              <w:jc w:val="center"/>
              <w:ind w:left="597"/>
              <w:spacing w:after="0" w:line="135" w:lineRule="exact"/>
              <w:rPr>
                <w:sz w:val="20"/>
                <w:szCs w:val="20"/>
                <w:color w:val="auto"/>
              </w:rPr>
            </w:pPr>
            <w:r>
              <w:rPr>
                <w:rFonts w:ascii="Arial" w:cs="Arial" w:eastAsia="Arial" w:hAnsi="Arial"/>
                <w:sz w:val="13"/>
                <w:szCs w:val="13"/>
                <w:color w:val="auto"/>
                <w:w w:val="89"/>
              </w:rPr>
              <w:t>10/22/2021</w:t>
            </w:r>
          </w:p>
        </w:tc>
        <w:tc>
          <w:tcPr>
            <w:tcW w:w="1980" w:type="dxa"/>
            <w:vAlign w:val="bottom"/>
          </w:tcPr>
          <w:p>
            <w:pPr>
              <w:jc w:val="center"/>
              <w:spacing w:after="0" w:line="135" w:lineRule="exact"/>
              <w:rPr>
                <w:sz w:val="20"/>
                <w:szCs w:val="20"/>
                <w:color w:val="auto"/>
              </w:rPr>
            </w:pPr>
            <w:r>
              <w:rPr>
                <w:rFonts w:ascii="Arial" w:cs="Arial" w:eastAsia="Arial" w:hAnsi="Arial"/>
                <w:sz w:val="13"/>
                <w:szCs w:val="13"/>
                <w:color w:val="auto"/>
                <w:w w:val="90"/>
              </w:rPr>
              <w:t>Printing and Publishing</w:t>
            </w:r>
          </w:p>
        </w:tc>
        <w:tc>
          <w:tcPr>
            <w:tcW w:w="8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11.50%</w:t>
            </w:r>
          </w:p>
        </w:tc>
        <w:tc>
          <w:tcPr>
            <w:tcW w:w="10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L+1,050</w:t>
            </w:r>
          </w:p>
        </w:tc>
        <w:tc>
          <w:tcPr>
            <w:tcW w:w="140" w:type="dxa"/>
            <w:vAlign w:val="bottom"/>
          </w:tcPr>
          <w:p>
            <w:pPr>
              <w:spacing w:after="0"/>
              <w:rPr>
                <w:sz w:val="11"/>
                <w:szCs w:val="11"/>
                <w:color w:val="auto"/>
              </w:rPr>
            </w:pPr>
          </w:p>
        </w:tc>
        <w:tc>
          <w:tcPr>
            <w:tcW w:w="760" w:type="dxa"/>
            <w:vAlign w:val="bottom"/>
          </w:tcPr>
          <w:p>
            <w:pPr>
              <w:jc w:val="right"/>
              <w:ind w:right="117"/>
              <w:spacing w:after="0" w:line="135" w:lineRule="exact"/>
              <w:rPr>
                <w:sz w:val="20"/>
                <w:szCs w:val="20"/>
                <w:color w:val="auto"/>
              </w:rPr>
            </w:pPr>
            <w:r>
              <w:rPr>
                <w:rFonts w:ascii="Arial" w:cs="Arial" w:eastAsia="Arial" w:hAnsi="Arial"/>
                <w:sz w:val="13"/>
                <w:szCs w:val="13"/>
                <w:color w:val="auto"/>
                <w:w w:val="86"/>
              </w:rPr>
              <w:t>26,425,000</w:t>
            </w:r>
          </w:p>
        </w:tc>
        <w:tc>
          <w:tcPr>
            <w:tcW w:w="60" w:type="dxa"/>
            <w:vAlign w:val="bottom"/>
          </w:tcPr>
          <w:p>
            <w:pPr>
              <w:spacing w:after="0"/>
              <w:rPr>
                <w:sz w:val="11"/>
                <w:szCs w:val="11"/>
                <w:color w:val="auto"/>
              </w:rPr>
            </w:pPr>
          </w:p>
        </w:tc>
        <w:tc>
          <w:tcPr>
            <w:tcW w:w="72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w w:val="95"/>
              </w:rPr>
              <w:t>25,946,574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5"/>
              </w:rPr>
              <w:t>26,425,000</w:t>
            </w:r>
          </w:p>
        </w:tc>
        <w:tc>
          <w:tcPr>
            <w:tcW w:w="0" w:type="dxa"/>
            <w:vAlign w:val="bottom"/>
          </w:tcPr>
          <w:p>
            <w:pPr>
              <w:spacing w:after="0"/>
              <w:rPr>
                <w:sz w:val="1"/>
                <w:szCs w:val="1"/>
                <w:color w:val="auto"/>
              </w:rPr>
            </w:pPr>
          </w:p>
        </w:tc>
      </w:tr>
      <w:tr>
        <w:trPr>
          <w:trHeight w:val="135"/>
        </w:trPr>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Novitex Acquisition, LLC</w:t>
            </w:r>
          </w:p>
        </w:tc>
        <w:tc>
          <w:tcPr>
            <w:tcW w:w="1360" w:type="dxa"/>
            <w:vAlign w:val="bottom"/>
            <w:shd w:val="clear" w:color="auto" w:fill="CCEEFF"/>
          </w:tcPr>
          <w:p>
            <w:pPr>
              <w:jc w:val="center"/>
              <w:ind w:left="597"/>
              <w:spacing w:after="0" w:line="135" w:lineRule="exact"/>
              <w:rPr>
                <w:sz w:val="20"/>
                <w:szCs w:val="20"/>
                <w:color w:val="auto"/>
              </w:rPr>
            </w:pPr>
            <w:r>
              <w:rPr>
                <w:rFonts w:ascii="Arial" w:cs="Arial" w:eastAsia="Arial" w:hAnsi="Arial"/>
                <w:sz w:val="13"/>
                <w:szCs w:val="13"/>
                <w:color w:val="auto"/>
                <w:w w:val="89"/>
              </w:rPr>
              <w:t>07/07/2021</w:t>
            </w:r>
          </w:p>
        </w:tc>
        <w:tc>
          <w:tcPr>
            <w:tcW w:w="19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Business Services</w:t>
            </w:r>
          </w:p>
        </w:tc>
        <w:tc>
          <w:tcPr>
            <w:tcW w:w="8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12.25%</w:t>
            </w:r>
          </w:p>
        </w:tc>
        <w:tc>
          <w:tcPr>
            <w:tcW w:w="104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L+1,100</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w w:val="86"/>
              </w:rPr>
              <w:t>44,625,000</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5"/>
              </w:rPr>
              <w:t>44,114,836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5"/>
              </w:rPr>
              <w:t>44,625,000</w:t>
            </w:r>
          </w:p>
        </w:tc>
        <w:tc>
          <w:tcPr>
            <w:tcW w:w="0" w:type="dxa"/>
            <w:vAlign w:val="bottom"/>
          </w:tcPr>
          <w:p>
            <w:pPr>
              <w:spacing w:after="0"/>
              <w:rPr>
                <w:sz w:val="1"/>
                <w:szCs w:val="1"/>
                <w:color w:val="auto"/>
              </w:rPr>
            </w:pPr>
          </w:p>
        </w:tc>
      </w:tr>
      <w:tr>
        <w:trPr>
          <w:trHeight w:val="135"/>
        </w:trPr>
        <w:tc>
          <w:tcPr>
            <w:tcW w:w="3380" w:type="dxa"/>
            <w:vAlign w:val="bottom"/>
          </w:tcPr>
          <w:p>
            <w:pPr>
              <w:spacing w:after="0" w:line="135" w:lineRule="exact"/>
              <w:rPr>
                <w:sz w:val="20"/>
                <w:szCs w:val="20"/>
                <w:color w:val="auto"/>
              </w:rPr>
            </w:pPr>
            <w:r>
              <w:rPr>
                <w:rFonts w:ascii="Arial" w:cs="Arial" w:eastAsia="Arial" w:hAnsi="Arial"/>
                <w:sz w:val="13"/>
                <w:szCs w:val="13"/>
                <w:color w:val="auto"/>
              </w:rPr>
              <w:t xml:space="preserve">Parq Holdings Limited Partnership </w:t>
            </w:r>
            <w:r>
              <w:rPr>
                <w:rFonts w:ascii="Arial" w:cs="Arial" w:eastAsia="Arial" w:hAnsi="Arial"/>
                <w:sz w:val="10"/>
                <w:szCs w:val="10"/>
                <w:color w:val="auto"/>
              </w:rPr>
              <w:t>(9), (12)</w:t>
            </w:r>
          </w:p>
        </w:tc>
        <w:tc>
          <w:tcPr>
            <w:tcW w:w="1360" w:type="dxa"/>
            <w:vAlign w:val="bottom"/>
          </w:tcPr>
          <w:p>
            <w:pPr>
              <w:jc w:val="center"/>
              <w:ind w:left="597"/>
              <w:spacing w:after="0" w:line="135" w:lineRule="exact"/>
              <w:rPr>
                <w:sz w:val="20"/>
                <w:szCs w:val="20"/>
                <w:color w:val="auto"/>
              </w:rPr>
            </w:pPr>
            <w:r>
              <w:rPr>
                <w:rFonts w:ascii="Arial" w:cs="Arial" w:eastAsia="Arial" w:hAnsi="Arial"/>
                <w:sz w:val="13"/>
                <w:szCs w:val="13"/>
                <w:color w:val="auto"/>
                <w:w w:val="89"/>
              </w:rPr>
              <w:t>12/17/2021</w:t>
            </w:r>
          </w:p>
        </w:tc>
        <w:tc>
          <w:tcPr>
            <w:tcW w:w="1980" w:type="dxa"/>
            <w:vAlign w:val="bottom"/>
          </w:tcPr>
          <w:p>
            <w:pPr>
              <w:jc w:val="center"/>
              <w:spacing w:after="0" w:line="135" w:lineRule="exact"/>
              <w:rPr>
                <w:sz w:val="20"/>
                <w:szCs w:val="20"/>
                <w:color w:val="auto"/>
              </w:rPr>
            </w:pPr>
            <w:r>
              <w:rPr>
                <w:rFonts w:ascii="Arial" w:cs="Arial" w:eastAsia="Arial" w:hAnsi="Arial"/>
                <w:sz w:val="13"/>
                <w:szCs w:val="13"/>
                <w:color w:val="auto"/>
                <w:w w:val="89"/>
              </w:rPr>
              <w:t>Hotels, Motels, Inns and Gaming</w:t>
            </w:r>
          </w:p>
        </w:tc>
        <w:tc>
          <w:tcPr>
            <w:tcW w:w="8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13.00%</w:t>
            </w:r>
          </w:p>
        </w:tc>
        <w:tc>
          <w:tcPr>
            <w:tcW w:w="10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L+1,200</w:t>
            </w:r>
          </w:p>
        </w:tc>
        <w:tc>
          <w:tcPr>
            <w:tcW w:w="140" w:type="dxa"/>
            <w:vAlign w:val="bottom"/>
          </w:tcPr>
          <w:p>
            <w:pPr>
              <w:spacing w:after="0"/>
              <w:rPr>
                <w:sz w:val="11"/>
                <w:szCs w:val="11"/>
                <w:color w:val="auto"/>
              </w:rPr>
            </w:pPr>
          </w:p>
        </w:tc>
        <w:tc>
          <w:tcPr>
            <w:tcW w:w="760" w:type="dxa"/>
            <w:vAlign w:val="bottom"/>
          </w:tcPr>
          <w:p>
            <w:pPr>
              <w:jc w:val="right"/>
              <w:ind w:right="117"/>
              <w:spacing w:after="0" w:line="135" w:lineRule="exact"/>
              <w:rPr>
                <w:sz w:val="20"/>
                <w:szCs w:val="20"/>
                <w:color w:val="auto"/>
              </w:rPr>
            </w:pPr>
            <w:r>
              <w:rPr>
                <w:rFonts w:ascii="Arial" w:cs="Arial" w:eastAsia="Arial" w:hAnsi="Arial"/>
                <w:sz w:val="13"/>
                <w:szCs w:val="13"/>
                <w:color w:val="auto"/>
                <w:w w:val="86"/>
              </w:rPr>
              <w:t>75,000,000</w:t>
            </w:r>
          </w:p>
        </w:tc>
        <w:tc>
          <w:tcPr>
            <w:tcW w:w="60" w:type="dxa"/>
            <w:vAlign w:val="bottom"/>
          </w:tcPr>
          <w:p>
            <w:pPr>
              <w:spacing w:after="0"/>
              <w:rPr>
                <w:sz w:val="11"/>
                <w:szCs w:val="11"/>
                <w:color w:val="auto"/>
              </w:rPr>
            </w:pPr>
          </w:p>
        </w:tc>
        <w:tc>
          <w:tcPr>
            <w:tcW w:w="72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w w:val="95"/>
              </w:rPr>
              <w:t>75,000,000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5"/>
              </w:rPr>
              <w:t>77,624,421</w:t>
            </w:r>
          </w:p>
        </w:tc>
        <w:tc>
          <w:tcPr>
            <w:tcW w:w="0" w:type="dxa"/>
            <w:vAlign w:val="bottom"/>
          </w:tcPr>
          <w:p>
            <w:pPr>
              <w:spacing w:after="0"/>
              <w:rPr>
                <w:sz w:val="1"/>
                <w:szCs w:val="1"/>
                <w:color w:val="auto"/>
              </w:rPr>
            </w:pPr>
          </w:p>
        </w:tc>
      </w:tr>
      <w:tr>
        <w:trPr>
          <w:trHeight w:val="121"/>
        </w:trPr>
        <w:tc>
          <w:tcPr>
            <w:tcW w:w="33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Pre-Paid Legal Services, Inc.</w:t>
            </w:r>
          </w:p>
        </w:tc>
        <w:tc>
          <w:tcPr>
            <w:tcW w:w="1360" w:type="dxa"/>
            <w:vAlign w:val="bottom"/>
            <w:shd w:val="clear" w:color="auto" w:fill="CCEEFF"/>
          </w:tcPr>
          <w:p>
            <w:pPr>
              <w:jc w:val="center"/>
              <w:ind w:left="597"/>
              <w:spacing w:after="0" w:line="121" w:lineRule="exact"/>
              <w:rPr>
                <w:sz w:val="20"/>
                <w:szCs w:val="20"/>
                <w:color w:val="auto"/>
              </w:rPr>
            </w:pPr>
            <w:r>
              <w:rPr>
                <w:rFonts w:ascii="Arial" w:cs="Arial" w:eastAsia="Arial" w:hAnsi="Arial"/>
                <w:sz w:val="13"/>
                <w:szCs w:val="13"/>
                <w:color w:val="auto"/>
                <w:w w:val="89"/>
              </w:rPr>
              <w:t>07/01/2020</w:t>
            </w:r>
          </w:p>
        </w:tc>
        <w:tc>
          <w:tcPr>
            <w:tcW w:w="19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4"/>
              </w:rPr>
              <w:t>Personal, Food and</w:t>
            </w:r>
          </w:p>
        </w:tc>
        <w:tc>
          <w:tcPr>
            <w:tcW w:w="86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10.25%</w:t>
            </w:r>
          </w:p>
        </w:tc>
        <w:tc>
          <w:tcPr>
            <w:tcW w:w="104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L+900</w:t>
            </w: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117"/>
              <w:spacing w:after="0" w:line="121" w:lineRule="exact"/>
              <w:rPr>
                <w:sz w:val="20"/>
                <w:szCs w:val="20"/>
                <w:color w:val="auto"/>
              </w:rPr>
            </w:pPr>
            <w:r>
              <w:rPr>
                <w:rFonts w:ascii="Arial" w:cs="Arial" w:eastAsia="Arial" w:hAnsi="Arial"/>
                <w:sz w:val="13"/>
                <w:szCs w:val="13"/>
                <w:color w:val="auto"/>
                <w:w w:val="86"/>
              </w:rPr>
              <w:t>62,750,000</w:t>
            </w:r>
          </w:p>
        </w:tc>
        <w:tc>
          <w:tcPr>
            <w:tcW w:w="60" w:type="dxa"/>
            <w:vAlign w:val="bottom"/>
            <w:shd w:val="clear" w:color="auto" w:fill="CCEEFF"/>
          </w:tcPr>
          <w:p>
            <w:pPr>
              <w:spacing w:after="0"/>
              <w:rPr>
                <w:sz w:val="10"/>
                <w:szCs w:val="10"/>
                <w:color w:val="auto"/>
              </w:rPr>
            </w:pPr>
          </w:p>
        </w:tc>
        <w:tc>
          <w:tcPr>
            <w:tcW w:w="720" w:type="dxa"/>
            <w:vAlign w:val="bottom"/>
            <w:gridSpan w:val="3"/>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w w:val="95"/>
              </w:rPr>
              <w:t>62,216,097</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w w:val="95"/>
              </w:rPr>
              <w:t>62,906,875</w:t>
            </w:r>
          </w:p>
        </w:tc>
        <w:tc>
          <w:tcPr>
            <w:tcW w:w="0" w:type="dxa"/>
            <w:vAlign w:val="bottom"/>
          </w:tcPr>
          <w:p>
            <w:pPr>
              <w:spacing w:after="0"/>
              <w:rPr>
                <w:sz w:val="1"/>
                <w:szCs w:val="1"/>
                <w:color w:val="auto"/>
              </w:rPr>
            </w:pPr>
          </w:p>
        </w:tc>
      </w:tr>
      <w:tr>
        <w:trPr>
          <w:trHeight w:val="149"/>
        </w:trPr>
        <w:tc>
          <w:tcPr>
            <w:tcW w:w="33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8"/>
              </w:rPr>
              <w:t>Miscellaneous Services</w:t>
            </w:r>
          </w:p>
        </w:tc>
        <w:tc>
          <w:tcPr>
            <w:tcW w:w="8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80" w:type="dxa"/>
            <w:vAlign w:val="bottom"/>
          </w:tcPr>
          <w:p>
            <w:pPr>
              <w:spacing w:after="0" w:line="135" w:lineRule="exact"/>
              <w:rPr>
                <w:sz w:val="20"/>
                <w:szCs w:val="20"/>
                <w:color w:val="auto"/>
              </w:rPr>
            </w:pPr>
            <w:r>
              <w:rPr>
                <w:rFonts w:ascii="Arial" w:cs="Arial" w:eastAsia="Arial" w:hAnsi="Arial"/>
                <w:sz w:val="13"/>
                <w:szCs w:val="13"/>
                <w:color w:val="auto"/>
              </w:rPr>
              <w:t>VT Buyer Acquisition Corp.</w:t>
            </w:r>
          </w:p>
        </w:tc>
        <w:tc>
          <w:tcPr>
            <w:tcW w:w="1360" w:type="dxa"/>
            <w:vAlign w:val="bottom"/>
          </w:tcPr>
          <w:p>
            <w:pPr>
              <w:jc w:val="center"/>
              <w:ind w:left="597"/>
              <w:spacing w:after="0" w:line="135" w:lineRule="exact"/>
              <w:rPr>
                <w:sz w:val="20"/>
                <w:szCs w:val="20"/>
                <w:color w:val="auto"/>
              </w:rPr>
            </w:pPr>
            <w:r>
              <w:rPr>
                <w:rFonts w:ascii="Arial" w:cs="Arial" w:eastAsia="Arial" w:hAnsi="Arial"/>
                <w:sz w:val="13"/>
                <w:szCs w:val="13"/>
                <w:color w:val="auto"/>
                <w:w w:val="89"/>
              </w:rPr>
              <w:t>01/30/2023</w:t>
            </w:r>
          </w:p>
        </w:tc>
        <w:tc>
          <w:tcPr>
            <w:tcW w:w="1980" w:type="dxa"/>
            <w:vAlign w:val="bottom"/>
          </w:tcPr>
          <w:p>
            <w:pPr>
              <w:jc w:val="center"/>
              <w:spacing w:after="0" w:line="135" w:lineRule="exact"/>
              <w:rPr>
                <w:sz w:val="20"/>
                <w:szCs w:val="20"/>
                <w:color w:val="auto"/>
              </w:rPr>
            </w:pPr>
            <w:r>
              <w:rPr>
                <w:rFonts w:ascii="Arial" w:cs="Arial" w:eastAsia="Arial" w:hAnsi="Arial"/>
                <w:sz w:val="13"/>
                <w:szCs w:val="13"/>
                <w:color w:val="auto"/>
                <w:w w:val="86"/>
              </w:rPr>
              <w:t>Business Services</w:t>
            </w:r>
          </w:p>
        </w:tc>
        <w:tc>
          <w:tcPr>
            <w:tcW w:w="8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10.75%</w:t>
            </w:r>
          </w:p>
        </w:tc>
        <w:tc>
          <w:tcPr>
            <w:tcW w:w="10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L+975</w:t>
            </w:r>
          </w:p>
        </w:tc>
        <w:tc>
          <w:tcPr>
            <w:tcW w:w="140" w:type="dxa"/>
            <w:vAlign w:val="bottom"/>
          </w:tcPr>
          <w:p>
            <w:pPr>
              <w:spacing w:after="0"/>
              <w:rPr>
                <w:sz w:val="11"/>
                <w:szCs w:val="11"/>
                <w:color w:val="auto"/>
              </w:rPr>
            </w:pPr>
          </w:p>
        </w:tc>
        <w:tc>
          <w:tcPr>
            <w:tcW w:w="760" w:type="dxa"/>
            <w:vAlign w:val="bottom"/>
          </w:tcPr>
          <w:p>
            <w:pPr>
              <w:jc w:val="right"/>
              <w:ind w:right="117"/>
              <w:spacing w:after="0" w:line="135" w:lineRule="exact"/>
              <w:rPr>
                <w:sz w:val="20"/>
                <w:szCs w:val="20"/>
                <w:color w:val="auto"/>
              </w:rPr>
            </w:pPr>
            <w:r>
              <w:rPr>
                <w:rFonts w:ascii="Arial" w:cs="Arial" w:eastAsia="Arial" w:hAnsi="Arial"/>
                <w:sz w:val="13"/>
                <w:szCs w:val="13"/>
                <w:color w:val="auto"/>
                <w:w w:val="86"/>
              </w:rPr>
              <w:t>12,862,500</w:t>
            </w: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5"/>
              </w:rPr>
              <w:t>12,453,113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5"/>
              </w:rPr>
              <w:t>12,862,500</w:t>
            </w:r>
          </w:p>
        </w:tc>
        <w:tc>
          <w:tcPr>
            <w:tcW w:w="0" w:type="dxa"/>
            <w:vAlign w:val="bottom"/>
          </w:tcPr>
          <w:p>
            <w:pPr>
              <w:spacing w:after="0"/>
              <w:rPr>
                <w:sz w:val="1"/>
                <w:szCs w:val="1"/>
                <w:color w:val="auto"/>
              </w:rPr>
            </w:pPr>
          </w:p>
        </w:tc>
      </w:tr>
      <w:tr>
        <w:trPr>
          <w:trHeight w:val="121"/>
        </w:trPr>
        <w:tc>
          <w:tcPr>
            <w:tcW w:w="33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WD Wolverine Holdings, LLC</w:t>
            </w:r>
          </w:p>
        </w:tc>
        <w:tc>
          <w:tcPr>
            <w:tcW w:w="1360" w:type="dxa"/>
            <w:vAlign w:val="bottom"/>
            <w:shd w:val="clear" w:color="auto" w:fill="CCEEFF"/>
          </w:tcPr>
          <w:p>
            <w:pPr>
              <w:jc w:val="center"/>
              <w:ind w:left="597"/>
              <w:spacing w:after="0" w:line="121" w:lineRule="exact"/>
              <w:rPr>
                <w:sz w:val="20"/>
                <w:szCs w:val="20"/>
                <w:color w:val="auto"/>
              </w:rPr>
            </w:pPr>
            <w:r>
              <w:rPr>
                <w:rFonts w:ascii="Arial" w:cs="Arial" w:eastAsia="Arial" w:hAnsi="Arial"/>
                <w:sz w:val="13"/>
                <w:szCs w:val="13"/>
                <w:color w:val="auto"/>
                <w:w w:val="89"/>
              </w:rPr>
              <w:t>10/17/2024</w:t>
            </w:r>
          </w:p>
        </w:tc>
        <w:tc>
          <w:tcPr>
            <w:tcW w:w="19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Healthcare, Education and</w:t>
            </w:r>
          </w:p>
        </w:tc>
        <w:tc>
          <w:tcPr>
            <w:tcW w:w="86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10.50%</w:t>
            </w:r>
          </w:p>
        </w:tc>
        <w:tc>
          <w:tcPr>
            <w:tcW w:w="104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L+950</w:t>
            </w: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117"/>
              <w:spacing w:after="0" w:line="121" w:lineRule="exact"/>
              <w:rPr>
                <w:sz w:val="20"/>
                <w:szCs w:val="20"/>
                <w:color w:val="auto"/>
              </w:rPr>
            </w:pPr>
            <w:r>
              <w:rPr>
                <w:rFonts w:ascii="Arial" w:cs="Arial" w:eastAsia="Arial" w:hAnsi="Arial"/>
                <w:sz w:val="13"/>
                <w:szCs w:val="13"/>
                <w:color w:val="auto"/>
                <w:w w:val="96"/>
              </w:rPr>
              <w:t>6,750,000</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6,480,000</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6,488,438</w:t>
            </w:r>
          </w:p>
        </w:tc>
        <w:tc>
          <w:tcPr>
            <w:tcW w:w="0" w:type="dxa"/>
            <w:vAlign w:val="bottom"/>
          </w:tcPr>
          <w:p>
            <w:pPr>
              <w:spacing w:after="0"/>
              <w:rPr>
                <w:sz w:val="1"/>
                <w:szCs w:val="1"/>
                <w:color w:val="auto"/>
              </w:rPr>
            </w:pPr>
          </w:p>
        </w:tc>
      </w:tr>
      <w:tr>
        <w:trPr>
          <w:trHeight w:val="149"/>
        </w:trPr>
        <w:tc>
          <w:tcPr>
            <w:tcW w:w="33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Childcare</w:t>
            </w:r>
          </w:p>
        </w:tc>
        <w:tc>
          <w:tcPr>
            <w:tcW w:w="8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tcPr>
          <w:p>
            <w:pPr>
              <w:spacing w:after="0" w:line="142" w:lineRule="exact"/>
              <w:rPr>
                <w:sz w:val="20"/>
                <w:szCs w:val="20"/>
                <w:color w:val="auto"/>
              </w:rPr>
            </w:pPr>
            <w:r>
              <w:rPr>
                <w:rFonts w:ascii="Arial" w:cs="Arial" w:eastAsia="Arial" w:hAnsi="Arial"/>
                <w:sz w:val="13"/>
                <w:szCs w:val="13"/>
                <w:b w:val="1"/>
                <w:bCs w:val="1"/>
                <w:color w:val="auto"/>
              </w:rPr>
              <w:t>Total Second Lien Secured Debt</w:t>
            </w:r>
          </w:p>
        </w:tc>
        <w:tc>
          <w:tcPr>
            <w:tcW w:w="13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409,298,321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410,100,390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Subordinated Debt/Corporate Notes—17.8%</w:t>
            </w:r>
          </w:p>
        </w:tc>
        <w:tc>
          <w:tcPr>
            <w:tcW w:w="136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80" w:type="dxa"/>
            <w:vAlign w:val="bottom"/>
          </w:tcPr>
          <w:p>
            <w:pPr>
              <w:spacing w:after="0" w:line="135" w:lineRule="exact"/>
              <w:rPr>
                <w:sz w:val="20"/>
                <w:szCs w:val="20"/>
                <w:color w:val="auto"/>
              </w:rPr>
            </w:pPr>
            <w:r>
              <w:rPr>
                <w:rFonts w:ascii="Arial" w:cs="Arial" w:eastAsia="Arial" w:hAnsi="Arial"/>
                <w:sz w:val="13"/>
                <w:szCs w:val="13"/>
                <w:color w:val="auto"/>
              </w:rPr>
              <w:t>Alegeus Technologies, LLC</w:t>
            </w:r>
          </w:p>
        </w:tc>
        <w:tc>
          <w:tcPr>
            <w:tcW w:w="1360" w:type="dxa"/>
            <w:vAlign w:val="bottom"/>
          </w:tcPr>
          <w:p>
            <w:pPr>
              <w:jc w:val="center"/>
              <w:ind w:left="597"/>
              <w:spacing w:after="0" w:line="135" w:lineRule="exact"/>
              <w:rPr>
                <w:sz w:val="20"/>
                <w:szCs w:val="20"/>
                <w:color w:val="auto"/>
              </w:rPr>
            </w:pPr>
            <w:r>
              <w:rPr>
                <w:rFonts w:ascii="Arial" w:cs="Arial" w:eastAsia="Arial" w:hAnsi="Arial"/>
                <w:sz w:val="13"/>
                <w:szCs w:val="13"/>
                <w:color w:val="auto"/>
                <w:w w:val="89"/>
              </w:rPr>
              <w:t>02/15/2019</w:t>
            </w:r>
          </w:p>
        </w:tc>
        <w:tc>
          <w:tcPr>
            <w:tcW w:w="1980" w:type="dxa"/>
            <w:vAlign w:val="bottom"/>
          </w:tcPr>
          <w:p>
            <w:pPr>
              <w:jc w:val="center"/>
              <w:spacing w:after="0" w:line="135" w:lineRule="exact"/>
              <w:rPr>
                <w:sz w:val="20"/>
                <w:szCs w:val="20"/>
                <w:color w:val="auto"/>
              </w:rPr>
            </w:pPr>
            <w:r>
              <w:rPr>
                <w:rFonts w:ascii="Arial" w:cs="Arial" w:eastAsia="Arial" w:hAnsi="Arial"/>
                <w:sz w:val="13"/>
                <w:szCs w:val="13"/>
                <w:color w:val="auto"/>
                <w:w w:val="87"/>
              </w:rPr>
              <w:t>Financial Services</w:t>
            </w:r>
          </w:p>
        </w:tc>
        <w:tc>
          <w:tcPr>
            <w:tcW w:w="8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13.00%</w:t>
            </w:r>
          </w:p>
        </w:tc>
        <w:tc>
          <w:tcPr>
            <w:tcW w:w="10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L+1,200</w:t>
            </w:r>
          </w:p>
        </w:tc>
        <w:tc>
          <w:tcPr>
            <w:tcW w:w="140" w:type="dxa"/>
            <w:vAlign w:val="bottom"/>
          </w:tcPr>
          <w:p>
            <w:pPr>
              <w:spacing w:after="0"/>
              <w:rPr>
                <w:sz w:val="11"/>
                <w:szCs w:val="11"/>
                <w:color w:val="auto"/>
              </w:rPr>
            </w:pPr>
          </w:p>
        </w:tc>
        <w:tc>
          <w:tcPr>
            <w:tcW w:w="760" w:type="dxa"/>
            <w:vAlign w:val="bottom"/>
          </w:tcPr>
          <w:p>
            <w:pPr>
              <w:jc w:val="right"/>
              <w:ind w:right="117"/>
              <w:spacing w:after="0" w:line="135" w:lineRule="exact"/>
              <w:rPr>
                <w:sz w:val="20"/>
                <w:szCs w:val="20"/>
                <w:color w:val="auto"/>
              </w:rPr>
            </w:pPr>
            <w:r>
              <w:rPr>
                <w:rFonts w:ascii="Arial" w:cs="Arial" w:eastAsia="Arial" w:hAnsi="Arial"/>
                <w:sz w:val="13"/>
                <w:szCs w:val="13"/>
                <w:color w:val="auto"/>
                <w:w w:val="96"/>
              </w:rPr>
              <w:t>8,930,000</w:t>
            </w: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8,854,997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8,871,490</w:t>
            </w:r>
          </w:p>
        </w:tc>
        <w:tc>
          <w:tcPr>
            <w:tcW w:w="0" w:type="dxa"/>
            <w:vAlign w:val="bottom"/>
          </w:tcPr>
          <w:p>
            <w:pPr>
              <w:spacing w:after="0"/>
              <w:rPr>
                <w:sz w:val="1"/>
                <w:szCs w:val="1"/>
                <w:color w:val="auto"/>
              </w:rPr>
            </w:pPr>
          </w:p>
        </w:tc>
      </w:tr>
      <w:tr>
        <w:trPr>
          <w:trHeight w:val="135"/>
        </w:trPr>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Cascade Environmental LLC</w:t>
            </w:r>
          </w:p>
        </w:tc>
        <w:tc>
          <w:tcPr>
            <w:tcW w:w="1360" w:type="dxa"/>
            <w:vAlign w:val="bottom"/>
            <w:shd w:val="clear" w:color="auto" w:fill="CCEEFF"/>
          </w:tcPr>
          <w:p>
            <w:pPr>
              <w:jc w:val="center"/>
              <w:ind w:left="597"/>
              <w:spacing w:after="0" w:line="135" w:lineRule="exact"/>
              <w:rPr>
                <w:sz w:val="20"/>
                <w:szCs w:val="20"/>
                <w:color w:val="auto"/>
              </w:rPr>
            </w:pPr>
            <w:r>
              <w:rPr>
                <w:rFonts w:ascii="Arial" w:cs="Arial" w:eastAsia="Arial" w:hAnsi="Arial"/>
                <w:sz w:val="13"/>
                <w:szCs w:val="13"/>
                <w:color w:val="auto"/>
                <w:w w:val="89"/>
              </w:rPr>
              <w:t>08/20/2021</w:t>
            </w:r>
          </w:p>
        </w:tc>
        <w:tc>
          <w:tcPr>
            <w:tcW w:w="19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Environmental Services</w:t>
            </w:r>
          </w:p>
        </w:tc>
        <w:tc>
          <w:tcPr>
            <w:tcW w:w="8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12.00%</w:t>
            </w:r>
          </w:p>
        </w:tc>
        <w:tc>
          <w:tcPr>
            <w:tcW w:w="104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w w:val="86"/>
              </w:rPr>
              <w:t>32,675,553</w:t>
            </w:r>
          </w:p>
        </w:tc>
        <w:tc>
          <w:tcPr>
            <w:tcW w:w="6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5"/>
              </w:rPr>
              <w:t>32,081,286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5"/>
              </w:rPr>
              <w:t>32,675,553</w:t>
            </w:r>
          </w:p>
        </w:tc>
        <w:tc>
          <w:tcPr>
            <w:tcW w:w="0" w:type="dxa"/>
            <w:vAlign w:val="bottom"/>
          </w:tcPr>
          <w:p>
            <w:pPr>
              <w:spacing w:after="0"/>
              <w:rPr>
                <w:sz w:val="1"/>
                <w:szCs w:val="1"/>
                <w:color w:val="auto"/>
              </w:rPr>
            </w:pPr>
          </w:p>
        </w:tc>
      </w:tr>
      <w:tr>
        <w:trPr>
          <w:trHeight w:val="121"/>
        </w:trPr>
        <w:tc>
          <w:tcPr>
            <w:tcW w:w="3380" w:type="dxa"/>
            <w:vAlign w:val="bottom"/>
          </w:tcPr>
          <w:p>
            <w:pPr>
              <w:spacing w:after="0" w:line="121" w:lineRule="exact"/>
              <w:rPr>
                <w:sz w:val="20"/>
                <w:szCs w:val="20"/>
                <w:color w:val="auto"/>
              </w:rPr>
            </w:pPr>
            <w:r>
              <w:rPr>
                <w:rFonts w:ascii="Arial" w:cs="Arial" w:eastAsia="Arial" w:hAnsi="Arial"/>
                <w:sz w:val="13"/>
                <w:szCs w:val="13"/>
                <w:color w:val="auto"/>
              </w:rPr>
              <w:t>Credit Infonet, Inc.</w:t>
            </w:r>
          </w:p>
        </w:tc>
        <w:tc>
          <w:tcPr>
            <w:tcW w:w="1360" w:type="dxa"/>
            <w:vAlign w:val="bottom"/>
          </w:tcPr>
          <w:p>
            <w:pPr>
              <w:jc w:val="center"/>
              <w:ind w:left="597"/>
              <w:spacing w:after="0" w:line="121" w:lineRule="exact"/>
              <w:rPr>
                <w:sz w:val="20"/>
                <w:szCs w:val="20"/>
                <w:color w:val="auto"/>
              </w:rPr>
            </w:pPr>
            <w:r>
              <w:rPr>
                <w:rFonts w:ascii="Arial" w:cs="Arial" w:eastAsia="Arial" w:hAnsi="Arial"/>
                <w:sz w:val="13"/>
                <w:szCs w:val="13"/>
                <w:color w:val="auto"/>
                <w:w w:val="89"/>
              </w:rPr>
              <w:t>10/26/2018</w:t>
            </w:r>
          </w:p>
        </w:tc>
        <w:tc>
          <w:tcPr>
            <w:tcW w:w="1980" w:type="dxa"/>
            <w:vAlign w:val="bottom"/>
          </w:tcPr>
          <w:p>
            <w:pPr>
              <w:jc w:val="center"/>
              <w:spacing w:after="0" w:line="121" w:lineRule="exact"/>
              <w:rPr>
                <w:sz w:val="20"/>
                <w:szCs w:val="20"/>
                <w:color w:val="auto"/>
              </w:rPr>
            </w:pPr>
            <w:r>
              <w:rPr>
                <w:rFonts w:ascii="Arial" w:cs="Arial" w:eastAsia="Arial" w:hAnsi="Arial"/>
                <w:sz w:val="13"/>
                <w:szCs w:val="13"/>
                <w:color w:val="auto"/>
                <w:w w:val="84"/>
              </w:rPr>
              <w:t>Personal, Food and</w:t>
            </w:r>
          </w:p>
        </w:tc>
        <w:tc>
          <w:tcPr>
            <w:tcW w:w="860" w:type="dxa"/>
            <w:vAlign w:val="bottom"/>
          </w:tcPr>
          <w:p>
            <w:pPr>
              <w:jc w:val="right"/>
              <w:ind w:right="57"/>
              <w:spacing w:after="0" w:line="121" w:lineRule="exact"/>
              <w:rPr>
                <w:sz w:val="20"/>
                <w:szCs w:val="20"/>
                <w:color w:val="auto"/>
              </w:rPr>
            </w:pPr>
            <w:r>
              <w:rPr>
                <w:rFonts w:ascii="Arial" w:cs="Arial" w:eastAsia="Arial" w:hAnsi="Arial"/>
                <w:sz w:val="13"/>
                <w:szCs w:val="13"/>
                <w:color w:val="auto"/>
              </w:rPr>
              <w:t>13.25%</w:t>
            </w:r>
          </w:p>
        </w:tc>
        <w:tc>
          <w:tcPr>
            <w:tcW w:w="104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0"/>
                <w:szCs w:val="10"/>
                <w:color w:val="auto"/>
              </w:rPr>
            </w:pPr>
          </w:p>
        </w:tc>
        <w:tc>
          <w:tcPr>
            <w:tcW w:w="760" w:type="dxa"/>
            <w:vAlign w:val="bottom"/>
          </w:tcPr>
          <w:p>
            <w:pPr>
              <w:jc w:val="right"/>
              <w:ind w:right="117"/>
              <w:spacing w:after="0" w:line="121" w:lineRule="exact"/>
              <w:rPr>
                <w:sz w:val="20"/>
                <w:szCs w:val="20"/>
                <w:color w:val="auto"/>
              </w:rPr>
            </w:pPr>
            <w:r>
              <w:rPr>
                <w:rFonts w:ascii="Arial" w:cs="Arial" w:eastAsia="Arial" w:hAnsi="Arial"/>
                <w:sz w:val="13"/>
                <w:szCs w:val="13"/>
                <w:color w:val="auto"/>
                <w:w w:val="86"/>
              </w:rPr>
              <w:t>11,089,580</w:t>
            </w:r>
          </w:p>
        </w:tc>
        <w:tc>
          <w:tcPr>
            <w:tcW w:w="60" w:type="dxa"/>
            <w:vAlign w:val="bottom"/>
          </w:tcPr>
          <w:p>
            <w:pPr>
              <w:spacing w:after="0"/>
              <w:rPr>
                <w:sz w:val="10"/>
                <w:szCs w:val="10"/>
                <w:color w:val="auto"/>
              </w:rPr>
            </w:pPr>
          </w:p>
        </w:tc>
        <w:tc>
          <w:tcPr>
            <w:tcW w:w="720" w:type="dxa"/>
            <w:vAlign w:val="bottom"/>
            <w:gridSpan w:val="3"/>
          </w:tcPr>
          <w:p>
            <w:pPr>
              <w:jc w:val="right"/>
              <w:ind w:right="80"/>
              <w:spacing w:after="0" w:line="121" w:lineRule="exact"/>
              <w:rPr>
                <w:sz w:val="20"/>
                <w:szCs w:val="20"/>
                <w:color w:val="auto"/>
              </w:rPr>
            </w:pPr>
            <w:r>
              <w:rPr>
                <w:rFonts w:ascii="Arial" w:cs="Arial" w:eastAsia="Arial" w:hAnsi="Arial"/>
                <w:sz w:val="13"/>
                <w:szCs w:val="13"/>
                <w:color w:val="auto"/>
                <w:w w:val="95"/>
              </w:rPr>
              <w:t>10,877,580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w w:val="95"/>
              </w:rPr>
              <w:t>10,789,404</w:t>
            </w:r>
          </w:p>
        </w:tc>
        <w:tc>
          <w:tcPr>
            <w:tcW w:w="0" w:type="dxa"/>
            <w:vAlign w:val="bottom"/>
          </w:tcPr>
          <w:p>
            <w:pPr>
              <w:spacing w:after="0"/>
              <w:rPr>
                <w:sz w:val="1"/>
                <w:szCs w:val="1"/>
                <w:color w:val="auto"/>
              </w:rPr>
            </w:pPr>
          </w:p>
        </w:tc>
      </w:tr>
      <w:tr>
        <w:trPr>
          <w:trHeight w:val="161"/>
        </w:trPr>
        <w:tc>
          <w:tcPr>
            <w:tcW w:w="3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980" w:type="dxa"/>
            <w:vAlign w:val="bottom"/>
          </w:tcPr>
          <w:p>
            <w:pPr>
              <w:jc w:val="center"/>
              <w:spacing w:after="0"/>
              <w:rPr>
                <w:sz w:val="20"/>
                <w:szCs w:val="20"/>
                <w:color w:val="auto"/>
              </w:rPr>
            </w:pPr>
            <w:r>
              <w:rPr>
                <w:rFonts w:ascii="Arial" w:cs="Arial" w:eastAsia="Arial" w:hAnsi="Arial"/>
                <w:sz w:val="13"/>
                <w:szCs w:val="13"/>
                <w:color w:val="auto"/>
                <w:w w:val="88"/>
              </w:rPr>
              <w:t>Miscellaneous Services</w:t>
            </w:r>
          </w:p>
        </w:tc>
        <w:tc>
          <w:tcPr>
            <w:tcW w:w="860" w:type="dxa"/>
            <w:vAlign w:val="bottom"/>
          </w:tcPr>
          <w:p>
            <w:pPr>
              <w:jc w:val="right"/>
              <w:ind w:right="17"/>
              <w:spacing w:after="0"/>
              <w:rPr>
                <w:sz w:val="20"/>
                <w:szCs w:val="20"/>
                <w:color w:val="auto"/>
              </w:rPr>
            </w:pPr>
            <w:r>
              <w:rPr>
                <w:rFonts w:ascii="Arial" w:cs="Arial" w:eastAsia="Arial" w:hAnsi="Arial"/>
                <w:sz w:val="13"/>
                <w:szCs w:val="13"/>
                <w:color w:val="auto"/>
              </w:rPr>
              <w:t>(PIK 2.00%)</w:t>
            </w: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 xml:space="preserve">Goldsun Trading Limited </w:t>
            </w:r>
            <w:r>
              <w:rPr>
                <w:rFonts w:ascii="Arial" w:cs="Arial" w:eastAsia="Arial" w:hAnsi="Arial"/>
                <w:sz w:val="10"/>
                <w:szCs w:val="10"/>
                <w:color w:val="auto"/>
              </w:rPr>
              <w:t>(9), (11), (12)</w:t>
            </w:r>
          </w:p>
        </w:tc>
        <w:tc>
          <w:tcPr>
            <w:tcW w:w="1360" w:type="dxa"/>
            <w:vAlign w:val="bottom"/>
            <w:shd w:val="clear" w:color="auto" w:fill="CCEEFF"/>
          </w:tcPr>
          <w:p>
            <w:pPr>
              <w:jc w:val="center"/>
              <w:ind w:left="597"/>
              <w:spacing w:after="0" w:line="122" w:lineRule="exact"/>
              <w:rPr>
                <w:sz w:val="20"/>
                <w:szCs w:val="20"/>
                <w:color w:val="auto"/>
              </w:rPr>
            </w:pPr>
            <w:r>
              <w:rPr>
                <w:rFonts w:ascii="Arial" w:cs="Arial" w:eastAsia="Arial" w:hAnsi="Arial"/>
                <w:sz w:val="13"/>
                <w:szCs w:val="13"/>
                <w:color w:val="auto"/>
                <w:w w:val="89"/>
              </w:rPr>
              <w:t>02/19/2018</w:t>
            </w:r>
          </w:p>
        </w:tc>
        <w:tc>
          <w:tcPr>
            <w:tcW w:w="198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86"/>
              </w:rPr>
              <w:t>Healthcare, Education and</w:t>
            </w:r>
          </w:p>
        </w:tc>
        <w:tc>
          <w:tcPr>
            <w:tcW w:w="860" w:type="dxa"/>
            <w:vAlign w:val="bottom"/>
            <w:shd w:val="clear" w:color="auto" w:fill="CCEEFF"/>
          </w:tcPr>
          <w:p>
            <w:pPr>
              <w:jc w:val="right"/>
              <w:ind w:right="57"/>
              <w:spacing w:after="0" w:line="122" w:lineRule="exact"/>
              <w:rPr>
                <w:sz w:val="20"/>
                <w:szCs w:val="20"/>
                <w:color w:val="auto"/>
              </w:rPr>
            </w:pPr>
            <w:r>
              <w:rPr>
                <w:rFonts w:ascii="Arial" w:cs="Arial" w:eastAsia="Arial" w:hAnsi="Arial"/>
                <w:sz w:val="13"/>
                <w:szCs w:val="13"/>
                <w:color w:val="auto"/>
              </w:rPr>
              <w:t>14.50%</w:t>
            </w:r>
          </w:p>
        </w:tc>
        <w:tc>
          <w:tcPr>
            <w:tcW w:w="1040" w:type="dxa"/>
            <w:vAlign w:val="bottom"/>
            <w:shd w:val="clear" w:color="auto" w:fill="CCEEFF"/>
          </w:tcPr>
          <w:p>
            <w:pPr>
              <w:jc w:val="right"/>
              <w:ind w:right="157"/>
              <w:spacing w:after="0" w:line="122" w:lineRule="exact"/>
              <w:rPr>
                <w:sz w:val="20"/>
                <w:szCs w:val="20"/>
                <w:color w:val="auto"/>
              </w:rPr>
            </w:pPr>
            <w:r>
              <w:rPr>
                <w:rFonts w:ascii="Arial" w:cs="Arial" w:eastAsia="Arial" w:hAnsi="Arial"/>
                <w:sz w:val="13"/>
                <w:szCs w:val="13"/>
                <w:color w:val="auto"/>
              </w:rPr>
              <w:t>L+1,000</w:t>
            </w:r>
          </w:p>
        </w:tc>
        <w:tc>
          <w:tcPr>
            <w:tcW w:w="140" w:type="dxa"/>
            <w:vAlign w:val="bottom"/>
            <w:shd w:val="clear" w:color="auto" w:fill="CCEEFF"/>
          </w:tcPr>
          <w:p>
            <w:pPr>
              <w:ind w:left="80"/>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117"/>
              <w:spacing w:after="0" w:line="122" w:lineRule="exact"/>
              <w:rPr>
                <w:sz w:val="20"/>
                <w:szCs w:val="20"/>
                <w:color w:val="auto"/>
              </w:rPr>
            </w:pPr>
            <w:r>
              <w:rPr>
                <w:rFonts w:ascii="Arial" w:cs="Arial" w:eastAsia="Arial" w:hAnsi="Arial"/>
                <w:sz w:val="13"/>
                <w:szCs w:val="13"/>
                <w:color w:val="auto"/>
                <w:w w:val="96"/>
              </w:rPr>
              <w:t>8,502,267</w:t>
            </w:r>
          </w:p>
        </w:tc>
        <w:tc>
          <w:tcPr>
            <w:tcW w:w="60" w:type="dxa"/>
            <w:vAlign w:val="bottom"/>
            <w:shd w:val="clear" w:color="auto" w:fill="CCEEFF"/>
          </w:tcPr>
          <w:p>
            <w:pPr>
              <w:spacing w:after="0"/>
              <w:rPr>
                <w:sz w:val="10"/>
                <w:szCs w:val="10"/>
                <w:color w:val="auto"/>
              </w:rPr>
            </w:pPr>
          </w:p>
        </w:tc>
        <w:tc>
          <w:tcPr>
            <w:tcW w:w="72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3"/>
                <w:szCs w:val="13"/>
                <w:color w:val="auto"/>
                <w:w w:val="95"/>
              </w:rPr>
              <w:t>12,467,484</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3"/>
                <w:szCs w:val="13"/>
                <w:color w:val="auto"/>
                <w:w w:val="95"/>
              </w:rPr>
              <w:t>10,505,835</w:t>
            </w:r>
          </w:p>
        </w:tc>
        <w:tc>
          <w:tcPr>
            <w:tcW w:w="0" w:type="dxa"/>
            <w:vAlign w:val="bottom"/>
          </w:tcPr>
          <w:p>
            <w:pPr>
              <w:spacing w:after="0"/>
              <w:rPr>
                <w:sz w:val="1"/>
                <w:szCs w:val="1"/>
                <w:color w:val="auto"/>
              </w:rPr>
            </w:pPr>
          </w:p>
        </w:tc>
      </w:tr>
      <w:tr>
        <w:trPr>
          <w:trHeight w:val="163"/>
        </w:trPr>
        <w:tc>
          <w:tcPr>
            <w:tcW w:w="338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Childcare</w:t>
            </w:r>
          </w:p>
        </w:tc>
        <w:tc>
          <w:tcPr>
            <w:tcW w:w="8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(PIK 6.00%)</w:t>
            </w:r>
          </w:p>
        </w:tc>
        <w:tc>
          <w:tcPr>
            <w:tcW w:w="10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380" w:type="dxa"/>
            <w:vAlign w:val="bottom"/>
          </w:tcPr>
          <w:p>
            <w:pPr>
              <w:spacing w:after="0" w:line="135" w:lineRule="exact"/>
              <w:rPr>
                <w:sz w:val="20"/>
                <w:szCs w:val="20"/>
                <w:color w:val="auto"/>
              </w:rPr>
            </w:pPr>
            <w:r>
              <w:rPr>
                <w:rFonts w:ascii="Arial" w:cs="Arial" w:eastAsia="Arial" w:hAnsi="Arial"/>
                <w:sz w:val="13"/>
                <w:szCs w:val="13"/>
                <w:color w:val="auto"/>
              </w:rPr>
              <w:t>Randall-Reilly, LLC</w:t>
            </w:r>
          </w:p>
        </w:tc>
        <w:tc>
          <w:tcPr>
            <w:tcW w:w="1360" w:type="dxa"/>
            <w:vAlign w:val="bottom"/>
          </w:tcPr>
          <w:p>
            <w:pPr>
              <w:jc w:val="center"/>
              <w:ind w:left="597"/>
              <w:spacing w:after="0" w:line="135" w:lineRule="exact"/>
              <w:rPr>
                <w:sz w:val="20"/>
                <w:szCs w:val="20"/>
                <w:color w:val="auto"/>
              </w:rPr>
            </w:pPr>
            <w:r>
              <w:rPr>
                <w:rFonts w:ascii="Arial" w:cs="Arial" w:eastAsia="Arial" w:hAnsi="Arial"/>
                <w:sz w:val="13"/>
                <w:szCs w:val="13"/>
                <w:color w:val="auto"/>
                <w:w w:val="89"/>
              </w:rPr>
              <w:t>04/15/2020</w:t>
            </w:r>
          </w:p>
        </w:tc>
        <w:tc>
          <w:tcPr>
            <w:tcW w:w="1980" w:type="dxa"/>
            <w:vAlign w:val="bottom"/>
          </w:tcPr>
          <w:p>
            <w:pPr>
              <w:jc w:val="center"/>
              <w:spacing w:after="0" w:line="135" w:lineRule="exact"/>
              <w:rPr>
                <w:sz w:val="20"/>
                <w:szCs w:val="20"/>
                <w:color w:val="auto"/>
              </w:rPr>
            </w:pPr>
            <w:r>
              <w:rPr>
                <w:rFonts w:ascii="Arial" w:cs="Arial" w:eastAsia="Arial" w:hAnsi="Arial"/>
                <w:sz w:val="13"/>
                <w:szCs w:val="13"/>
                <w:color w:val="auto"/>
                <w:w w:val="89"/>
              </w:rPr>
              <w:t>Other Media</w:t>
            </w:r>
          </w:p>
        </w:tc>
        <w:tc>
          <w:tcPr>
            <w:tcW w:w="8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12.50%</w:t>
            </w:r>
          </w:p>
        </w:tc>
        <w:tc>
          <w:tcPr>
            <w:tcW w:w="10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60" w:type="dxa"/>
            <w:vAlign w:val="bottom"/>
          </w:tcPr>
          <w:p>
            <w:pPr>
              <w:jc w:val="right"/>
              <w:ind w:right="117"/>
              <w:spacing w:after="0" w:line="135" w:lineRule="exact"/>
              <w:rPr>
                <w:sz w:val="20"/>
                <w:szCs w:val="20"/>
                <w:color w:val="auto"/>
              </w:rPr>
            </w:pPr>
            <w:r>
              <w:rPr>
                <w:rFonts w:ascii="Arial" w:cs="Arial" w:eastAsia="Arial" w:hAnsi="Arial"/>
                <w:sz w:val="13"/>
                <w:szCs w:val="13"/>
                <w:color w:val="auto"/>
                <w:w w:val="86"/>
              </w:rPr>
              <w:t>26,500,000</w:t>
            </w:r>
          </w:p>
        </w:tc>
        <w:tc>
          <w:tcPr>
            <w:tcW w:w="60" w:type="dxa"/>
            <w:vAlign w:val="bottom"/>
          </w:tcPr>
          <w:p>
            <w:pPr>
              <w:spacing w:after="0"/>
              <w:rPr>
                <w:sz w:val="11"/>
                <w:szCs w:val="11"/>
                <w:color w:val="auto"/>
              </w:rPr>
            </w:pPr>
          </w:p>
        </w:tc>
        <w:tc>
          <w:tcPr>
            <w:tcW w:w="72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w w:val="95"/>
              </w:rPr>
              <w:t>26,612,526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5"/>
              </w:rPr>
              <w:t>26,325,700</w:t>
            </w:r>
          </w:p>
        </w:tc>
        <w:tc>
          <w:tcPr>
            <w:tcW w:w="0" w:type="dxa"/>
            <w:vAlign w:val="bottom"/>
          </w:tcPr>
          <w:p>
            <w:pPr>
              <w:spacing w:after="0"/>
              <w:rPr>
                <w:sz w:val="1"/>
                <w:szCs w:val="1"/>
                <w:color w:val="auto"/>
              </w:rPr>
            </w:pPr>
          </w:p>
        </w:tc>
      </w:tr>
      <w:tr>
        <w:trPr>
          <w:trHeight w:val="135"/>
        </w:trPr>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Roto Holdings, Inc.</w:t>
            </w:r>
          </w:p>
        </w:tc>
        <w:tc>
          <w:tcPr>
            <w:tcW w:w="1360" w:type="dxa"/>
            <w:vAlign w:val="bottom"/>
            <w:shd w:val="clear" w:color="auto" w:fill="CCEEFF"/>
          </w:tcPr>
          <w:p>
            <w:pPr>
              <w:jc w:val="center"/>
              <w:ind w:left="597"/>
              <w:spacing w:after="0" w:line="135" w:lineRule="exact"/>
              <w:rPr>
                <w:sz w:val="20"/>
                <w:szCs w:val="20"/>
                <w:color w:val="auto"/>
              </w:rPr>
            </w:pPr>
            <w:r>
              <w:rPr>
                <w:rFonts w:ascii="Arial" w:cs="Arial" w:eastAsia="Arial" w:hAnsi="Arial"/>
                <w:sz w:val="13"/>
                <w:szCs w:val="13"/>
                <w:color w:val="auto"/>
                <w:w w:val="89"/>
              </w:rPr>
              <w:t>05/13/2021</w:t>
            </w:r>
          </w:p>
        </w:tc>
        <w:tc>
          <w:tcPr>
            <w:tcW w:w="19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Manufacturing / Basic Industries</w:t>
            </w:r>
          </w:p>
        </w:tc>
        <w:tc>
          <w:tcPr>
            <w:tcW w:w="8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11.00%</w:t>
            </w:r>
          </w:p>
        </w:tc>
        <w:tc>
          <w:tcPr>
            <w:tcW w:w="104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w w:val="86"/>
              </w:rPr>
              <w:t>13,300,000</w:t>
            </w:r>
          </w:p>
        </w:tc>
        <w:tc>
          <w:tcPr>
            <w:tcW w:w="6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5"/>
              </w:rPr>
              <w:t>13,100,184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95"/>
              </w:rPr>
              <w:t>13,300,000</w:t>
            </w:r>
          </w:p>
        </w:tc>
        <w:tc>
          <w:tcPr>
            <w:tcW w:w="0" w:type="dxa"/>
            <w:vAlign w:val="bottom"/>
          </w:tcPr>
          <w:p>
            <w:pPr>
              <w:spacing w:after="0"/>
              <w:rPr>
                <w:sz w:val="1"/>
                <w:szCs w:val="1"/>
                <w:color w:val="auto"/>
              </w:rPr>
            </w:pPr>
          </w:p>
        </w:tc>
      </w:tr>
      <w:tr>
        <w:trPr>
          <w:trHeight w:val="135"/>
        </w:trPr>
        <w:tc>
          <w:tcPr>
            <w:tcW w:w="3380" w:type="dxa"/>
            <w:vAlign w:val="bottom"/>
          </w:tcPr>
          <w:p>
            <w:pPr>
              <w:spacing w:after="0" w:line="135" w:lineRule="exact"/>
              <w:rPr>
                <w:sz w:val="20"/>
                <w:szCs w:val="20"/>
                <w:color w:val="auto"/>
              </w:rPr>
            </w:pPr>
            <w:r>
              <w:rPr>
                <w:rFonts w:ascii="Arial" w:cs="Arial" w:eastAsia="Arial" w:hAnsi="Arial"/>
                <w:sz w:val="13"/>
                <w:szCs w:val="13"/>
                <w:color w:val="auto"/>
              </w:rPr>
              <w:t>Sonny’s Enterprises, LLC</w:t>
            </w:r>
          </w:p>
        </w:tc>
        <w:tc>
          <w:tcPr>
            <w:tcW w:w="1360" w:type="dxa"/>
            <w:vAlign w:val="bottom"/>
          </w:tcPr>
          <w:p>
            <w:pPr>
              <w:jc w:val="center"/>
              <w:ind w:left="597"/>
              <w:spacing w:after="0" w:line="135" w:lineRule="exact"/>
              <w:rPr>
                <w:sz w:val="20"/>
                <w:szCs w:val="20"/>
                <w:color w:val="auto"/>
              </w:rPr>
            </w:pPr>
            <w:r>
              <w:rPr>
                <w:rFonts w:ascii="Arial" w:cs="Arial" w:eastAsia="Arial" w:hAnsi="Arial"/>
                <w:sz w:val="13"/>
                <w:szCs w:val="13"/>
                <w:color w:val="auto"/>
                <w:w w:val="89"/>
              </w:rPr>
              <w:t>06/01/2023</w:t>
            </w:r>
          </w:p>
        </w:tc>
        <w:tc>
          <w:tcPr>
            <w:tcW w:w="1980" w:type="dxa"/>
            <w:vAlign w:val="bottom"/>
          </w:tcPr>
          <w:p>
            <w:pPr>
              <w:jc w:val="center"/>
              <w:spacing w:after="0" w:line="135" w:lineRule="exact"/>
              <w:rPr>
                <w:sz w:val="20"/>
                <w:szCs w:val="20"/>
                <w:color w:val="auto"/>
              </w:rPr>
            </w:pPr>
            <w:r>
              <w:rPr>
                <w:rFonts w:ascii="Arial" w:cs="Arial" w:eastAsia="Arial" w:hAnsi="Arial"/>
                <w:sz w:val="13"/>
                <w:szCs w:val="13"/>
                <w:color w:val="auto"/>
                <w:w w:val="88"/>
              </w:rPr>
              <w:t>Manufacturing / Basic Industries</w:t>
            </w:r>
          </w:p>
        </w:tc>
        <w:tc>
          <w:tcPr>
            <w:tcW w:w="8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11.00%</w:t>
            </w:r>
          </w:p>
        </w:tc>
        <w:tc>
          <w:tcPr>
            <w:tcW w:w="10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60" w:type="dxa"/>
            <w:vAlign w:val="bottom"/>
          </w:tcPr>
          <w:p>
            <w:pPr>
              <w:jc w:val="right"/>
              <w:ind w:right="117"/>
              <w:spacing w:after="0" w:line="135" w:lineRule="exact"/>
              <w:rPr>
                <w:sz w:val="20"/>
                <w:szCs w:val="20"/>
                <w:color w:val="auto"/>
              </w:rPr>
            </w:pPr>
            <w:r>
              <w:rPr>
                <w:rFonts w:ascii="Arial" w:cs="Arial" w:eastAsia="Arial" w:hAnsi="Arial"/>
                <w:sz w:val="13"/>
                <w:szCs w:val="13"/>
                <w:color w:val="auto"/>
                <w:w w:val="86"/>
              </w:rPr>
              <w:t>13,300,000</w:t>
            </w:r>
          </w:p>
        </w:tc>
        <w:tc>
          <w:tcPr>
            <w:tcW w:w="6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w w:val="95"/>
              </w:rPr>
              <w:t>13,037,195</w:t>
            </w:r>
          </w:p>
        </w:tc>
        <w:tc>
          <w:tcPr>
            <w:tcW w:w="80" w:type="dxa"/>
            <w:vAlign w:val="bottom"/>
            <w:gridSpan w:val="2"/>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95"/>
              </w:rPr>
              <w:t>13,034,000</w:t>
            </w: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Subordinated Debt/Corporate Notes</w:t>
            </w:r>
          </w:p>
        </w:tc>
        <w:tc>
          <w:tcPr>
            <w:tcW w:w="1360" w:type="dxa"/>
            <w:vAlign w:val="bottom"/>
            <w:shd w:val="clear" w:color="auto" w:fill="CCEEFF"/>
          </w:tcPr>
          <w:p>
            <w:pPr>
              <w:spacing w:after="0"/>
              <w:rPr>
                <w:sz w:val="11"/>
                <w:szCs w:val="11"/>
                <w:color w:val="auto"/>
              </w:rPr>
            </w:pPr>
          </w:p>
        </w:tc>
        <w:tc>
          <w:tcPr>
            <w:tcW w:w="19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5"/>
              </w:rPr>
              <w:t>117,031,252</w:t>
            </w:r>
          </w:p>
        </w:tc>
        <w:tc>
          <w:tcPr>
            <w:tcW w:w="80" w:type="dxa"/>
            <w:vAlign w:val="bottom"/>
            <w:gridSpan w:val="2"/>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85"/>
              </w:rPr>
              <w:t>115,501,982</w:t>
            </w:r>
          </w:p>
        </w:tc>
        <w:tc>
          <w:tcPr>
            <w:tcW w:w="0" w:type="dxa"/>
            <w:vAlign w:val="bottom"/>
          </w:tcPr>
          <w:p>
            <w:pPr>
              <w:spacing w:after="0"/>
              <w:rPr>
                <w:sz w:val="1"/>
                <w:szCs w:val="1"/>
                <w:color w:val="auto"/>
              </w:rPr>
            </w:pPr>
          </w:p>
        </w:tc>
      </w:tr>
      <w:tr>
        <w:trPr>
          <w:trHeight w:val="142"/>
        </w:trPr>
        <w:tc>
          <w:tcPr>
            <w:tcW w:w="3380" w:type="dxa"/>
            <w:vAlign w:val="bottom"/>
          </w:tcPr>
          <w:p>
            <w:pPr>
              <w:spacing w:after="0" w:line="142" w:lineRule="exact"/>
              <w:rPr>
                <w:sz w:val="20"/>
                <w:szCs w:val="20"/>
                <w:color w:val="auto"/>
              </w:rPr>
            </w:pPr>
            <w:r>
              <w:rPr>
                <w:rFonts w:ascii="Arial" w:cs="Arial" w:eastAsia="Arial" w:hAnsi="Arial"/>
                <w:sz w:val="13"/>
                <w:szCs w:val="13"/>
                <w:b w:val="1"/>
                <w:bCs w:val="1"/>
                <w:color w:val="auto"/>
              </w:rPr>
              <w:t xml:space="preserve">Preferred Equity/Partnership Interests—0.8% </w:t>
            </w:r>
            <w:r>
              <w:rPr>
                <w:rFonts w:ascii="Arial" w:cs="Arial" w:eastAsia="Arial" w:hAnsi="Arial"/>
                <w:sz w:val="10"/>
                <w:szCs w:val="10"/>
                <w:b w:val="1"/>
                <w:bCs w:val="1"/>
                <w:color w:val="auto"/>
              </w:rPr>
              <w:t>(6)</w:t>
            </w:r>
          </w:p>
        </w:tc>
        <w:tc>
          <w:tcPr>
            <w:tcW w:w="13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38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AH Holdings, Inc.</w:t>
            </w:r>
          </w:p>
        </w:tc>
        <w:tc>
          <w:tcPr>
            <w:tcW w:w="1360" w:type="dxa"/>
            <w:vAlign w:val="bottom"/>
            <w:shd w:val="clear" w:color="auto" w:fill="CCEEFF"/>
          </w:tcPr>
          <w:p>
            <w:pPr>
              <w:jc w:val="center"/>
              <w:ind w:left="617"/>
              <w:spacing w:after="0" w:line="121" w:lineRule="exact"/>
              <w:rPr>
                <w:sz w:val="20"/>
                <w:szCs w:val="20"/>
                <w:color w:val="auto"/>
              </w:rPr>
            </w:pPr>
            <w:r>
              <w:rPr>
                <w:rFonts w:ascii="Arial" w:cs="Arial" w:eastAsia="Arial" w:hAnsi="Arial"/>
                <w:sz w:val="13"/>
                <w:szCs w:val="13"/>
                <w:color w:val="auto"/>
                <w:w w:val="91"/>
              </w:rPr>
              <w:t>—</w:t>
            </w:r>
          </w:p>
        </w:tc>
        <w:tc>
          <w:tcPr>
            <w:tcW w:w="198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Healthcare, Education and</w:t>
            </w:r>
          </w:p>
        </w:tc>
        <w:tc>
          <w:tcPr>
            <w:tcW w:w="86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6.00%</w:t>
            </w:r>
          </w:p>
        </w:tc>
        <w:tc>
          <w:tcPr>
            <w:tcW w:w="104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0"/>
                <w:szCs w:val="10"/>
                <w:color w:val="auto"/>
              </w:rPr>
            </w:pPr>
          </w:p>
        </w:tc>
        <w:tc>
          <w:tcPr>
            <w:tcW w:w="760" w:type="dxa"/>
            <w:vAlign w:val="bottom"/>
            <w:shd w:val="clear" w:color="auto" w:fill="CCEEFF"/>
          </w:tcPr>
          <w:p>
            <w:pPr>
              <w:jc w:val="right"/>
              <w:ind w:right="117"/>
              <w:spacing w:after="0" w:line="121" w:lineRule="exact"/>
              <w:rPr>
                <w:sz w:val="20"/>
                <w:szCs w:val="20"/>
                <w:color w:val="auto"/>
              </w:rPr>
            </w:pPr>
            <w:r>
              <w:rPr>
                <w:rFonts w:ascii="Arial" w:cs="Arial" w:eastAsia="Arial" w:hAnsi="Arial"/>
                <w:sz w:val="13"/>
                <w:szCs w:val="13"/>
                <w:color w:val="auto"/>
              </w:rPr>
              <w:t>211</w:t>
            </w: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500,000</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219,785</w:t>
            </w:r>
          </w:p>
        </w:tc>
        <w:tc>
          <w:tcPr>
            <w:tcW w:w="0" w:type="dxa"/>
            <w:vAlign w:val="bottom"/>
          </w:tcPr>
          <w:p>
            <w:pPr>
              <w:spacing w:after="0"/>
              <w:rPr>
                <w:sz w:val="1"/>
                <w:szCs w:val="1"/>
                <w:color w:val="auto"/>
              </w:rPr>
            </w:pPr>
          </w:p>
        </w:tc>
      </w:tr>
      <w:tr>
        <w:trPr>
          <w:trHeight w:val="149"/>
        </w:trPr>
        <w:tc>
          <w:tcPr>
            <w:tcW w:w="338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Childcare</w:t>
            </w:r>
          </w:p>
        </w:tc>
        <w:tc>
          <w:tcPr>
            <w:tcW w:w="8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80" w:type="dxa"/>
            <w:vAlign w:val="bottom"/>
          </w:tcPr>
          <w:p>
            <w:pPr>
              <w:spacing w:after="0" w:line="135" w:lineRule="exact"/>
              <w:rPr>
                <w:sz w:val="20"/>
                <w:szCs w:val="20"/>
                <w:color w:val="auto"/>
              </w:rPr>
            </w:pPr>
            <w:r>
              <w:rPr>
                <w:rFonts w:ascii="Arial" w:cs="Arial" w:eastAsia="Arial" w:hAnsi="Arial"/>
                <w:sz w:val="13"/>
                <w:szCs w:val="13"/>
                <w:color w:val="auto"/>
              </w:rPr>
              <w:t>Alegeus Technologies Holdings Corp.</w:t>
            </w:r>
          </w:p>
        </w:tc>
        <w:tc>
          <w:tcPr>
            <w:tcW w:w="1360" w:type="dxa"/>
            <w:vAlign w:val="bottom"/>
          </w:tcPr>
          <w:p>
            <w:pPr>
              <w:jc w:val="center"/>
              <w:ind w:left="617"/>
              <w:spacing w:after="0" w:line="135" w:lineRule="exact"/>
              <w:rPr>
                <w:sz w:val="20"/>
                <w:szCs w:val="20"/>
                <w:color w:val="auto"/>
              </w:rPr>
            </w:pPr>
            <w:r>
              <w:rPr>
                <w:rFonts w:ascii="Arial" w:cs="Arial" w:eastAsia="Arial" w:hAnsi="Arial"/>
                <w:sz w:val="13"/>
                <w:szCs w:val="13"/>
                <w:color w:val="auto"/>
                <w:w w:val="91"/>
              </w:rPr>
              <w:t>—</w:t>
            </w:r>
          </w:p>
        </w:tc>
        <w:tc>
          <w:tcPr>
            <w:tcW w:w="1980" w:type="dxa"/>
            <w:vAlign w:val="bottom"/>
          </w:tcPr>
          <w:p>
            <w:pPr>
              <w:jc w:val="center"/>
              <w:spacing w:after="0" w:line="135" w:lineRule="exact"/>
              <w:rPr>
                <w:sz w:val="20"/>
                <w:szCs w:val="20"/>
                <w:color w:val="auto"/>
              </w:rPr>
            </w:pPr>
            <w:r>
              <w:rPr>
                <w:rFonts w:ascii="Arial" w:cs="Arial" w:eastAsia="Arial" w:hAnsi="Arial"/>
                <w:sz w:val="13"/>
                <w:szCs w:val="13"/>
                <w:color w:val="auto"/>
                <w:w w:val="87"/>
              </w:rPr>
              <w:t>Financial Services</w:t>
            </w:r>
          </w:p>
        </w:tc>
        <w:tc>
          <w:tcPr>
            <w:tcW w:w="86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10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949</w:t>
            </w: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949,050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1,143,745</w:t>
            </w:r>
          </w:p>
        </w:tc>
        <w:tc>
          <w:tcPr>
            <w:tcW w:w="0" w:type="dxa"/>
            <w:vAlign w:val="bottom"/>
          </w:tcPr>
          <w:p>
            <w:pPr>
              <w:spacing w:after="0"/>
              <w:rPr>
                <w:sz w:val="1"/>
                <w:szCs w:val="1"/>
                <w:color w:val="auto"/>
              </w:rPr>
            </w:pPr>
          </w:p>
        </w:tc>
      </w:tr>
      <w:tr>
        <w:trPr>
          <w:trHeight w:val="135"/>
        </w:trPr>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Convergint Technologies Holdings, LLC</w:t>
            </w:r>
          </w:p>
        </w:tc>
        <w:tc>
          <w:tcPr>
            <w:tcW w:w="1360" w:type="dxa"/>
            <w:vAlign w:val="bottom"/>
            <w:shd w:val="clear" w:color="auto" w:fill="CCEEFF"/>
          </w:tcPr>
          <w:p>
            <w:pPr>
              <w:jc w:val="center"/>
              <w:ind w:left="617"/>
              <w:spacing w:after="0" w:line="135" w:lineRule="exact"/>
              <w:rPr>
                <w:sz w:val="20"/>
                <w:szCs w:val="20"/>
                <w:color w:val="auto"/>
              </w:rPr>
            </w:pPr>
            <w:r>
              <w:rPr>
                <w:rFonts w:ascii="Arial" w:cs="Arial" w:eastAsia="Arial" w:hAnsi="Arial"/>
                <w:sz w:val="13"/>
                <w:szCs w:val="13"/>
                <w:color w:val="auto"/>
                <w:w w:val="91"/>
              </w:rPr>
              <w:t>—</w:t>
            </w:r>
          </w:p>
        </w:tc>
        <w:tc>
          <w:tcPr>
            <w:tcW w:w="19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8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8.00%</w:t>
            </w:r>
          </w:p>
        </w:tc>
        <w:tc>
          <w:tcPr>
            <w:tcW w:w="104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2,375</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2,088,121</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2,442,879</w:t>
            </w:r>
          </w:p>
        </w:tc>
        <w:tc>
          <w:tcPr>
            <w:tcW w:w="0" w:type="dxa"/>
            <w:vAlign w:val="bottom"/>
          </w:tcPr>
          <w:p>
            <w:pPr>
              <w:spacing w:after="0"/>
              <w:rPr>
                <w:sz w:val="1"/>
                <w:szCs w:val="1"/>
                <w:color w:val="auto"/>
              </w:rPr>
            </w:pPr>
          </w:p>
        </w:tc>
      </w:tr>
      <w:tr>
        <w:trPr>
          <w:trHeight w:val="135"/>
        </w:trPr>
        <w:tc>
          <w:tcPr>
            <w:tcW w:w="3380" w:type="dxa"/>
            <w:vAlign w:val="bottom"/>
          </w:tcPr>
          <w:p>
            <w:pPr>
              <w:spacing w:after="0" w:line="135" w:lineRule="exact"/>
              <w:rPr>
                <w:sz w:val="20"/>
                <w:szCs w:val="20"/>
                <w:color w:val="auto"/>
              </w:rPr>
            </w:pPr>
            <w:r>
              <w:rPr>
                <w:rFonts w:ascii="Arial" w:cs="Arial" w:eastAsia="Arial" w:hAnsi="Arial"/>
                <w:sz w:val="13"/>
                <w:szCs w:val="13"/>
                <w:color w:val="auto"/>
              </w:rPr>
              <w:t>HW Holdco, LLC</w:t>
            </w:r>
          </w:p>
        </w:tc>
        <w:tc>
          <w:tcPr>
            <w:tcW w:w="1360" w:type="dxa"/>
            <w:vAlign w:val="bottom"/>
          </w:tcPr>
          <w:p>
            <w:pPr>
              <w:jc w:val="center"/>
              <w:ind w:left="617"/>
              <w:spacing w:after="0" w:line="135" w:lineRule="exact"/>
              <w:rPr>
                <w:sz w:val="20"/>
                <w:szCs w:val="20"/>
                <w:color w:val="auto"/>
              </w:rPr>
            </w:pPr>
            <w:r>
              <w:rPr>
                <w:rFonts w:ascii="Arial" w:cs="Arial" w:eastAsia="Arial" w:hAnsi="Arial"/>
                <w:sz w:val="13"/>
                <w:szCs w:val="13"/>
                <w:color w:val="auto"/>
                <w:w w:val="91"/>
              </w:rPr>
              <w:t>—</w:t>
            </w:r>
          </w:p>
        </w:tc>
        <w:tc>
          <w:tcPr>
            <w:tcW w:w="1980" w:type="dxa"/>
            <w:vAlign w:val="bottom"/>
          </w:tcPr>
          <w:p>
            <w:pPr>
              <w:jc w:val="center"/>
              <w:spacing w:after="0" w:line="135" w:lineRule="exact"/>
              <w:rPr>
                <w:sz w:val="20"/>
                <w:szCs w:val="20"/>
                <w:color w:val="auto"/>
              </w:rPr>
            </w:pPr>
            <w:r>
              <w:rPr>
                <w:rFonts w:ascii="Arial" w:cs="Arial" w:eastAsia="Arial" w:hAnsi="Arial"/>
                <w:sz w:val="13"/>
                <w:szCs w:val="13"/>
                <w:color w:val="auto"/>
                <w:w w:val="89"/>
              </w:rPr>
              <w:t>Other Media</w:t>
            </w:r>
          </w:p>
        </w:tc>
        <w:tc>
          <w:tcPr>
            <w:tcW w:w="8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8.00%</w:t>
            </w:r>
          </w:p>
        </w:tc>
        <w:tc>
          <w:tcPr>
            <w:tcW w:w="10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140" w:type="dxa"/>
            <w:vAlign w:val="bottom"/>
          </w:tcPr>
          <w:p>
            <w:pPr>
              <w:spacing w:after="0"/>
              <w:rPr>
                <w:sz w:val="11"/>
                <w:szCs w:val="11"/>
                <w:color w:val="auto"/>
              </w:rPr>
            </w:pPr>
          </w:p>
        </w:tc>
        <w:tc>
          <w:tcPr>
            <w:tcW w:w="76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3,591</w:t>
            </w:r>
          </w:p>
        </w:tc>
        <w:tc>
          <w:tcPr>
            <w:tcW w:w="60" w:type="dxa"/>
            <w:vAlign w:val="bottom"/>
          </w:tcPr>
          <w:p>
            <w:pPr>
              <w:spacing w:after="0"/>
              <w:rPr>
                <w:sz w:val="11"/>
                <w:szCs w:val="11"/>
                <w:color w:val="auto"/>
              </w:rPr>
            </w:pPr>
          </w:p>
        </w:tc>
        <w:tc>
          <w:tcPr>
            <w:tcW w:w="72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35,890</w:t>
            </w:r>
          </w:p>
        </w:tc>
        <w:tc>
          <w:tcPr>
            <w:tcW w:w="0" w:type="dxa"/>
            <w:vAlign w:val="bottom"/>
          </w:tcPr>
          <w:p>
            <w:pPr>
              <w:spacing w:after="0"/>
              <w:rPr>
                <w:sz w:val="1"/>
                <w:szCs w:val="1"/>
                <w:color w:val="auto"/>
              </w:rPr>
            </w:pPr>
          </w:p>
        </w:tc>
      </w:tr>
      <w:tr>
        <w:trPr>
          <w:trHeight w:val="135"/>
        </w:trPr>
        <w:tc>
          <w:tcPr>
            <w:tcW w:w="33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Roto Holdings, Inc.</w:t>
            </w:r>
          </w:p>
        </w:tc>
        <w:tc>
          <w:tcPr>
            <w:tcW w:w="1360" w:type="dxa"/>
            <w:vAlign w:val="bottom"/>
            <w:shd w:val="clear" w:color="auto" w:fill="CCEEFF"/>
          </w:tcPr>
          <w:p>
            <w:pPr>
              <w:jc w:val="center"/>
              <w:ind w:left="617"/>
              <w:spacing w:after="0" w:line="135" w:lineRule="exact"/>
              <w:rPr>
                <w:sz w:val="20"/>
                <w:szCs w:val="20"/>
                <w:color w:val="auto"/>
              </w:rPr>
            </w:pPr>
            <w:r>
              <w:rPr>
                <w:rFonts w:ascii="Arial" w:cs="Arial" w:eastAsia="Arial" w:hAnsi="Arial"/>
                <w:sz w:val="13"/>
                <w:szCs w:val="13"/>
                <w:color w:val="auto"/>
                <w:w w:val="91"/>
              </w:rPr>
              <w:t>—</w:t>
            </w:r>
          </w:p>
        </w:tc>
        <w:tc>
          <w:tcPr>
            <w:tcW w:w="198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Manufacturing / Basic Industries</w:t>
            </w:r>
          </w:p>
        </w:tc>
        <w:tc>
          <w:tcPr>
            <w:tcW w:w="86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9.00%</w:t>
            </w:r>
          </w:p>
        </w:tc>
        <w:tc>
          <w:tcPr>
            <w:tcW w:w="104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1"/>
                <w:szCs w:val="11"/>
                <w:color w:val="auto"/>
              </w:rPr>
            </w:pPr>
          </w:p>
        </w:tc>
        <w:tc>
          <w:tcPr>
            <w:tcW w:w="760" w:type="dxa"/>
            <w:vAlign w:val="bottom"/>
            <w:shd w:val="clear" w:color="auto" w:fill="CCEEFF"/>
          </w:tcPr>
          <w:p>
            <w:pPr>
              <w:jc w:val="right"/>
              <w:ind w:right="117"/>
              <w:spacing w:after="0" w:line="135" w:lineRule="exact"/>
              <w:rPr>
                <w:sz w:val="20"/>
                <w:szCs w:val="20"/>
                <w:color w:val="auto"/>
              </w:rPr>
            </w:pPr>
            <w:r>
              <w:rPr>
                <w:rFonts w:ascii="Arial" w:cs="Arial" w:eastAsia="Arial" w:hAnsi="Arial"/>
                <w:sz w:val="13"/>
                <w:szCs w:val="13"/>
                <w:color w:val="auto"/>
              </w:rPr>
              <w:t>1,197</w:t>
            </w: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1,197,000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1,437,268</w:t>
            </w:r>
          </w:p>
        </w:tc>
        <w:tc>
          <w:tcPr>
            <w:tcW w:w="0" w:type="dxa"/>
            <w:vAlign w:val="bottom"/>
          </w:tcPr>
          <w:p>
            <w:pPr>
              <w:spacing w:after="0"/>
              <w:rPr>
                <w:sz w:val="1"/>
                <w:szCs w:val="1"/>
                <w:color w:val="auto"/>
              </w:rPr>
            </w:pPr>
          </w:p>
        </w:tc>
      </w:tr>
      <w:tr>
        <w:trPr>
          <w:trHeight w:val="142"/>
        </w:trPr>
        <w:tc>
          <w:tcPr>
            <w:tcW w:w="3380" w:type="dxa"/>
            <w:vAlign w:val="bottom"/>
          </w:tcPr>
          <w:p>
            <w:pPr>
              <w:spacing w:after="0" w:line="142" w:lineRule="exact"/>
              <w:rPr>
                <w:sz w:val="20"/>
                <w:szCs w:val="20"/>
                <w:color w:val="auto"/>
              </w:rPr>
            </w:pPr>
            <w:r>
              <w:rPr>
                <w:rFonts w:ascii="Arial" w:cs="Arial" w:eastAsia="Arial" w:hAnsi="Arial"/>
                <w:sz w:val="13"/>
                <w:szCs w:val="13"/>
                <w:b w:val="1"/>
                <w:bCs w:val="1"/>
                <w:color w:val="auto"/>
              </w:rPr>
              <w:t>Total Preferred Equity/Partnership Interests</w:t>
            </w:r>
          </w:p>
        </w:tc>
        <w:tc>
          <w:tcPr>
            <w:tcW w:w="136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4,734,171</w:t>
            </w:r>
          </w:p>
        </w:tc>
        <w:tc>
          <w:tcPr>
            <w:tcW w:w="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5,279,567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240"/>
          </w:cols>
          <w:pgMar w:left="32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line="221" w:lineRule="auto"/>
        <w:rPr>
          <w:sz w:val="20"/>
          <w:szCs w:val="20"/>
          <w:color w:val="auto"/>
        </w:rPr>
      </w:pPr>
      <w:r>
        <w:rPr>
          <w:rFonts w:ascii="Arial" w:cs="Arial" w:eastAsia="Arial" w:hAnsi="Arial"/>
          <w:sz w:val="14"/>
          <w:szCs w:val="14"/>
          <w:b w:val="1"/>
          <w:bCs w:val="1"/>
          <w:color w:val="auto"/>
        </w:rPr>
        <w:t>DECEMBER 31, 2016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4"/>
              </w:rPr>
              <w:t>Basis Point</w:t>
            </w: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00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700" w:type="dxa"/>
            <w:vAlign w:val="bottom"/>
          </w:tcPr>
          <w:p>
            <w:pPr>
              <w:ind w:left="40"/>
              <w:spacing w:after="0" w:line="135" w:lineRule="exact"/>
              <w:rPr>
                <w:sz w:val="20"/>
                <w:szCs w:val="20"/>
                <w:color w:val="auto"/>
              </w:rPr>
            </w:pPr>
            <w:r>
              <w:rPr>
                <w:rFonts w:ascii="Arial" w:cs="Arial" w:eastAsia="Arial" w:hAnsi="Arial"/>
                <w:sz w:val="13"/>
                <w:szCs w:val="13"/>
                <w:b w:val="1"/>
                <w:bCs w:val="1"/>
                <w:color w:val="auto"/>
              </w:rPr>
              <w:t>Maturity /</w:t>
            </w:r>
          </w:p>
        </w:tc>
        <w:tc>
          <w:tcPr>
            <w:tcW w:w="1820" w:type="dxa"/>
            <w:vAlign w:val="bottom"/>
          </w:tcPr>
          <w:p>
            <w:pPr>
              <w:spacing w:after="0"/>
              <w:rPr>
                <w:sz w:val="11"/>
                <w:szCs w:val="11"/>
                <w:color w:val="auto"/>
              </w:rPr>
            </w:pPr>
          </w:p>
        </w:tc>
        <w:tc>
          <w:tcPr>
            <w:tcW w:w="940" w:type="dxa"/>
            <w:vAlign w:val="bottom"/>
          </w:tcPr>
          <w:p>
            <w:pPr>
              <w:jc w:val="right"/>
              <w:ind w:right="277"/>
              <w:spacing w:after="0" w:line="135" w:lineRule="exact"/>
              <w:rPr>
                <w:sz w:val="20"/>
                <w:szCs w:val="20"/>
                <w:color w:val="auto"/>
              </w:rPr>
            </w:pPr>
            <w:r>
              <w:rPr>
                <w:rFonts w:ascii="Arial" w:cs="Arial" w:eastAsia="Arial" w:hAnsi="Arial"/>
                <w:sz w:val="13"/>
                <w:szCs w:val="13"/>
                <w:b w:val="1"/>
                <w:bCs w:val="1"/>
                <w:color w:val="auto"/>
              </w:rPr>
              <w:t>Current</w:t>
            </w:r>
          </w:p>
        </w:tc>
        <w:tc>
          <w:tcPr>
            <w:tcW w:w="11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4"/>
              </w:rPr>
              <w:t>Spread Above</w:t>
            </w:r>
          </w:p>
        </w:tc>
        <w:tc>
          <w:tcPr>
            <w:tcW w:w="740" w:type="dxa"/>
            <w:vAlign w:val="bottom"/>
            <w:gridSpan w:val="2"/>
          </w:tcPr>
          <w:p>
            <w:pPr>
              <w:jc w:val="right"/>
              <w:ind w:right="320"/>
              <w:spacing w:after="0" w:line="135" w:lineRule="exact"/>
              <w:rPr>
                <w:sz w:val="20"/>
                <w:szCs w:val="20"/>
                <w:color w:val="auto"/>
              </w:rPr>
            </w:pPr>
            <w:r>
              <w:rPr>
                <w:rFonts w:ascii="Arial" w:cs="Arial" w:eastAsia="Arial" w:hAnsi="Arial"/>
                <w:sz w:val="13"/>
                <w:szCs w:val="13"/>
                <w:b w:val="1"/>
                <w:bCs w:val="1"/>
                <w:color w:val="auto"/>
              </w:rPr>
              <w:t>Par /</w:t>
            </w: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000" w:type="dxa"/>
            <w:vAlign w:val="bottom"/>
            <w:vMerge w:val="continue"/>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3"/>
                <w:szCs w:val="13"/>
                <w:b w:val="1"/>
                <w:bCs w:val="1"/>
                <w:color w:val="auto"/>
              </w:rPr>
              <w:t>Expiration</w:t>
            </w:r>
          </w:p>
        </w:tc>
        <w:tc>
          <w:tcPr>
            <w:tcW w:w="1820" w:type="dxa"/>
            <w:vAlign w:val="bottom"/>
          </w:tcPr>
          <w:p>
            <w:pPr>
              <w:jc w:val="center"/>
              <w:spacing w:after="0"/>
              <w:rPr>
                <w:sz w:val="20"/>
                <w:szCs w:val="20"/>
                <w:color w:val="auto"/>
              </w:rPr>
            </w:pPr>
            <w:r>
              <w:rPr>
                <w:rFonts w:ascii="Arial" w:cs="Arial" w:eastAsia="Arial" w:hAnsi="Arial"/>
                <w:sz w:val="13"/>
                <w:szCs w:val="13"/>
                <w:b w:val="1"/>
                <w:bCs w:val="1"/>
                <w:color w:val="auto"/>
                <w:w w:val="93"/>
              </w:rPr>
              <w:t>Industry</w:t>
            </w:r>
          </w:p>
        </w:tc>
        <w:tc>
          <w:tcPr>
            <w:tcW w:w="940" w:type="dxa"/>
            <w:vAlign w:val="bottom"/>
          </w:tcPr>
          <w:p>
            <w:pPr>
              <w:jc w:val="right"/>
              <w:ind w:right="277"/>
              <w:spacing w:after="0"/>
              <w:rPr>
                <w:sz w:val="20"/>
                <w:szCs w:val="20"/>
                <w:color w:val="auto"/>
              </w:rPr>
            </w:pPr>
            <w:r>
              <w:rPr>
                <w:rFonts w:ascii="Arial" w:cs="Arial" w:eastAsia="Arial" w:hAnsi="Arial"/>
                <w:sz w:val="13"/>
                <w:szCs w:val="13"/>
                <w:b w:val="1"/>
                <w:bCs w:val="1"/>
                <w:color w:val="auto"/>
              </w:rPr>
              <w:t>Coupon</w:t>
            </w:r>
          </w:p>
        </w:tc>
        <w:tc>
          <w:tcPr>
            <w:tcW w:w="11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(4)</w:t>
            </w:r>
          </w:p>
        </w:tc>
        <w:tc>
          <w:tcPr>
            <w:tcW w:w="7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Shares</w:t>
            </w:r>
          </w:p>
        </w:tc>
        <w:tc>
          <w:tcPr>
            <w:tcW w:w="180" w:type="dxa"/>
            <w:vAlign w:val="bottom"/>
          </w:tcPr>
          <w:p>
            <w:pPr>
              <w:spacing w:after="0"/>
              <w:rPr>
                <w:sz w:val="13"/>
                <w:szCs w:val="13"/>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Cost</w:t>
            </w:r>
          </w:p>
        </w:tc>
        <w:tc>
          <w:tcPr>
            <w:tcW w:w="780" w:type="dxa"/>
            <w:vAlign w:val="bottom"/>
            <w:gridSpan w:val="3"/>
          </w:tcPr>
          <w:p>
            <w:pPr>
              <w:spacing w:after="0"/>
              <w:rPr>
                <w:sz w:val="20"/>
                <w:szCs w:val="20"/>
                <w:color w:val="auto"/>
              </w:rPr>
            </w:pPr>
            <w:r>
              <w:rPr>
                <w:rFonts w:ascii="Arial" w:cs="Arial" w:eastAsia="Arial" w:hAnsi="Arial"/>
                <w:sz w:val="13"/>
                <w:szCs w:val="13"/>
                <w:b w:val="1"/>
                <w:bCs w:val="1"/>
                <w:color w:val="auto"/>
                <w:w w:val="97"/>
              </w:rPr>
              <w:t xml:space="preserve">Fair Value </w:t>
            </w:r>
            <w:r>
              <w:rPr>
                <w:rFonts w:ascii="Arial" w:cs="Arial" w:eastAsia="Arial" w:hAnsi="Arial"/>
                <w:sz w:val="10"/>
                <w:szCs w:val="10"/>
                <w:b w:val="1"/>
                <w:bCs w:val="1"/>
                <w:color w:val="auto"/>
                <w:w w:val="97"/>
              </w:rPr>
              <w:t>(3)</w:t>
            </w:r>
          </w:p>
        </w:tc>
        <w:tc>
          <w:tcPr>
            <w:tcW w:w="0" w:type="dxa"/>
            <w:vAlign w:val="bottom"/>
          </w:tcPr>
          <w:p>
            <w:pPr>
              <w:spacing w:after="0"/>
              <w:rPr>
                <w:sz w:val="1"/>
                <w:szCs w:val="1"/>
                <w:color w:val="auto"/>
              </w:rPr>
            </w:pPr>
          </w:p>
        </w:tc>
      </w:tr>
      <w:tr>
        <w:trPr>
          <w:trHeight w:val="128"/>
        </w:trPr>
        <w:tc>
          <w:tcPr>
            <w:tcW w:w="40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 xml:space="preserve">Common Equity/Partnership Interests/Warrants—8.8% </w:t>
            </w:r>
            <w:r>
              <w:rPr>
                <w:rFonts w:ascii="Arial" w:cs="Arial" w:eastAsia="Arial" w:hAnsi="Arial"/>
                <w:sz w:val="10"/>
                <w:szCs w:val="10"/>
                <w:b w:val="1"/>
                <w:bCs w:val="1"/>
                <w:color w:val="auto"/>
              </w:rPr>
              <w:t>(6)</w:t>
            </w:r>
          </w:p>
        </w:tc>
        <w:tc>
          <w:tcPr>
            <w:tcW w:w="700" w:type="dxa"/>
            <w:vAlign w:val="bottom"/>
            <w:tcBorders>
              <w:top w:val="single" w:sz="8" w:color="auto"/>
            </w:tcBorders>
            <w:shd w:val="clear" w:color="auto" w:fill="CCEEFF"/>
          </w:tcPr>
          <w:p>
            <w:pPr>
              <w:spacing w:after="0"/>
              <w:rPr>
                <w:sz w:val="11"/>
                <w:szCs w:val="11"/>
                <w:color w:val="auto"/>
              </w:rPr>
            </w:pPr>
          </w:p>
        </w:tc>
        <w:tc>
          <w:tcPr>
            <w:tcW w:w="182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right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000" w:type="dxa"/>
            <w:vAlign w:val="bottom"/>
          </w:tcPr>
          <w:p>
            <w:pPr>
              <w:spacing w:after="0" w:line="121" w:lineRule="exact"/>
              <w:rPr>
                <w:sz w:val="20"/>
                <w:szCs w:val="20"/>
                <w:color w:val="auto"/>
              </w:rPr>
            </w:pPr>
            <w:r>
              <w:rPr>
                <w:rFonts w:ascii="Arial" w:cs="Arial" w:eastAsia="Arial" w:hAnsi="Arial"/>
                <w:sz w:val="13"/>
                <w:szCs w:val="13"/>
                <w:color w:val="auto"/>
              </w:rPr>
              <w:t>AH Holdings, Inc. (Warrants)</w:t>
            </w:r>
          </w:p>
        </w:tc>
        <w:tc>
          <w:tcPr>
            <w:tcW w:w="700" w:type="dxa"/>
            <w:vAlign w:val="bottom"/>
          </w:tcPr>
          <w:p>
            <w:pPr>
              <w:jc w:val="center"/>
              <w:ind w:right="17"/>
              <w:spacing w:after="0" w:line="121" w:lineRule="exact"/>
              <w:rPr>
                <w:sz w:val="20"/>
                <w:szCs w:val="20"/>
                <w:color w:val="auto"/>
              </w:rPr>
            </w:pPr>
            <w:r>
              <w:rPr>
                <w:rFonts w:ascii="Arial" w:cs="Arial" w:eastAsia="Arial" w:hAnsi="Arial"/>
                <w:sz w:val="13"/>
                <w:szCs w:val="13"/>
                <w:color w:val="auto"/>
                <w:w w:val="89"/>
              </w:rPr>
              <w:t>03/23/2021</w:t>
            </w:r>
          </w:p>
        </w:tc>
        <w:tc>
          <w:tcPr>
            <w:tcW w:w="1820" w:type="dxa"/>
            <w:vAlign w:val="bottom"/>
          </w:tcPr>
          <w:p>
            <w:pPr>
              <w:jc w:val="center"/>
              <w:spacing w:after="0" w:line="121" w:lineRule="exact"/>
              <w:rPr>
                <w:sz w:val="20"/>
                <w:szCs w:val="20"/>
                <w:color w:val="auto"/>
              </w:rPr>
            </w:pPr>
            <w:r>
              <w:rPr>
                <w:rFonts w:ascii="Arial" w:cs="Arial" w:eastAsia="Arial" w:hAnsi="Arial"/>
                <w:sz w:val="13"/>
                <w:szCs w:val="13"/>
                <w:color w:val="auto"/>
                <w:w w:val="86"/>
              </w:rPr>
              <w:t>Healthcare, Education and</w:t>
            </w:r>
          </w:p>
        </w:tc>
        <w:tc>
          <w:tcPr>
            <w:tcW w:w="94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753</w:t>
            </w:r>
          </w:p>
        </w:tc>
        <w:tc>
          <w:tcPr>
            <w:tcW w:w="180" w:type="dxa"/>
            <w:vAlign w:val="bottom"/>
          </w:tcPr>
          <w:p>
            <w:pPr>
              <w:jc w:val="right"/>
              <w:spacing w:after="0" w:line="121"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80" w:type="dxa"/>
            <w:vAlign w:val="bottom"/>
          </w:tcPr>
          <w:p>
            <w:pPr>
              <w:spacing w:after="0" w:line="121" w:lineRule="exact"/>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20" w:type="dxa"/>
            <w:vAlign w:val="bottom"/>
          </w:tcPr>
          <w:p>
            <w:pPr>
              <w:jc w:val="center"/>
              <w:spacing w:after="0"/>
              <w:rPr>
                <w:sz w:val="20"/>
                <w:szCs w:val="20"/>
                <w:color w:val="auto"/>
              </w:rPr>
            </w:pPr>
            <w:r>
              <w:rPr>
                <w:rFonts w:ascii="Arial" w:cs="Arial" w:eastAsia="Arial" w:hAnsi="Arial"/>
                <w:sz w:val="13"/>
                <w:szCs w:val="13"/>
                <w:color w:val="auto"/>
                <w:w w:val="87"/>
              </w:rPr>
              <w:t>Childcare</w:t>
            </w: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Alegeus Technologies Holdings Corp.</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Financial Services</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w:t>
            </w:r>
          </w:p>
        </w:tc>
        <w:tc>
          <w:tcPr>
            <w:tcW w:w="180" w:type="dxa"/>
            <w:vAlign w:val="bottom"/>
            <w:tcBorders>
              <w:right w:val="single" w:sz="8" w:color="CCEEFF"/>
            </w:tcBorders>
            <w:shd w:val="clear" w:color="auto" w:fill="CCEEFF"/>
          </w:tcPr>
          <w:p>
            <w:pPr>
              <w:spacing w:after="0"/>
              <w:rPr>
                <w:sz w:val="11"/>
                <w:szCs w:val="11"/>
                <w:color w:val="auto"/>
              </w:rPr>
            </w:pP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950</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1,145</w:t>
            </w:r>
          </w:p>
        </w:tc>
        <w:tc>
          <w:tcPr>
            <w:tcW w:w="0" w:type="dxa"/>
            <w:vAlign w:val="bottom"/>
          </w:tcPr>
          <w:p>
            <w:pPr>
              <w:spacing w:after="0"/>
              <w:rPr>
                <w:sz w:val="1"/>
                <w:szCs w:val="1"/>
                <w:color w:val="auto"/>
              </w:rPr>
            </w:pPr>
          </w:p>
        </w:tc>
      </w:tr>
      <w:tr>
        <w:trPr>
          <w:trHeight w:val="135"/>
        </w:trPr>
        <w:tc>
          <w:tcPr>
            <w:tcW w:w="4000" w:type="dxa"/>
            <w:vAlign w:val="bottom"/>
          </w:tcPr>
          <w:p>
            <w:pPr>
              <w:spacing w:after="0" w:line="135" w:lineRule="exact"/>
              <w:rPr>
                <w:sz w:val="20"/>
                <w:szCs w:val="20"/>
                <w:color w:val="auto"/>
              </w:rPr>
            </w:pPr>
            <w:r>
              <w:rPr>
                <w:rFonts w:ascii="Arial" w:cs="Arial" w:eastAsia="Arial" w:hAnsi="Arial"/>
                <w:sz w:val="13"/>
                <w:szCs w:val="13"/>
                <w:color w:val="auto"/>
              </w:rPr>
              <w:t>ASP LCG Holdings, Inc. (Warrants)</w:t>
            </w:r>
          </w:p>
        </w:tc>
        <w:tc>
          <w:tcPr>
            <w:tcW w:w="70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89"/>
              </w:rPr>
              <w:t>05/05/2026</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89"/>
              </w:rPr>
              <w:t>Education</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933</w:t>
            </w:r>
          </w:p>
        </w:tc>
        <w:tc>
          <w:tcPr>
            <w:tcW w:w="180" w:type="dxa"/>
            <w:vAlign w:val="bottom"/>
          </w:tcPr>
          <w:p>
            <w:pPr>
              <w:spacing w:after="0"/>
              <w:rPr>
                <w:sz w:val="11"/>
                <w:szCs w:val="11"/>
                <w:color w:val="auto"/>
              </w:rPr>
            </w:pP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586,975</w:t>
            </w:r>
          </w:p>
        </w:tc>
        <w:tc>
          <w:tcPr>
            <w:tcW w:w="8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1,349,018</w:t>
            </w:r>
          </w:p>
        </w:tc>
        <w:tc>
          <w:tcPr>
            <w:tcW w:w="0" w:type="dxa"/>
            <w:vAlign w:val="bottom"/>
          </w:tcPr>
          <w:p>
            <w:pPr>
              <w:spacing w:after="0"/>
              <w:rPr>
                <w:sz w:val="1"/>
                <w:szCs w:val="1"/>
                <w:color w:val="auto"/>
              </w:rPr>
            </w:pPr>
          </w:p>
        </w:tc>
      </w:tr>
      <w:tr>
        <w:trPr>
          <w:trHeight w:val="135"/>
        </w:trPr>
        <w:tc>
          <w:tcPr>
            <w:tcW w:w="40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Autumn Games, LLC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Broadcasting and Entertainment</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1,333,330</w:t>
            </w:r>
          </w:p>
        </w:tc>
        <w:tc>
          <w:tcPr>
            <w:tcW w:w="180" w:type="dxa"/>
            <w:vAlign w:val="bottom"/>
            <w:tcBorders>
              <w:right w:val="single" w:sz="8" w:color="CCEEFF"/>
            </w:tcBorders>
            <w:shd w:val="clear" w:color="auto" w:fill="CCEEFF"/>
          </w:tcPr>
          <w:p>
            <w:pPr>
              <w:spacing w:after="0"/>
              <w:rPr>
                <w:sz w:val="11"/>
                <w:szCs w:val="11"/>
                <w:color w:val="auto"/>
              </w:rPr>
            </w:pP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3,000,000</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4000" w:type="dxa"/>
            <w:vAlign w:val="bottom"/>
          </w:tcPr>
          <w:p>
            <w:pPr>
              <w:spacing w:after="0" w:line="121" w:lineRule="exact"/>
              <w:rPr>
                <w:sz w:val="20"/>
                <w:szCs w:val="20"/>
                <w:color w:val="auto"/>
              </w:rPr>
            </w:pPr>
            <w:r>
              <w:rPr>
                <w:rFonts w:ascii="Arial" w:cs="Arial" w:eastAsia="Arial" w:hAnsi="Arial"/>
                <w:sz w:val="13"/>
                <w:szCs w:val="13"/>
                <w:color w:val="auto"/>
              </w:rPr>
              <w:t xml:space="preserve">Cardinal Logistics Holdings LLC </w:t>
            </w:r>
            <w:r>
              <w:rPr>
                <w:rFonts w:ascii="Arial" w:cs="Arial" w:eastAsia="Arial" w:hAnsi="Arial"/>
                <w:sz w:val="10"/>
                <w:szCs w:val="10"/>
                <w:color w:val="auto"/>
              </w:rPr>
              <w:t>(10)</w:t>
            </w:r>
          </w:p>
        </w:tc>
        <w:tc>
          <w:tcPr>
            <w:tcW w:w="700" w:type="dxa"/>
            <w:vAlign w:val="bottom"/>
          </w:tcPr>
          <w:p>
            <w:pPr>
              <w:jc w:val="center"/>
              <w:spacing w:after="0" w:line="121" w:lineRule="exact"/>
              <w:rPr>
                <w:sz w:val="20"/>
                <w:szCs w:val="20"/>
                <w:color w:val="auto"/>
              </w:rPr>
            </w:pPr>
            <w:r>
              <w:rPr>
                <w:rFonts w:ascii="Arial" w:cs="Arial" w:eastAsia="Arial" w:hAnsi="Arial"/>
                <w:sz w:val="13"/>
                <w:szCs w:val="13"/>
                <w:color w:val="auto"/>
                <w:w w:val="91"/>
              </w:rPr>
              <w:t>—</w:t>
            </w:r>
          </w:p>
        </w:tc>
        <w:tc>
          <w:tcPr>
            <w:tcW w:w="1820" w:type="dxa"/>
            <w:vAlign w:val="bottom"/>
          </w:tcPr>
          <w:p>
            <w:pPr>
              <w:jc w:val="center"/>
              <w:spacing w:after="0" w:line="121" w:lineRule="exact"/>
              <w:rPr>
                <w:sz w:val="20"/>
                <w:szCs w:val="20"/>
                <w:color w:val="auto"/>
              </w:rPr>
            </w:pPr>
            <w:r>
              <w:rPr>
                <w:rFonts w:ascii="Arial" w:cs="Arial" w:eastAsia="Arial" w:hAnsi="Arial"/>
                <w:sz w:val="13"/>
                <w:szCs w:val="13"/>
                <w:color w:val="auto"/>
                <w:w w:val="86"/>
              </w:rPr>
              <w:t>Cargo Transport</w:t>
            </w:r>
          </w:p>
        </w:tc>
        <w:tc>
          <w:tcPr>
            <w:tcW w:w="94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137,923</w:t>
            </w:r>
          </w:p>
        </w:tc>
        <w:tc>
          <w:tcPr>
            <w:tcW w:w="180" w:type="dxa"/>
            <w:vAlign w:val="bottom"/>
          </w:tcPr>
          <w:p>
            <w:pPr>
              <w:spacing w:after="0"/>
              <w:rPr>
                <w:sz w:val="10"/>
                <w:szCs w:val="10"/>
                <w:color w:val="auto"/>
              </w:rPr>
            </w:pPr>
          </w:p>
        </w:tc>
        <w:tc>
          <w:tcPr>
            <w:tcW w:w="90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2,111,588</w:t>
            </w:r>
          </w:p>
        </w:tc>
        <w:tc>
          <w:tcPr>
            <w:tcW w:w="80" w:type="dxa"/>
            <w:vAlign w:val="bottom"/>
          </w:tcPr>
          <w:p>
            <w:pPr>
              <w:spacing w:after="0"/>
              <w:rPr>
                <w:sz w:val="10"/>
                <w:szCs w:val="10"/>
                <w:color w:val="auto"/>
              </w:rPr>
            </w:pPr>
          </w:p>
        </w:tc>
        <w:tc>
          <w:tcPr>
            <w:tcW w:w="70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4000" w:type="dxa"/>
            <w:vAlign w:val="bottom"/>
          </w:tcPr>
          <w:p>
            <w:pPr>
              <w:ind w:left="140"/>
              <w:spacing w:after="0"/>
              <w:rPr>
                <w:sz w:val="20"/>
                <w:szCs w:val="20"/>
                <w:color w:val="auto"/>
              </w:rPr>
            </w:pPr>
            <w:r>
              <w:rPr>
                <w:rFonts w:ascii="Arial" w:cs="Arial" w:eastAsia="Arial" w:hAnsi="Arial"/>
                <w:sz w:val="13"/>
                <w:szCs w:val="13"/>
                <w:color w:val="auto"/>
              </w:rPr>
              <w:t>(Intermediate Transportation 100, LLC)</w:t>
            </w:r>
          </w:p>
        </w:tc>
        <w:tc>
          <w:tcPr>
            <w:tcW w:w="7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Cascade Environmental LLC </w:t>
            </w:r>
            <w:r>
              <w:rPr>
                <w:rFonts w:ascii="Arial" w:cs="Arial" w:eastAsia="Arial" w:hAnsi="Arial"/>
                <w:sz w:val="10"/>
                <w:szCs w:val="10"/>
                <w:color w:val="auto"/>
              </w:rPr>
              <w:t>(10)</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Environmental Services</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24,382</w:t>
            </w:r>
          </w:p>
        </w:tc>
        <w:tc>
          <w:tcPr>
            <w:tcW w:w="180" w:type="dxa"/>
            <w:vAlign w:val="bottom"/>
            <w:tcBorders>
              <w:right w:val="single" w:sz="8" w:color="CCEEFF"/>
            </w:tcBorders>
            <w:shd w:val="clear" w:color="auto" w:fill="CCEEFF"/>
          </w:tcPr>
          <w:p>
            <w:pPr>
              <w:spacing w:after="0"/>
              <w:rPr>
                <w:sz w:val="11"/>
                <w:szCs w:val="11"/>
                <w:color w:val="auto"/>
              </w:rPr>
            </w:pP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2,518,909</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5,755,707</w:t>
            </w:r>
          </w:p>
        </w:tc>
        <w:tc>
          <w:tcPr>
            <w:tcW w:w="0" w:type="dxa"/>
            <w:vAlign w:val="bottom"/>
          </w:tcPr>
          <w:p>
            <w:pPr>
              <w:spacing w:after="0"/>
              <w:rPr>
                <w:sz w:val="1"/>
                <w:szCs w:val="1"/>
                <w:color w:val="auto"/>
              </w:rPr>
            </w:pPr>
          </w:p>
        </w:tc>
      </w:tr>
      <w:tr>
        <w:trPr>
          <w:trHeight w:val="135"/>
        </w:trPr>
        <w:tc>
          <w:tcPr>
            <w:tcW w:w="4000" w:type="dxa"/>
            <w:vAlign w:val="bottom"/>
          </w:tcPr>
          <w:p>
            <w:pPr>
              <w:spacing w:after="0" w:line="135" w:lineRule="exact"/>
              <w:rPr>
                <w:sz w:val="20"/>
                <w:szCs w:val="20"/>
                <w:color w:val="auto"/>
              </w:rPr>
            </w:pPr>
            <w:r>
              <w:rPr>
                <w:rFonts w:ascii="Arial" w:cs="Arial" w:eastAsia="Arial" w:hAnsi="Arial"/>
                <w:sz w:val="13"/>
                <w:szCs w:val="13"/>
                <w:color w:val="auto"/>
              </w:rPr>
              <w:t xml:space="preserve">CI (Galls) Prime Investment Holdings, LLC </w:t>
            </w:r>
            <w:r>
              <w:rPr>
                <w:rFonts w:ascii="Arial" w:cs="Arial" w:eastAsia="Arial" w:hAnsi="Arial"/>
                <w:sz w:val="10"/>
                <w:szCs w:val="10"/>
                <w:color w:val="auto"/>
              </w:rPr>
              <w:t>(10)</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92"/>
              </w:rPr>
              <w:t>Distribution</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1,745,639</w:t>
            </w:r>
          </w:p>
        </w:tc>
        <w:tc>
          <w:tcPr>
            <w:tcW w:w="180" w:type="dxa"/>
            <w:vAlign w:val="bottom"/>
          </w:tcPr>
          <w:p>
            <w:pPr>
              <w:spacing w:after="0"/>
              <w:rPr>
                <w:sz w:val="11"/>
                <w:szCs w:val="11"/>
                <w:color w:val="auto"/>
              </w:rPr>
            </w:pP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1,745,639</w:t>
            </w:r>
          </w:p>
        </w:tc>
        <w:tc>
          <w:tcPr>
            <w:tcW w:w="8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4,002,115</w:t>
            </w:r>
          </w:p>
        </w:tc>
        <w:tc>
          <w:tcPr>
            <w:tcW w:w="0" w:type="dxa"/>
            <w:vAlign w:val="bottom"/>
          </w:tcPr>
          <w:p>
            <w:pPr>
              <w:spacing w:after="0"/>
              <w:rPr>
                <w:sz w:val="1"/>
                <w:szCs w:val="1"/>
                <w:color w:val="auto"/>
              </w:rPr>
            </w:pPr>
          </w:p>
        </w:tc>
      </w:tr>
      <w:tr>
        <w:trPr>
          <w:trHeight w:val="135"/>
        </w:trPr>
        <w:tc>
          <w:tcPr>
            <w:tcW w:w="40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Convergint Technologies Holdings, LLC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Electronics</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2,375</w:t>
            </w:r>
          </w:p>
        </w:tc>
        <w:tc>
          <w:tcPr>
            <w:tcW w:w="180" w:type="dxa"/>
            <w:vAlign w:val="bottom"/>
            <w:tcBorders>
              <w:right w:val="single" w:sz="8" w:color="CCEEFF"/>
            </w:tcBorders>
            <w:shd w:val="clear" w:color="auto" w:fill="CCEEFF"/>
          </w:tcPr>
          <w:p>
            <w:pPr>
              <w:spacing w:after="0"/>
              <w:rPr>
                <w:sz w:val="11"/>
                <w:szCs w:val="11"/>
                <w:color w:val="auto"/>
              </w:rPr>
            </w:pP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3,044,483</w:t>
            </w:r>
          </w:p>
        </w:tc>
        <w:tc>
          <w:tcPr>
            <w:tcW w:w="0" w:type="dxa"/>
            <w:vAlign w:val="bottom"/>
          </w:tcPr>
          <w:p>
            <w:pPr>
              <w:spacing w:after="0"/>
              <w:rPr>
                <w:sz w:val="1"/>
                <w:szCs w:val="1"/>
                <w:color w:val="auto"/>
              </w:rPr>
            </w:pPr>
          </w:p>
        </w:tc>
      </w:tr>
      <w:tr>
        <w:trPr>
          <w:trHeight w:val="135"/>
        </w:trPr>
        <w:tc>
          <w:tcPr>
            <w:tcW w:w="4000" w:type="dxa"/>
            <w:vAlign w:val="bottom"/>
          </w:tcPr>
          <w:p>
            <w:pPr>
              <w:spacing w:after="0" w:line="135" w:lineRule="exact"/>
              <w:rPr>
                <w:sz w:val="20"/>
                <w:szCs w:val="20"/>
                <w:color w:val="auto"/>
              </w:rPr>
            </w:pPr>
            <w:r>
              <w:rPr>
                <w:rFonts w:ascii="Arial" w:cs="Arial" w:eastAsia="Arial" w:hAnsi="Arial"/>
                <w:sz w:val="13"/>
                <w:szCs w:val="13"/>
                <w:color w:val="auto"/>
              </w:rPr>
              <w:t>e.l.f. Beauty, Inc.</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938,399</w:t>
            </w:r>
          </w:p>
        </w:tc>
        <w:tc>
          <w:tcPr>
            <w:tcW w:w="180" w:type="dxa"/>
            <w:vAlign w:val="bottom"/>
          </w:tcPr>
          <w:p>
            <w:pPr>
              <w:spacing w:after="0"/>
              <w:rPr>
                <w:sz w:val="11"/>
                <w:szCs w:val="11"/>
                <w:color w:val="auto"/>
              </w:rPr>
            </w:pP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2,513,193</w:t>
            </w:r>
          </w:p>
        </w:tc>
        <w:tc>
          <w:tcPr>
            <w:tcW w:w="8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5"/>
              </w:rPr>
              <w:t>26,371,234</w:t>
            </w:r>
          </w:p>
        </w:tc>
        <w:tc>
          <w:tcPr>
            <w:tcW w:w="0" w:type="dxa"/>
            <w:vAlign w:val="bottom"/>
          </w:tcPr>
          <w:p>
            <w:pPr>
              <w:spacing w:after="0"/>
              <w:rPr>
                <w:sz w:val="1"/>
                <w:szCs w:val="1"/>
                <w:color w:val="auto"/>
              </w:rPr>
            </w:pPr>
          </w:p>
        </w:tc>
      </w:tr>
      <w:tr>
        <w:trPr>
          <w:trHeight w:val="121"/>
        </w:trPr>
        <w:tc>
          <w:tcPr>
            <w:tcW w:w="40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Faraday Holdings, LLC</w:t>
            </w:r>
          </w:p>
        </w:tc>
        <w:tc>
          <w:tcPr>
            <w:tcW w:w="7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w:t>
            </w:r>
          </w:p>
        </w:tc>
        <w:tc>
          <w:tcPr>
            <w:tcW w:w="18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3"/>
              </w:rPr>
              <w:t>Building Materials</w:t>
            </w:r>
          </w:p>
        </w:tc>
        <w:tc>
          <w:tcPr>
            <w:tcW w:w="940" w:type="dxa"/>
            <w:vAlign w:val="bottom"/>
            <w:shd w:val="clear" w:color="auto" w:fill="CCEEFF"/>
          </w:tcPr>
          <w:p>
            <w:pPr>
              <w:jc w:val="right"/>
              <w:ind w:right="197"/>
              <w:spacing w:after="0" w:line="121" w:lineRule="exact"/>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4,277</w:t>
            </w:r>
          </w:p>
        </w:tc>
        <w:tc>
          <w:tcPr>
            <w:tcW w:w="180" w:type="dxa"/>
            <w:vAlign w:val="bottom"/>
            <w:tcBorders>
              <w:right w:val="single" w:sz="8" w:color="CCEEFF"/>
            </w:tcBorders>
            <w:shd w:val="clear" w:color="auto" w:fill="CCEEFF"/>
          </w:tcPr>
          <w:p>
            <w:pPr>
              <w:spacing w:after="0"/>
              <w:rPr>
                <w:sz w:val="10"/>
                <w:szCs w:val="10"/>
                <w:color w:val="auto"/>
              </w:rPr>
            </w:pPr>
          </w:p>
        </w:tc>
        <w:tc>
          <w:tcPr>
            <w:tcW w:w="90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217,635</w:t>
            </w: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415,322</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(Interior Specialists, Inc.)</w:t>
            </w:r>
          </w:p>
        </w:tc>
        <w:tc>
          <w:tcPr>
            <w:tcW w:w="70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line="135" w:lineRule="exact"/>
              <w:rPr>
                <w:sz w:val="20"/>
                <w:szCs w:val="20"/>
                <w:color w:val="auto"/>
              </w:rPr>
            </w:pPr>
            <w:r>
              <w:rPr>
                <w:rFonts w:ascii="Arial" w:cs="Arial" w:eastAsia="Arial" w:hAnsi="Arial"/>
                <w:sz w:val="13"/>
                <w:szCs w:val="13"/>
                <w:color w:val="auto"/>
              </w:rPr>
              <w:t>HW Holdco, LLC</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89"/>
              </w:rPr>
              <w:t>Other Media</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388,378</w:t>
            </w:r>
          </w:p>
        </w:tc>
        <w:tc>
          <w:tcPr>
            <w:tcW w:w="180" w:type="dxa"/>
            <w:vAlign w:val="bottom"/>
          </w:tcPr>
          <w:p>
            <w:pPr>
              <w:spacing w:after="0"/>
              <w:rPr>
                <w:sz w:val="11"/>
                <w:szCs w:val="11"/>
                <w:color w:val="auto"/>
              </w:rPr>
            </w:pP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3,881,630</w:t>
            </w:r>
          </w:p>
        </w:tc>
        <w:tc>
          <w:tcPr>
            <w:tcW w:w="0" w:type="dxa"/>
            <w:vAlign w:val="bottom"/>
          </w:tcPr>
          <w:p>
            <w:pPr>
              <w:spacing w:after="0"/>
              <w:rPr>
                <w:sz w:val="1"/>
                <w:szCs w:val="1"/>
                <w:color w:val="auto"/>
              </w:rPr>
            </w:pPr>
          </w:p>
        </w:tc>
      </w:tr>
      <w:tr>
        <w:trPr>
          <w:trHeight w:val="121"/>
        </w:trPr>
        <w:tc>
          <w:tcPr>
            <w:tcW w:w="40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Kadmon Holdings, Inc.</w:t>
            </w:r>
          </w:p>
        </w:tc>
        <w:tc>
          <w:tcPr>
            <w:tcW w:w="7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w:t>
            </w:r>
          </w:p>
        </w:tc>
        <w:tc>
          <w:tcPr>
            <w:tcW w:w="18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Healthcare, Education and</w:t>
            </w:r>
          </w:p>
        </w:tc>
        <w:tc>
          <w:tcPr>
            <w:tcW w:w="940" w:type="dxa"/>
            <w:vAlign w:val="bottom"/>
            <w:shd w:val="clear" w:color="auto" w:fill="CCEEFF"/>
          </w:tcPr>
          <w:p>
            <w:pPr>
              <w:jc w:val="right"/>
              <w:ind w:right="197"/>
              <w:spacing w:after="0" w:line="121" w:lineRule="exact"/>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252,014</w:t>
            </w:r>
          </w:p>
        </w:tc>
        <w:tc>
          <w:tcPr>
            <w:tcW w:w="180" w:type="dxa"/>
            <w:vAlign w:val="bottom"/>
            <w:tcBorders>
              <w:right w:val="single" w:sz="8" w:color="CCEEFF"/>
            </w:tcBorders>
            <w:shd w:val="clear" w:color="auto" w:fill="CCEEFF"/>
          </w:tcPr>
          <w:p>
            <w:pPr>
              <w:spacing w:after="0"/>
              <w:rPr>
                <w:sz w:val="10"/>
                <w:szCs w:val="10"/>
                <w:color w:val="auto"/>
              </w:rPr>
            </w:pPr>
          </w:p>
        </w:tc>
        <w:tc>
          <w:tcPr>
            <w:tcW w:w="90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2,265,639</w:t>
            </w: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1,348,275</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Childcare</w:t>
            </w: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line="135" w:lineRule="exact"/>
              <w:rPr>
                <w:sz w:val="20"/>
                <w:szCs w:val="20"/>
                <w:color w:val="auto"/>
              </w:rPr>
            </w:pPr>
            <w:r>
              <w:rPr>
                <w:rFonts w:ascii="Arial" w:cs="Arial" w:eastAsia="Arial" w:hAnsi="Arial"/>
                <w:sz w:val="13"/>
                <w:szCs w:val="13"/>
                <w:color w:val="auto"/>
              </w:rPr>
              <w:t xml:space="preserve">LaMi Acquisition, LLC </w:t>
            </w:r>
            <w:r>
              <w:rPr>
                <w:rFonts w:ascii="Arial" w:cs="Arial" w:eastAsia="Arial" w:hAnsi="Arial"/>
                <w:sz w:val="10"/>
                <w:szCs w:val="10"/>
                <w:color w:val="auto"/>
              </w:rPr>
              <w:t>(10)</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92"/>
              </w:rPr>
              <w:t>Distribution</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19</w:t>
            </w:r>
          </w:p>
        </w:tc>
        <w:tc>
          <w:tcPr>
            <w:tcW w:w="180" w:type="dxa"/>
            <w:vAlign w:val="bottom"/>
          </w:tcPr>
          <w:p>
            <w:pPr>
              <w:spacing w:after="0"/>
              <w:rPr>
                <w:sz w:val="11"/>
                <w:szCs w:val="11"/>
                <w:color w:val="auto"/>
              </w:rPr>
            </w:pP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493,280</w:t>
            </w:r>
          </w:p>
        </w:tc>
        <w:tc>
          <w:tcPr>
            <w:tcW w:w="8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532,622</w:t>
            </w:r>
          </w:p>
        </w:tc>
        <w:tc>
          <w:tcPr>
            <w:tcW w:w="0" w:type="dxa"/>
            <w:vAlign w:val="bottom"/>
          </w:tcPr>
          <w:p>
            <w:pPr>
              <w:spacing w:after="0"/>
              <w:rPr>
                <w:sz w:val="1"/>
                <w:szCs w:val="1"/>
                <w:color w:val="auto"/>
              </w:rPr>
            </w:pPr>
          </w:p>
        </w:tc>
      </w:tr>
      <w:tr>
        <w:trPr>
          <w:trHeight w:val="135"/>
        </w:trPr>
        <w:tc>
          <w:tcPr>
            <w:tcW w:w="40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Lariat ecoserv Co-Invest Holdings, LLC </w:t>
            </w:r>
            <w:r>
              <w:rPr>
                <w:rFonts w:ascii="Arial" w:cs="Arial" w:eastAsia="Arial" w:hAnsi="Arial"/>
                <w:sz w:val="10"/>
                <w:szCs w:val="10"/>
                <w:color w:val="auto"/>
              </w:rPr>
              <w:t>(10)</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Environmental Services</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1,000,000</w:t>
            </w:r>
          </w:p>
        </w:tc>
        <w:tc>
          <w:tcPr>
            <w:tcW w:w="180" w:type="dxa"/>
            <w:vAlign w:val="bottom"/>
            <w:tcBorders>
              <w:right w:val="single" w:sz="8" w:color="CCEEFF"/>
            </w:tcBorders>
            <w:shd w:val="clear" w:color="auto" w:fill="CCEEFF"/>
          </w:tcPr>
          <w:p>
            <w:pPr>
              <w:spacing w:after="0"/>
              <w:rPr>
                <w:sz w:val="11"/>
                <w:szCs w:val="11"/>
                <w:color w:val="auto"/>
              </w:rPr>
            </w:pP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1,000,000</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4000" w:type="dxa"/>
            <w:vAlign w:val="bottom"/>
          </w:tcPr>
          <w:p>
            <w:pPr>
              <w:spacing w:after="0" w:line="121" w:lineRule="exact"/>
              <w:rPr>
                <w:sz w:val="20"/>
                <w:szCs w:val="20"/>
                <w:color w:val="auto"/>
              </w:rPr>
            </w:pPr>
            <w:r>
              <w:rPr>
                <w:rFonts w:ascii="Arial" w:cs="Arial" w:eastAsia="Arial" w:hAnsi="Arial"/>
                <w:sz w:val="13"/>
                <w:szCs w:val="13"/>
                <w:color w:val="auto"/>
              </w:rPr>
              <w:t>MidOcean PPL Holdings, Corp.</w:t>
            </w:r>
          </w:p>
        </w:tc>
        <w:tc>
          <w:tcPr>
            <w:tcW w:w="700" w:type="dxa"/>
            <w:vAlign w:val="bottom"/>
          </w:tcPr>
          <w:p>
            <w:pPr>
              <w:jc w:val="center"/>
              <w:spacing w:after="0" w:line="121" w:lineRule="exact"/>
              <w:rPr>
                <w:sz w:val="20"/>
                <w:szCs w:val="20"/>
                <w:color w:val="auto"/>
              </w:rPr>
            </w:pPr>
            <w:r>
              <w:rPr>
                <w:rFonts w:ascii="Arial" w:cs="Arial" w:eastAsia="Arial" w:hAnsi="Arial"/>
                <w:sz w:val="13"/>
                <w:szCs w:val="13"/>
                <w:color w:val="auto"/>
                <w:w w:val="91"/>
              </w:rPr>
              <w:t>—</w:t>
            </w:r>
          </w:p>
        </w:tc>
        <w:tc>
          <w:tcPr>
            <w:tcW w:w="1820" w:type="dxa"/>
            <w:vAlign w:val="bottom"/>
          </w:tcPr>
          <w:p>
            <w:pPr>
              <w:jc w:val="center"/>
              <w:spacing w:after="0" w:line="121" w:lineRule="exact"/>
              <w:rPr>
                <w:sz w:val="20"/>
                <w:szCs w:val="20"/>
                <w:color w:val="auto"/>
              </w:rPr>
            </w:pPr>
            <w:r>
              <w:rPr>
                <w:rFonts w:ascii="Arial" w:cs="Arial" w:eastAsia="Arial" w:hAnsi="Arial"/>
                <w:sz w:val="13"/>
                <w:szCs w:val="13"/>
                <w:color w:val="auto"/>
                <w:w w:val="84"/>
              </w:rPr>
              <w:t>Personal, Food and</w:t>
            </w:r>
          </w:p>
        </w:tc>
        <w:tc>
          <w:tcPr>
            <w:tcW w:w="94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3,000</w:t>
            </w:r>
          </w:p>
        </w:tc>
        <w:tc>
          <w:tcPr>
            <w:tcW w:w="180" w:type="dxa"/>
            <w:vAlign w:val="bottom"/>
          </w:tcPr>
          <w:p>
            <w:pPr>
              <w:spacing w:after="0"/>
              <w:rPr>
                <w:sz w:val="10"/>
                <w:szCs w:val="10"/>
                <w:color w:val="auto"/>
              </w:rPr>
            </w:pPr>
          </w:p>
        </w:tc>
        <w:tc>
          <w:tcPr>
            <w:tcW w:w="90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3,000,000</w:t>
            </w:r>
          </w:p>
        </w:tc>
        <w:tc>
          <w:tcPr>
            <w:tcW w:w="80" w:type="dxa"/>
            <w:vAlign w:val="bottom"/>
          </w:tcPr>
          <w:p>
            <w:pPr>
              <w:spacing w:after="0"/>
              <w:rPr>
                <w:sz w:val="10"/>
                <w:szCs w:val="10"/>
                <w:color w:val="auto"/>
              </w:rPr>
            </w:pPr>
          </w:p>
        </w:tc>
        <w:tc>
          <w:tcPr>
            <w:tcW w:w="70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7,455,412</w:t>
            </w:r>
          </w:p>
        </w:tc>
        <w:tc>
          <w:tcPr>
            <w:tcW w:w="0" w:type="dxa"/>
            <w:vAlign w:val="bottom"/>
          </w:tcPr>
          <w:p>
            <w:pPr>
              <w:spacing w:after="0"/>
              <w:rPr>
                <w:sz w:val="1"/>
                <w:szCs w:val="1"/>
                <w:color w:val="auto"/>
              </w:rPr>
            </w:pPr>
          </w:p>
        </w:tc>
      </w:tr>
      <w:tr>
        <w:trPr>
          <w:trHeight w:val="149"/>
        </w:trPr>
        <w:tc>
          <w:tcPr>
            <w:tcW w:w="4000" w:type="dxa"/>
            <w:vAlign w:val="bottom"/>
          </w:tcPr>
          <w:p>
            <w:pPr>
              <w:ind w:left="140"/>
              <w:spacing w:after="0"/>
              <w:rPr>
                <w:sz w:val="20"/>
                <w:szCs w:val="20"/>
                <w:color w:val="auto"/>
              </w:rPr>
            </w:pPr>
            <w:r>
              <w:rPr>
                <w:rFonts w:ascii="Arial" w:cs="Arial" w:eastAsia="Arial" w:hAnsi="Arial"/>
                <w:sz w:val="13"/>
                <w:szCs w:val="13"/>
                <w:color w:val="auto"/>
              </w:rPr>
              <w:t>(Pre-Paid Legal Services, Inc.)</w:t>
            </w:r>
          </w:p>
        </w:tc>
        <w:tc>
          <w:tcPr>
            <w:tcW w:w="700" w:type="dxa"/>
            <w:vAlign w:val="bottom"/>
          </w:tcPr>
          <w:p>
            <w:pPr>
              <w:spacing w:after="0"/>
              <w:rPr>
                <w:sz w:val="12"/>
                <w:szCs w:val="12"/>
                <w:color w:val="auto"/>
              </w:rPr>
            </w:pPr>
          </w:p>
        </w:tc>
        <w:tc>
          <w:tcPr>
            <w:tcW w:w="1820" w:type="dxa"/>
            <w:vAlign w:val="bottom"/>
          </w:tcPr>
          <w:p>
            <w:pPr>
              <w:jc w:val="center"/>
              <w:spacing w:after="0"/>
              <w:rPr>
                <w:sz w:val="20"/>
                <w:szCs w:val="20"/>
                <w:color w:val="auto"/>
              </w:rPr>
            </w:pPr>
            <w:r>
              <w:rPr>
                <w:rFonts w:ascii="Arial" w:cs="Arial" w:eastAsia="Arial" w:hAnsi="Arial"/>
                <w:sz w:val="13"/>
                <w:szCs w:val="13"/>
                <w:color w:val="auto"/>
                <w:w w:val="86"/>
              </w:rPr>
              <w:t>Miscellaneous Services</w:t>
            </w: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Patriot National, Inc.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Insurance</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100,885</w:t>
            </w:r>
          </w:p>
        </w:tc>
        <w:tc>
          <w:tcPr>
            <w:tcW w:w="180" w:type="dxa"/>
            <w:vAlign w:val="bottom"/>
            <w:tcBorders>
              <w:right w:val="single" w:sz="8" w:color="CCEEFF"/>
            </w:tcBorders>
            <w:shd w:val="clear" w:color="auto" w:fill="CCEEFF"/>
          </w:tcPr>
          <w:p>
            <w:pPr>
              <w:spacing w:after="0"/>
              <w:rPr>
                <w:sz w:val="11"/>
                <w:szCs w:val="11"/>
                <w:color w:val="auto"/>
              </w:rPr>
            </w:pP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238,038</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469,115</w:t>
            </w:r>
          </w:p>
        </w:tc>
        <w:tc>
          <w:tcPr>
            <w:tcW w:w="0" w:type="dxa"/>
            <w:vAlign w:val="bottom"/>
          </w:tcPr>
          <w:p>
            <w:pPr>
              <w:spacing w:after="0"/>
              <w:rPr>
                <w:sz w:val="1"/>
                <w:szCs w:val="1"/>
                <w:color w:val="auto"/>
              </w:rPr>
            </w:pPr>
          </w:p>
        </w:tc>
      </w:tr>
      <w:tr>
        <w:trPr>
          <w:trHeight w:val="135"/>
        </w:trPr>
        <w:tc>
          <w:tcPr>
            <w:tcW w:w="4000" w:type="dxa"/>
            <w:vAlign w:val="bottom"/>
          </w:tcPr>
          <w:p>
            <w:pPr>
              <w:spacing w:after="0" w:line="135" w:lineRule="exact"/>
              <w:rPr>
                <w:sz w:val="20"/>
                <w:szCs w:val="20"/>
                <w:color w:val="auto"/>
              </w:rPr>
            </w:pPr>
            <w:r>
              <w:rPr>
                <w:rFonts w:ascii="Arial" w:cs="Arial" w:eastAsia="Arial" w:hAnsi="Arial"/>
                <w:sz w:val="13"/>
                <w:szCs w:val="13"/>
                <w:color w:val="auto"/>
              </w:rPr>
              <w:t>Roto Holdings, Inc.</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89"/>
              </w:rPr>
              <w:t>Manufacturing /Basic Industries</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1,330</w:t>
            </w:r>
          </w:p>
        </w:tc>
        <w:tc>
          <w:tcPr>
            <w:tcW w:w="180" w:type="dxa"/>
            <w:vAlign w:val="bottom"/>
          </w:tcPr>
          <w:p>
            <w:pPr>
              <w:spacing w:after="0"/>
              <w:rPr>
                <w:sz w:val="11"/>
                <w:szCs w:val="11"/>
                <w:color w:val="auto"/>
              </w:rPr>
            </w:pP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133,000</w:t>
            </w:r>
          </w:p>
        </w:tc>
        <w:tc>
          <w:tcPr>
            <w:tcW w:w="8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1,451,913</w:t>
            </w:r>
          </w:p>
        </w:tc>
        <w:tc>
          <w:tcPr>
            <w:tcW w:w="0" w:type="dxa"/>
            <w:vAlign w:val="bottom"/>
          </w:tcPr>
          <w:p>
            <w:pPr>
              <w:spacing w:after="0"/>
              <w:rPr>
                <w:sz w:val="1"/>
                <w:szCs w:val="1"/>
                <w:color w:val="auto"/>
              </w:rPr>
            </w:pPr>
          </w:p>
        </w:tc>
      </w:tr>
      <w:tr>
        <w:trPr>
          <w:trHeight w:val="121"/>
        </w:trPr>
        <w:tc>
          <w:tcPr>
            <w:tcW w:w="40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ZS Juniper L.P.</w:t>
            </w:r>
          </w:p>
        </w:tc>
        <w:tc>
          <w:tcPr>
            <w:tcW w:w="7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w:t>
            </w:r>
          </w:p>
        </w:tc>
        <w:tc>
          <w:tcPr>
            <w:tcW w:w="18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4"/>
              </w:rPr>
              <w:t>Personal, Food and</w:t>
            </w:r>
          </w:p>
        </w:tc>
        <w:tc>
          <w:tcPr>
            <w:tcW w:w="940" w:type="dxa"/>
            <w:vAlign w:val="bottom"/>
            <w:shd w:val="clear" w:color="auto" w:fill="CCEEFF"/>
          </w:tcPr>
          <w:p>
            <w:pPr>
              <w:jc w:val="right"/>
              <w:ind w:right="197"/>
              <w:spacing w:after="0" w:line="121" w:lineRule="exact"/>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754</w:t>
            </w:r>
          </w:p>
        </w:tc>
        <w:tc>
          <w:tcPr>
            <w:tcW w:w="180" w:type="dxa"/>
            <w:vAlign w:val="bottom"/>
            <w:tcBorders>
              <w:right w:val="single" w:sz="8" w:color="CCEEFF"/>
            </w:tcBorders>
            <w:shd w:val="clear" w:color="auto" w:fill="CCEEFF"/>
          </w:tcPr>
          <w:p>
            <w:pPr>
              <w:spacing w:after="0"/>
              <w:rPr>
                <w:sz w:val="10"/>
                <w:szCs w:val="10"/>
                <w:color w:val="auto"/>
              </w:rPr>
            </w:pPr>
          </w:p>
        </w:tc>
        <w:tc>
          <w:tcPr>
            <w:tcW w:w="90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754,264</w:t>
            </w: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754,264</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 xml:space="preserve">(Juniper Landscaping of Florida, LLC) </w:t>
            </w:r>
            <w:r>
              <w:rPr>
                <w:rFonts w:ascii="Arial" w:cs="Arial" w:eastAsia="Arial" w:hAnsi="Arial"/>
                <w:sz w:val="10"/>
                <w:szCs w:val="10"/>
                <w:color w:val="auto"/>
              </w:rPr>
              <w:t>(10)</w:t>
            </w:r>
          </w:p>
        </w:tc>
        <w:tc>
          <w:tcPr>
            <w:tcW w:w="700" w:type="dxa"/>
            <w:vAlign w:val="bottom"/>
            <w:shd w:val="clear" w:color="auto" w:fill="CCEEFF"/>
          </w:tcPr>
          <w:p>
            <w:pPr>
              <w:spacing w:after="0"/>
              <w:rPr>
                <w:sz w:val="12"/>
                <w:szCs w:val="12"/>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6"/>
              </w:rPr>
              <w:t>Miscellaneous Services</w:t>
            </w: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line="142" w:lineRule="exact"/>
              <w:rPr>
                <w:sz w:val="20"/>
                <w:szCs w:val="20"/>
                <w:color w:val="auto"/>
              </w:rPr>
            </w:pPr>
            <w:r>
              <w:rPr>
                <w:rFonts w:ascii="Arial" w:cs="Arial" w:eastAsia="Arial" w:hAnsi="Arial"/>
                <w:sz w:val="13"/>
                <w:szCs w:val="13"/>
                <w:b w:val="1"/>
                <w:bCs w:val="1"/>
                <w:color w:val="auto"/>
              </w:rPr>
              <w:t>Total Common Equity/Partnership Interests/Warrants</w:t>
            </w:r>
          </w:p>
        </w:tc>
        <w:tc>
          <w:tcPr>
            <w:tcW w:w="7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20,579,110</w:t>
            </w: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56,832,255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w w:val="89"/>
              </w:rPr>
              <w:t>Total Investments in Non-Controlled, Non-Affiliated Portfolio Companies</w:t>
            </w:r>
          </w:p>
        </w:tc>
        <w:tc>
          <w:tcPr>
            <w:tcW w:w="7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w w:val="85"/>
              </w:rPr>
              <w:t>918,332,509</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5"/>
              </w:rPr>
              <w:t>946,232,162</w:t>
            </w:r>
          </w:p>
        </w:tc>
        <w:tc>
          <w:tcPr>
            <w:tcW w:w="0" w:type="dxa"/>
            <w:vAlign w:val="bottom"/>
          </w:tcPr>
          <w:p>
            <w:pPr>
              <w:spacing w:after="0"/>
              <w:rPr>
                <w:sz w:val="1"/>
                <w:szCs w:val="1"/>
                <w:color w:val="auto"/>
              </w:rPr>
            </w:pPr>
          </w:p>
        </w:tc>
      </w:tr>
      <w:tr>
        <w:trPr>
          <w:trHeight w:val="142"/>
        </w:trPr>
        <w:tc>
          <w:tcPr>
            <w:tcW w:w="470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 xml:space="preserve">Investments in Non-Controlled, Affiliated Portfolio Companies—41.2% </w:t>
            </w:r>
            <w:r>
              <w:rPr>
                <w:rFonts w:ascii="Arial" w:cs="Arial" w:eastAsia="Arial" w:hAnsi="Arial"/>
                <w:sz w:val="10"/>
                <w:szCs w:val="10"/>
                <w:b w:val="1"/>
                <w:bCs w:val="1"/>
                <w:color w:val="auto"/>
              </w:rPr>
              <w:t>(1), (2)</w:t>
            </w:r>
          </w:p>
        </w:tc>
        <w:tc>
          <w:tcPr>
            <w:tcW w:w="1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First Lien Secured Debt—10.3%</w:t>
            </w:r>
          </w:p>
        </w:tc>
        <w:tc>
          <w:tcPr>
            <w:tcW w:w="7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000" w:type="dxa"/>
            <w:vAlign w:val="bottom"/>
          </w:tcPr>
          <w:p>
            <w:pPr>
              <w:spacing w:after="0" w:line="121" w:lineRule="exact"/>
              <w:rPr>
                <w:sz w:val="20"/>
                <w:szCs w:val="20"/>
                <w:color w:val="auto"/>
              </w:rPr>
            </w:pPr>
            <w:r>
              <w:rPr>
                <w:rFonts w:ascii="Arial" w:cs="Arial" w:eastAsia="Arial" w:hAnsi="Arial"/>
                <w:sz w:val="13"/>
                <w:szCs w:val="13"/>
                <w:color w:val="auto"/>
              </w:rPr>
              <w:t>American Gilsonite Company</w:t>
            </w:r>
          </w:p>
        </w:tc>
        <w:tc>
          <w:tcPr>
            <w:tcW w:w="700" w:type="dxa"/>
            <w:vAlign w:val="bottom"/>
          </w:tcPr>
          <w:p>
            <w:pPr>
              <w:jc w:val="center"/>
              <w:ind w:right="17"/>
              <w:spacing w:after="0" w:line="121" w:lineRule="exact"/>
              <w:rPr>
                <w:sz w:val="20"/>
                <w:szCs w:val="20"/>
                <w:color w:val="auto"/>
              </w:rPr>
            </w:pPr>
            <w:r>
              <w:rPr>
                <w:rFonts w:ascii="Arial" w:cs="Arial" w:eastAsia="Arial" w:hAnsi="Arial"/>
                <w:sz w:val="13"/>
                <w:szCs w:val="13"/>
                <w:color w:val="auto"/>
                <w:w w:val="89"/>
              </w:rPr>
              <w:t>12/31/2021</w:t>
            </w:r>
          </w:p>
        </w:tc>
        <w:tc>
          <w:tcPr>
            <w:tcW w:w="1820" w:type="dxa"/>
            <w:vAlign w:val="bottom"/>
          </w:tcPr>
          <w:p>
            <w:pPr>
              <w:jc w:val="center"/>
              <w:spacing w:after="0" w:line="121" w:lineRule="exact"/>
              <w:rPr>
                <w:sz w:val="20"/>
                <w:szCs w:val="20"/>
                <w:color w:val="auto"/>
              </w:rPr>
            </w:pPr>
            <w:r>
              <w:rPr>
                <w:rFonts w:ascii="Arial" w:cs="Arial" w:eastAsia="Arial" w:hAnsi="Arial"/>
                <w:sz w:val="13"/>
                <w:szCs w:val="13"/>
                <w:color w:val="auto"/>
                <w:w w:val="88"/>
              </w:rPr>
              <w:t>Diversified Natural Resources,</w:t>
            </w:r>
          </w:p>
        </w:tc>
        <w:tc>
          <w:tcPr>
            <w:tcW w:w="940" w:type="dxa"/>
            <w:vAlign w:val="bottom"/>
          </w:tcPr>
          <w:p>
            <w:pPr>
              <w:jc w:val="right"/>
              <w:ind w:right="97"/>
              <w:spacing w:after="0" w:line="121" w:lineRule="exact"/>
              <w:rPr>
                <w:sz w:val="20"/>
                <w:szCs w:val="20"/>
                <w:color w:val="auto"/>
              </w:rPr>
            </w:pPr>
            <w:r>
              <w:rPr>
                <w:rFonts w:ascii="Arial" w:cs="Arial" w:eastAsia="Arial" w:hAnsi="Arial"/>
                <w:sz w:val="13"/>
                <w:szCs w:val="13"/>
                <w:color w:val="auto"/>
              </w:rPr>
              <w:t>15.00%</w:t>
            </w:r>
          </w:p>
        </w:tc>
        <w:tc>
          <w:tcPr>
            <w:tcW w:w="118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3,257,511</w:t>
            </w:r>
          </w:p>
        </w:tc>
        <w:tc>
          <w:tcPr>
            <w:tcW w:w="180" w:type="dxa"/>
            <w:vAlign w:val="bottom"/>
          </w:tcPr>
          <w:p>
            <w:pPr>
              <w:spacing w:after="0"/>
              <w:rPr>
                <w:sz w:val="10"/>
                <w:szCs w:val="10"/>
                <w:color w:val="auto"/>
              </w:rPr>
            </w:pPr>
          </w:p>
        </w:tc>
        <w:tc>
          <w:tcPr>
            <w:tcW w:w="90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3,153,140</w:t>
            </w:r>
          </w:p>
        </w:tc>
        <w:tc>
          <w:tcPr>
            <w:tcW w:w="80" w:type="dxa"/>
            <w:vAlign w:val="bottom"/>
          </w:tcPr>
          <w:p>
            <w:pPr>
              <w:spacing w:after="0"/>
              <w:rPr>
                <w:sz w:val="10"/>
                <w:szCs w:val="10"/>
                <w:color w:val="auto"/>
              </w:rPr>
            </w:pPr>
          </w:p>
        </w:tc>
        <w:tc>
          <w:tcPr>
            <w:tcW w:w="70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3,257,511</w:t>
            </w:r>
          </w:p>
        </w:tc>
        <w:tc>
          <w:tcPr>
            <w:tcW w:w="0" w:type="dxa"/>
            <w:vAlign w:val="bottom"/>
          </w:tcPr>
          <w:p>
            <w:pPr>
              <w:spacing w:after="0"/>
              <w:rPr>
                <w:sz w:val="1"/>
                <w:szCs w:val="1"/>
                <w:color w:val="auto"/>
              </w:rPr>
            </w:pPr>
          </w:p>
        </w:tc>
      </w:tr>
      <w:tr>
        <w:trPr>
          <w:trHeight w:val="161"/>
        </w:trPr>
        <w:tc>
          <w:tcPr>
            <w:tcW w:w="4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Arial" w:cs="Arial" w:eastAsia="Arial" w:hAnsi="Arial"/>
                <w:sz w:val="13"/>
                <w:szCs w:val="13"/>
                <w:color w:val="auto"/>
                <w:w w:val="87"/>
              </w:rPr>
              <w:t>Precious Metals and Minerals</w:t>
            </w: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(PIK 5.00%)</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00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Cano Health, LLC</w:t>
            </w:r>
          </w:p>
        </w:tc>
        <w:tc>
          <w:tcPr>
            <w:tcW w:w="700" w:type="dxa"/>
            <w:vAlign w:val="bottom"/>
            <w:shd w:val="clear" w:color="auto" w:fill="CCEEFF"/>
          </w:tcPr>
          <w:p>
            <w:pPr>
              <w:jc w:val="center"/>
              <w:ind w:right="17"/>
              <w:spacing w:after="0" w:line="122" w:lineRule="exact"/>
              <w:rPr>
                <w:sz w:val="20"/>
                <w:szCs w:val="20"/>
                <w:color w:val="auto"/>
              </w:rPr>
            </w:pPr>
            <w:r>
              <w:rPr>
                <w:rFonts w:ascii="Arial" w:cs="Arial" w:eastAsia="Arial" w:hAnsi="Arial"/>
                <w:sz w:val="13"/>
                <w:szCs w:val="13"/>
                <w:color w:val="auto"/>
                <w:w w:val="89"/>
              </w:rPr>
              <w:t>12/23/2021</w:t>
            </w:r>
          </w:p>
        </w:tc>
        <w:tc>
          <w:tcPr>
            <w:tcW w:w="182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86"/>
              </w:rPr>
              <w:t>Healthcare, Education and</w:t>
            </w:r>
          </w:p>
        </w:tc>
        <w:tc>
          <w:tcPr>
            <w:tcW w:w="940" w:type="dxa"/>
            <w:vAlign w:val="bottom"/>
            <w:shd w:val="clear" w:color="auto" w:fill="CCEEFF"/>
          </w:tcPr>
          <w:p>
            <w:pPr>
              <w:jc w:val="right"/>
              <w:ind w:right="97"/>
              <w:spacing w:after="0" w:line="122" w:lineRule="exact"/>
              <w:rPr>
                <w:sz w:val="20"/>
                <w:szCs w:val="20"/>
                <w:color w:val="auto"/>
              </w:rPr>
            </w:pPr>
            <w:r>
              <w:rPr>
                <w:rFonts w:ascii="Arial" w:cs="Arial" w:eastAsia="Arial" w:hAnsi="Arial"/>
                <w:sz w:val="13"/>
                <w:szCs w:val="13"/>
                <w:color w:val="auto"/>
              </w:rPr>
              <w:t>10.76%</w:t>
            </w:r>
          </w:p>
        </w:tc>
        <w:tc>
          <w:tcPr>
            <w:tcW w:w="1180" w:type="dxa"/>
            <w:vAlign w:val="bottom"/>
            <w:gridSpan w:val="2"/>
            <w:shd w:val="clear" w:color="auto" w:fill="CCEEFF"/>
          </w:tcPr>
          <w:p>
            <w:pPr>
              <w:jc w:val="right"/>
              <w:ind w:right="320"/>
              <w:spacing w:after="0" w:line="122" w:lineRule="exact"/>
              <w:rPr>
                <w:sz w:val="20"/>
                <w:szCs w:val="20"/>
                <w:color w:val="auto"/>
              </w:rPr>
            </w:pPr>
            <w:r>
              <w:rPr>
                <w:rFonts w:ascii="Arial" w:cs="Arial" w:eastAsia="Arial" w:hAnsi="Arial"/>
                <w:sz w:val="13"/>
                <w:szCs w:val="13"/>
                <w:color w:val="auto"/>
              </w:rPr>
              <w:t>L+1,000</w:t>
            </w:r>
          </w:p>
        </w:tc>
        <w:tc>
          <w:tcPr>
            <w:tcW w:w="7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3"/>
                <w:szCs w:val="13"/>
                <w:color w:val="auto"/>
                <w:w w:val="89"/>
              </w:rPr>
              <w:t>10,260,000</w:t>
            </w:r>
          </w:p>
        </w:tc>
        <w:tc>
          <w:tcPr>
            <w:tcW w:w="180" w:type="dxa"/>
            <w:vAlign w:val="bottom"/>
            <w:tcBorders>
              <w:right w:val="single" w:sz="8" w:color="CCEEFF"/>
            </w:tcBorders>
            <w:shd w:val="clear" w:color="auto" w:fill="CCEEFF"/>
          </w:tcPr>
          <w:p>
            <w:pPr>
              <w:spacing w:after="0"/>
              <w:rPr>
                <w:sz w:val="10"/>
                <w:szCs w:val="10"/>
                <w:color w:val="auto"/>
              </w:rPr>
            </w:pPr>
          </w:p>
        </w:tc>
        <w:tc>
          <w:tcPr>
            <w:tcW w:w="900" w:type="dxa"/>
            <w:vAlign w:val="bottom"/>
            <w:gridSpan w:val="2"/>
            <w:shd w:val="clear" w:color="auto" w:fill="CCEEFF"/>
          </w:tcPr>
          <w:p>
            <w:pPr>
              <w:jc w:val="right"/>
              <w:ind w:right="260"/>
              <w:spacing w:after="0" w:line="122" w:lineRule="exact"/>
              <w:rPr>
                <w:sz w:val="20"/>
                <w:szCs w:val="20"/>
                <w:color w:val="auto"/>
              </w:rPr>
            </w:pPr>
            <w:r>
              <w:rPr>
                <w:rFonts w:ascii="Arial" w:cs="Arial" w:eastAsia="Arial" w:hAnsi="Arial"/>
                <w:sz w:val="13"/>
                <w:szCs w:val="13"/>
                <w:color w:val="auto"/>
                <w:w w:val="95"/>
              </w:rPr>
              <w:t>10,005,198</w:t>
            </w: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3"/>
                <w:szCs w:val="13"/>
                <w:color w:val="auto"/>
                <w:w w:val="95"/>
              </w:rPr>
              <w:t>10,003,500</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Childcare</w:t>
            </w: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4000" w:type="dxa"/>
            <w:vAlign w:val="bottom"/>
          </w:tcPr>
          <w:p>
            <w:pPr>
              <w:spacing w:after="0" w:line="121" w:lineRule="exact"/>
              <w:rPr>
                <w:sz w:val="20"/>
                <w:szCs w:val="20"/>
                <w:color w:val="auto"/>
              </w:rPr>
            </w:pPr>
            <w:r>
              <w:rPr>
                <w:rFonts w:ascii="Arial" w:cs="Arial" w:eastAsia="Arial" w:hAnsi="Arial"/>
                <w:sz w:val="13"/>
                <w:szCs w:val="13"/>
                <w:color w:val="auto"/>
              </w:rPr>
              <w:t xml:space="preserve">Cano Health, LLC (Revolver) </w:t>
            </w:r>
            <w:r>
              <w:rPr>
                <w:rFonts w:ascii="Arial" w:cs="Arial" w:eastAsia="Arial" w:hAnsi="Arial"/>
                <w:sz w:val="10"/>
                <w:szCs w:val="10"/>
                <w:color w:val="auto"/>
              </w:rPr>
              <w:t>(8)</w:t>
            </w:r>
          </w:p>
        </w:tc>
        <w:tc>
          <w:tcPr>
            <w:tcW w:w="700" w:type="dxa"/>
            <w:vAlign w:val="bottom"/>
          </w:tcPr>
          <w:p>
            <w:pPr>
              <w:jc w:val="center"/>
              <w:ind w:right="17"/>
              <w:spacing w:after="0" w:line="121" w:lineRule="exact"/>
              <w:rPr>
                <w:sz w:val="20"/>
                <w:szCs w:val="20"/>
                <w:color w:val="auto"/>
              </w:rPr>
            </w:pPr>
            <w:r>
              <w:rPr>
                <w:rFonts w:ascii="Arial" w:cs="Arial" w:eastAsia="Arial" w:hAnsi="Arial"/>
                <w:sz w:val="13"/>
                <w:szCs w:val="13"/>
                <w:color w:val="auto"/>
                <w:w w:val="89"/>
              </w:rPr>
              <w:t>12/23/2021</w:t>
            </w:r>
          </w:p>
        </w:tc>
        <w:tc>
          <w:tcPr>
            <w:tcW w:w="1820" w:type="dxa"/>
            <w:vAlign w:val="bottom"/>
          </w:tcPr>
          <w:p>
            <w:pPr>
              <w:jc w:val="center"/>
              <w:spacing w:after="0" w:line="121" w:lineRule="exact"/>
              <w:rPr>
                <w:sz w:val="20"/>
                <w:szCs w:val="20"/>
                <w:color w:val="auto"/>
              </w:rPr>
            </w:pPr>
            <w:r>
              <w:rPr>
                <w:rFonts w:ascii="Arial" w:cs="Arial" w:eastAsia="Arial" w:hAnsi="Arial"/>
                <w:sz w:val="13"/>
                <w:szCs w:val="13"/>
                <w:color w:val="auto"/>
                <w:w w:val="86"/>
              </w:rPr>
              <w:t>Healthcare, Education and</w:t>
            </w:r>
          </w:p>
        </w:tc>
        <w:tc>
          <w:tcPr>
            <w:tcW w:w="940" w:type="dxa"/>
            <w:vAlign w:val="bottom"/>
          </w:tcPr>
          <w:p>
            <w:pPr>
              <w:jc w:val="right"/>
              <w:ind w:right="197"/>
              <w:spacing w:after="0" w:line="121" w:lineRule="exact"/>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rPr>
              <w:t>900,000</w:t>
            </w:r>
          </w:p>
        </w:tc>
        <w:tc>
          <w:tcPr>
            <w:tcW w:w="180" w:type="dxa"/>
            <w:vAlign w:val="bottom"/>
          </w:tcPr>
          <w:p>
            <w:pPr>
              <w:spacing w:after="0"/>
              <w:rPr>
                <w:sz w:val="10"/>
                <w:szCs w:val="10"/>
                <w:color w:val="auto"/>
              </w:rPr>
            </w:pPr>
          </w:p>
        </w:tc>
        <w:tc>
          <w:tcPr>
            <w:tcW w:w="90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0"/>
                <w:szCs w:val="10"/>
                <w:color w:val="auto"/>
              </w:rPr>
            </w:pPr>
          </w:p>
        </w:tc>
        <w:tc>
          <w:tcPr>
            <w:tcW w:w="70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20" w:type="dxa"/>
            <w:vAlign w:val="bottom"/>
          </w:tcPr>
          <w:p>
            <w:pPr>
              <w:jc w:val="center"/>
              <w:spacing w:after="0"/>
              <w:rPr>
                <w:sz w:val="20"/>
                <w:szCs w:val="20"/>
                <w:color w:val="auto"/>
              </w:rPr>
            </w:pPr>
            <w:r>
              <w:rPr>
                <w:rFonts w:ascii="Arial" w:cs="Arial" w:eastAsia="Arial" w:hAnsi="Arial"/>
                <w:sz w:val="13"/>
                <w:szCs w:val="13"/>
                <w:color w:val="auto"/>
                <w:w w:val="87"/>
              </w:rPr>
              <w:t>Childcare</w:t>
            </w: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Corfin Industries LLC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11/25/2020</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10.75%</w:t>
            </w:r>
          </w:p>
        </w:tc>
        <w:tc>
          <w:tcPr>
            <w:tcW w:w="11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L+975</w:t>
            </w: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w w:val="89"/>
              </w:rPr>
              <w:t>23,463,000</w:t>
            </w:r>
          </w:p>
        </w:tc>
        <w:tc>
          <w:tcPr>
            <w:tcW w:w="180" w:type="dxa"/>
            <w:vAlign w:val="bottom"/>
            <w:tcBorders>
              <w:right w:val="single" w:sz="8" w:color="CCEEFF"/>
            </w:tcBorders>
            <w:shd w:val="clear" w:color="auto" w:fill="CCEEFF"/>
          </w:tcPr>
          <w:p>
            <w:pPr>
              <w:spacing w:after="0"/>
              <w:rPr>
                <w:sz w:val="11"/>
                <w:szCs w:val="11"/>
                <w:color w:val="auto"/>
              </w:rPr>
            </w:pP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w w:val="95"/>
              </w:rPr>
              <w:t>23,076,650</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5"/>
              </w:rPr>
              <w:t>23,463,000</w:t>
            </w:r>
          </w:p>
        </w:tc>
        <w:tc>
          <w:tcPr>
            <w:tcW w:w="0" w:type="dxa"/>
            <w:vAlign w:val="bottom"/>
          </w:tcPr>
          <w:p>
            <w:pPr>
              <w:spacing w:after="0"/>
              <w:rPr>
                <w:sz w:val="1"/>
                <w:szCs w:val="1"/>
                <w:color w:val="auto"/>
              </w:rPr>
            </w:pPr>
          </w:p>
        </w:tc>
      </w:tr>
      <w:tr>
        <w:trPr>
          <w:trHeight w:val="135"/>
        </w:trPr>
        <w:tc>
          <w:tcPr>
            <w:tcW w:w="4000" w:type="dxa"/>
            <w:vAlign w:val="bottom"/>
          </w:tcPr>
          <w:p>
            <w:pPr>
              <w:spacing w:after="0" w:line="135" w:lineRule="exact"/>
              <w:rPr>
                <w:sz w:val="20"/>
                <w:szCs w:val="20"/>
                <w:color w:val="auto"/>
              </w:rPr>
            </w:pPr>
            <w:r>
              <w:rPr>
                <w:rFonts w:ascii="Arial" w:cs="Arial" w:eastAsia="Arial" w:hAnsi="Arial"/>
                <w:sz w:val="13"/>
                <w:szCs w:val="13"/>
                <w:color w:val="auto"/>
              </w:rPr>
              <w:t xml:space="preserve">Corfin Industries LLC (Revolver) </w:t>
            </w:r>
            <w:r>
              <w:rPr>
                <w:rFonts w:ascii="Arial" w:cs="Arial" w:eastAsia="Arial" w:hAnsi="Arial"/>
                <w:sz w:val="10"/>
                <w:szCs w:val="10"/>
                <w:color w:val="auto"/>
              </w:rPr>
              <w:t>(8)</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86"/>
              </w:rPr>
              <w:t>11/25/2020</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1,942,623</w:t>
            </w:r>
          </w:p>
        </w:tc>
        <w:tc>
          <w:tcPr>
            <w:tcW w:w="180" w:type="dxa"/>
            <w:vAlign w:val="bottom"/>
          </w:tcPr>
          <w:p>
            <w:pPr>
              <w:spacing w:after="0"/>
              <w:rPr>
                <w:sz w:val="11"/>
                <w:szCs w:val="11"/>
                <w:color w:val="auto"/>
              </w:rPr>
            </w:pP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40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PAS Technologies, Inc.</w:t>
            </w:r>
          </w:p>
        </w:tc>
        <w:tc>
          <w:tcPr>
            <w:tcW w:w="700" w:type="dxa"/>
            <w:vAlign w:val="bottom"/>
            <w:shd w:val="clear" w:color="auto" w:fill="CCEEFF"/>
          </w:tcPr>
          <w:p>
            <w:pPr>
              <w:jc w:val="center"/>
              <w:ind w:right="17"/>
              <w:spacing w:after="0" w:line="121" w:lineRule="exact"/>
              <w:rPr>
                <w:sz w:val="20"/>
                <w:szCs w:val="20"/>
                <w:color w:val="auto"/>
              </w:rPr>
            </w:pPr>
            <w:r>
              <w:rPr>
                <w:rFonts w:ascii="Arial" w:cs="Arial" w:eastAsia="Arial" w:hAnsi="Arial"/>
                <w:sz w:val="13"/>
                <w:szCs w:val="13"/>
                <w:color w:val="auto"/>
                <w:w w:val="89"/>
              </w:rPr>
              <w:t>03/21/2017</w:t>
            </w:r>
          </w:p>
        </w:tc>
        <w:tc>
          <w:tcPr>
            <w:tcW w:w="18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6"/>
              </w:rPr>
              <w:t>Aerospace and Defense</w:t>
            </w:r>
          </w:p>
        </w:tc>
        <w:tc>
          <w:tcPr>
            <w:tcW w:w="940" w:type="dxa"/>
            <w:vAlign w:val="bottom"/>
            <w:shd w:val="clear" w:color="auto" w:fill="CCEEFF"/>
          </w:tcPr>
          <w:p>
            <w:pPr>
              <w:jc w:val="right"/>
              <w:ind w:right="97"/>
              <w:spacing w:after="0" w:line="121" w:lineRule="exact"/>
              <w:rPr>
                <w:sz w:val="20"/>
                <w:szCs w:val="20"/>
                <w:color w:val="auto"/>
              </w:rPr>
            </w:pPr>
            <w:r>
              <w:rPr>
                <w:rFonts w:ascii="Arial" w:cs="Arial" w:eastAsia="Arial" w:hAnsi="Arial"/>
                <w:sz w:val="13"/>
                <w:szCs w:val="13"/>
                <w:color w:val="auto"/>
              </w:rPr>
              <w:t>6.01%</w:t>
            </w:r>
          </w:p>
        </w:tc>
        <w:tc>
          <w:tcPr>
            <w:tcW w:w="118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L+500</w:t>
            </w:r>
          </w:p>
        </w:tc>
        <w:tc>
          <w:tcPr>
            <w:tcW w:w="74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4,437,215</w:t>
            </w:r>
          </w:p>
        </w:tc>
        <w:tc>
          <w:tcPr>
            <w:tcW w:w="180" w:type="dxa"/>
            <w:vAlign w:val="bottom"/>
            <w:tcBorders>
              <w:right w:val="single" w:sz="8" w:color="CCEEFF"/>
            </w:tcBorders>
            <w:shd w:val="clear" w:color="auto" w:fill="CCEEFF"/>
          </w:tcPr>
          <w:p>
            <w:pPr>
              <w:spacing w:after="0"/>
              <w:rPr>
                <w:sz w:val="10"/>
                <w:szCs w:val="10"/>
                <w:color w:val="auto"/>
              </w:rPr>
            </w:pPr>
          </w:p>
        </w:tc>
        <w:tc>
          <w:tcPr>
            <w:tcW w:w="90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3,906,107</w:t>
            </w: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4,437,215</w:t>
            </w:r>
          </w:p>
        </w:tc>
        <w:tc>
          <w:tcPr>
            <w:tcW w:w="0" w:type="dxa"/>
            <w:vAlign w:val="bottom"/>
          </w:tcPr>
          <w:p>
            <w:pPr>
              <w:spacing w:after="0"/>
              <w:rPr>
                <w:sz w:val="1"/>
                <w:szCs w:val="1"/>
                <w:color w:val="auto"/>
              </w:rPr>
            </w:pPr>
          </w:p>
        </w:tc>
      </w:tr>
      <w:tr>
        <w:trPr>
          <w:trHeight w:val="163"/>
        </w:trPr>
        <w:tc>
          <w:tcPr>
            <w:tcW w:w="40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(PIK 1.00%)</w:t>
            </w:r>
          </w:p>
        </w:tc>
        <w:tc>
          <w:tcPr>
            <w:tcW w:w="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line="135" w:lineRule="exact"/>
              <w:rPr>
                <w:sz w:val="20"/>
                <w:szCs w:val="20"/>
                <w:color w:val="auto"/>
              </w:rPr>
            </w:pPr>
            <w:r>
              <w:rPr>
                <w:rFonts w:ascii="Arial" w:cs="Arial" w:eastAsia="Arial" w:hAnsi="Arial"/>
                <w:sz w:val="13"/>
                <w:szCs w:val="13"/>
                <w:color w:val="auto"/>
              </w:rPr>
              <w:t>TRAK Acquisition Corp.</w:t>
            </w:r>
          </w:p>
        </w:tc>
        <w:tc>
          <w:tcPr>
            <w:tcW w:w="70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89"/>
              </w:rPr>
              <w:t>04/30/2018</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12.00%</w:t>
            </w:r>
          </w:p>
        </w:tc>
        <w:tc>
          <w:tcPr>
            <w:tcW w:w="11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L+1,050</w:t>
            </w: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89"/>
              </w:rPr>
              <w:t>22,514,911</w:t>
            </w:r>
          </w:p>
        </w:tc>
        <w:tc>
          <w:tcPr>
            <w:tcW w:w="180" w:type="dxa"/>
            <w:vAlign w:val="bottom"/>
          </w:tcPr>
          <w:p>
            <w:pPr>
              <w:spacing w:after="0"/>
              <w:rPr>
                <w:sz w:val="11"/>
                <w:szCs w:val="11"/>
                <w:color w:val="auto"/>
              </w:rPr>
            </w:pP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w w:val="95"/>
              </w:rPr>
              <w:t>22,393,383</w:t>
            </w:r>
          </w:p>
        </w:tc>
        <w:tc>
          <w:tcPr>
            <w:tcW w:w="8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5"/>
              </w:rPr>
              <w:t>22,514,911</w:t>
            </w:r>
          </w:p>
        </w:tc>
        <w:tc>
          <w:tcPr>
            <w:tcW w:w="0" w:type="dxa"/>
            <w:vAlign w:val="bottom"/>
          </w:tcPr>
          <w:p>
            <w:pPr>
              <w:spacing w:after="0"/>
              <w:rPr>
                <w:sz w:val="1"/>
                <w:szCs w:val="1"/>
                <w:color w:val="auto"/>
              </w:rPr>
            </w:pPr>
          </w:p>
        </w:tc>
      </w:tr>
      <w:tr>
        <w:trPr>
          <w:trHeight w:val="135"/>
        </w:trPr>
        <w:tc>
          <w:tcPr>
            <w:tcW w:w="40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TRAK Acquisition Corp. (Revolver)</w:t>
            </w:r>
          </w:p>
        </w:tc>
        <w:tc>
          <w:tcPr>
            <w:tcW w:w="70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89"/>
              </w:rPr>
              <w:t>08/25/2017</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12.00%</w:t>
            </w:r>
          </w:p>
        </w:tc>
        <w:tc>
          <w:tcPr>
            <w:tcW w:w="11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L+1,050</w:t>
            </w: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3,000,000</w:t>
            </w:r>
          </w:p>
        </w:tc>
        <w:tc>
          <w:tcPr>
            <w:tcW w:w="180" w:type="dxa"/>
            <w:vAlign w:val="bottom"/>
            <w:tcBorders>
              <w:right w:val="single" w:sz="8" w:color="CCEEFF"/>
            </w:tcBorders>
            <w:shd w:val="clear" w:color="auto" w:fill="CCEEFF"/>
          </w:tcPr>
          <w:p>
            <w:pPr>
              <w:spacing w:after="0"/>
              <w:rPr>
                <w:sz w:val="11"/>
                <w:szCs w:val="11"/>
                <w:color w:val="auto"/>
              </w:rPr>
            </w:pP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3,000,000</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3,000,000</w:t>
            </w:r>
          </w:p>
        </w:tc>
        <w:tc>
          <w:tcPr>
            <w:tcW w:w="0" w:type="dxa"/>
            <w:vAlign w:val="bottom"/>
          </w:tcPr>
          <w:p>
            <w:pPr>
              <w:spacing w:after="0"/>
              <w:rPr>
                <w:sz w:val="1"/>
                <w:szCs w:val="1"/>
                <w:color w:val="auto"/>
              </w:rPr>
            </w:pPr>
          </w:p>
        </w:tc>
      </w:tr>
      <w:tr>
        <w:trPr>
          <w:trHeight w:val="149"/>
        </w:trPr>
        <w:tc>
          <w:tcPr>
            <w:tcW w:w="4000" w:type="dxa"/>
            <w:vAlign w:val="bottom"/>
          </w:tcPr>
          <w:p>
            <w:pPr>
              <w:spacing w:after="0" w:line="142" w:lineRule="exact"/>
              <w:rPr>
                <w:sz w:val="20"/>
                <w:szCs w:val="20"/>
                <w:color w:val="auto"/>
              </w:rPr>
            </w:pPr>
            <w:r>
              <w:rPr>
                <w:rFonts w:ascii="Arial" w:cs="Arial" w:eastAsia="Arial" w:hAnsi="Arial"/>
                <w:sz w:val="13"/>
                <w:szCs w:val="13"/>
                <w:b w:val="1"/>
                <w:bCs w:val="1"/>
                <w:color w:val="auto"/>
              </w:rPr>
              <w:t>Total First Lien Secured Debt</w:t>
            </w:r>
          </w:p>
        </w:tc>
        <w:tc>
          <w:tcPr>
            <w:tcW w:w="7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65,534,478</w:t>
            </w:r>
          </w:p>
        </w:tc>
        <w:tc>
          <w:tcPr>
            <w:tcW w:w="2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66,676,137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Second Lien Secured Debt—4.1%</w:t>
            </w:r>
          </w:p>
        </w:tc>
        <w:tc>
          <w:tcPr>
            <w:tcW w:w="7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line="135" w:lineRule="exact"/>
              <w:rPr>
                <w:sz w:val="20"/>
                <w:szCs w:val="20"/>
                <w:color w:val="auto"/>
              </w:rPr>
            </w:pPr>
            <w:r>
              <w:rPr>
                <w:rFonts w:ascii="Arial" w:cs="Arial" w:eastAsia="Arial" w:hAnsi="Arial"/>
                <w:sz w:val="13"/>
                <w:szCs w:val="13"/>
                <w:color w:val="auto"/>
              </w:rPr>
              <w:t>Affinion Group, Inc.</w:t>
            </w:r>
          </w:p>
        </w:tc>
        <w:tc>
          <w:tcPr>
            <w:tcW w:w="70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89"/>
              </w:rPr>
              <w:t>10/31/2018</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8.50%</w:t>
            </w:r>
          </w:p>
        </w:tc>
        <w:tc>
          <w:tcPr>
            <w:tcW w:w="11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L+700</w:t>
            </w: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89"/>
              </w:rPr>
              <w:t>18,000,000</w:t>
            </w:r>
          </w:p>
        </w:tc>
        <w:tc>
          <w:tcPr>
            <w:tcW w:w="180" w:type="dxa"/>
            <w:vAlign w:val="bottom"/>
          </w:tcPr>
          <w:p>
            <w:pPr>
              <w:spacing w:after="0"/>
              <w:rPr>
                <w:sz w:val="11"/>
                <w:szCs w:val="11"/>
                <w:color w:val="auto"/>
              </w:rPr>
            </w:pP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w w:val="95"/>
              </w:rPr>
              <w:t>17,078,401</w:t>
            </w:r>
          </w:p>
        </w:tc>
        <w:tc>
          <w:tcPr>
            <w:tcW w:w="8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5"/>
              </w:rPr>
              <w:t>17,442,000</w:t>
            </w:r>
          </w:p>
        </w:tc>
        <w:tc>
          <w:tcPr>
            <w:tcW w:w="0" w:type="dxa"/>
            <w:vAlign w:val="bottom"/>
          </w:tcPr>
          <w:p>
            <w:pPr>
              <w:spacing w:after="0"/>
              <w:rPr>
                <w:sz w:val="1"/>
                <w:szCs w:val="1"/>
                <w:color w:val="auto"/>
              </w:rPr>
            </w:pPr>
          </w:p>
        </w:tc>
      </w:tr>
      <w:tr>
        <w:trPr>
          <w:trHeight w:val="135"/>
        </w:trPr>
        <w:tc>
          <w:tcPr>
            <w:tcW w:w="40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EnviroSolutions Real Property Holdings, Inc.</w:t>
            </w:r>
          </w:p>
        </w:tc>
        <w:tc>
          <w:tcPr>
            <w:tcW w:w="700" w:type="dxa"/>
            <w:vAlign w:val="bottom"/>
            <w:shd w:val="clear" w:color="auto" w:fill="CCEEFF"/>
          </w:tcPr>
          <w:p>
            <w:pPr>
              <w:jc w:val="center"/>
              <w:ind w:right="17"/>
              <w:spacing w:after="0" w:line="135" w:lineRule="exact"/>
              <w:rPr>
                <w:sz w:val="20"/>
                <w:szCs w:val="20"/>
                <w:color w:val="auto"/>
              </w:rPr>
            </w:pPr>
            <w:r>
              <w:rPr>
                <w:rFonts w:ascii="Arial" w:cs="Arial" w:eastAsia="Arial" w:hAnsi="Arial"/>
                <w:sz w:val="13"/>
                <w:szCs w:val="13"/>
                <w:color w:val="auto"/>
                <w:w w:val="89"/>
              </w:rPr>
              <w:t>12/26/2017</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Environmental Services</w:t>
            </w:r>
          </w:p>
        </w:tc>
        <w:tc>
          <w:tcPr>
            <w:tcW w:w="94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9.00%</w:t>
            </w:r>
          </w:p>
        </w:tc>
        <w:tc>
          <w:tcPr>
            <w:tcW w:w="11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L+800</w:t>
            </w: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9,409,740</w:t>
            </w:r>
          </w:p>
        </w:tc>
        <w:tc>
          <w:tcPr>
            <w:tcW w:w="180" w:type="dxa"/>
            <w:vAlign w:val="bottom"/>
            <w:tcBorders>
              <w:right w:val="single" w:sz="8" w:color="CCEEFF"/>
            </w:tcBorders>
            <w:shd w:val="clear" w:color="auto" w:fill="CCEEFF"/>
          </w:tcPr>
          <w:p>
            <w:pPr>
              <w:spacing w:after="0"/>
              <w:rPr>
                <w:sz w:val="11"/>
                <w:szCs w:val="11"/>
                <w:color w:val="auto"/>
              </w:rPr>
            </w:pP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9,321,997</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9,409,740</w:t>
            </w:r>
          </w:p>
        </w:tc>
        <w:tc>
          <w:tcPr>
            <w:tcW w:w="0" w:type="dxa"/>
            <w:vAlign w:val="bottom"/>
          </w:tcPr>
          <w:p>
            <w:pPr>
              <w:spacing w:after="0"/>
              <w:rPr>
                <w:sz w:val="1"/>
                <w:szCs w:val="1"/>
                <w:color w:val="auto"/>
              </w:rPr>
            </w:pPr>
          </w:p>
        </w:tc>
      </w:tr>
      <w:tr>
        <w:trPr>
          <w:trHeight w:val="149"/>
        </w:trPr>
        <w:tc>
          <w:tcPr>
            <w:tcW w:w="4000" w:type="dxa"/>
            <w:vAlign w:val="bottom"/>
          </w:tcPr>
          <w:p>
            <w:pPr>
              <w:spacing w:after="0" w:line="142" w:lineRule="exact"/>
              <w:rPr>
                <w:sz w:val="20"/>
                <w:szCs w:val="20"/>
                <w:color w:val="auto"/>
              </w:rPr>
            </w:pPr>
            <w:r>
              <w:rPr>
                <w:rFonts w:ascii="Arial" w:cs="Arial" w:eastAsia="Arial" w:hAnsi="Arial"/>
                <w:sz w:val="13"/>
                <w:szCs w:val="13"/>
                <w:b w:val="1"/>
                <w:bCs w:val="1"/>
                <w:color w:val="auto"/>
              </w:rPr>
              <w:t>Total Second Lien Secured Debt</w:t>
            </w:r>
          </w:p>
        </w:tc>
        <w:tc>
          <w:tcPr>
            <w:tcW w:w="7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26,400,398</w:t>
            </w:r>
          </w:p>
        </w:tc>
        <w:tc>
          <w:tcPr>
            <w:tcW w:w="2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26,851,740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Subordinated Debt/Corporate Notes—14.1%</w:t>
            </w:r>
          </w:p>
        </w:tc>
        <w:tc>
          <w:tcPr>
            <w:tcW w:w="7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000" w:type="dxa"/>
            <w:vAlign w:val="bottom"/>
          </w:tcPr>
          <w:p>
            <w:pPr>
              <w:spacing w:after="0" w:line="121" w:lineRule="exact"/>
              <w:rPr>
                <w:sz w:val="20"/>
                <w:szCs w:val="20"/>
                <w:color w:val="auto"/>
              </w:rPr>
            </w:pPr>
            <w:r>
              <w:rPr>
                <w:rFonts w:ascii="Arial" w:cs="Arial" w:eastAsia="Arial" w:hAnsi="Arial"/>
                <w:sz w:val="13"/>
                <w:szCs w:val="13"/>
                <w:color w:val="auto"/>
              </w:rPr>
              <w:t xml:space="preserve">Affinion International Holdings Limited </w:t>
            </w:r>
            <w:r>
              <w:rPr>
                <w:rFonts w:ascii="Arial" w:cs="Arial" w:eastAsia="Arial" w:hAnsi="Arial"/>
                <w:sz w:val="10"/>
                <w:szCs w:val="10"/>
                <w:color w:val="auto"/>
              </w:rPr>
              <w:t>(5), (9), (12)</w:t>
            </w:r>
          </w:p>
        </w:tc>
        <w:tc>
          <w:tcPr>
            <w:tcW w:w="700" w:type="dxa"/>
            <w:vAlign w:val="bottom"/>
          </w:tcPr>
          <w:p>
            <w:pPr>
              <w:jc w:val="center"/>
              <w:ind w:right="17"/>
              <w:spacing w:after="0" w:line="121" w:lineRule="exact"/>
              <w:rPr>
                <w:sz w:val="20"/>
                <w:szCs w:val="20"/>
                <w:color w:val="auto"/>
              </w:rPr>
            </w:pPr>
            <w:r>
              <w:rPr>
                <w:rFonts w:ascii="Arial" w:cs="Arial" w:eastAsia="Arial" w:hAnsi="Arial"/>
                <w:sz w:val="13"/>
                <w:szCs w:val="13"/>
                <w:color w:val="auto"/>
                <w:w w:val="89"/>
              </w:rPr>
              <w:t>07/30/2018</w:t>
            </w:r>
          </w:p>
        </w:tc>
        <w:tc>
          <w:tcPr>
            <w:tcW w:w="1820" w:type="dxa"/>
            <w:vAlign w:val="bottom"/>
          </w:tcPr>
          <w:p>
            <w:pPr>
              <w:jc w:val="center"/>
              <w:spacing w:after="0" w:line="121" w:lineRule="exact"/>
              <w:rPr>
                <w:sz w:val="20"/>
                <w:szCs w:val="20"/>
                <w:color w:val="auto"/>
              </w:rPr>
            </w:pPr>
            <w:r>
              <w:rPr>
                <w:rFonts w:ascii="Arial" w:cs="Arial" w:eastAsia="Arial" w:hAnsi="Arial"/>
                <w:sz w:val="13"/>
                <w:szCs w:val="13"/>
                <w:color w:val="auto"/>
                <w:w w:val="87"/>
              </w:rPr>
              <w:t>Consumer Products</w:t>
            </w:r>
          </w:p>
        </w:tc>
        <w:tc>
          <w:tcPr>
            <w:tcW w:w="940" w:type="dxa"/>
            <w:vAlign w:val="bottom"/>
          </w:tcPr>
          <w:p>
            <w:pPr>
              <w:jc w:val="right"/>
              <w:ind w:right="97"/>
              <w:spacing w:after="0" w:line="121" w:lineRule="exact"/>
              <w:rPr>
                <w:sz w:val="20"/>
                <w:szCs w:val="20"/>
                <w:color w:val="auto"/>
              </w:rPr>
            </w:pPr>
            <w:r>
              <w:rPr>
                <w:rFonts w:ascii="Arial" w:cs="Arial" w:eastAsia="Arial" w:hAnsi="Arial"/>
                <w:sz w:val="13"/>
                <w:szCs w:val="13"/>
                <w:color w:val="auto"/>
              </w:rPr>
              <w:t>7.50%</w:t>
            </w:r>
          </w:p>
        </w:tc>
        <w:tc>
          <w:tcPr>
            <w:tcW w:w="118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line="121" w:lineRule="exact"/>
              <w:rPr>
                <w:sz w:val="20"/>
                <w:szCs w:val="20"/>
                <w:color w:val="auto"/>
              </w:rPr>
            </w:pPr>
            <w:r>
              <w:rPr>
                <w:rFonts w:ascii="Arial" w:cs="Arial" w:eastAsia="Arial" w:hAnsi="Arial"/>
                <w:sz w:val="13"/>
                <w:szCs w:val="13"/>
                <w:color w:val="auto"/>
                <w:w w:val="89"/>
              </w:rPr>
              <w:t>10,055,185</w:t>
            </w:r>
          </w:p>
        </w:tc>
        <w:tc>
          <w:tcPr>
            <w:tcW w:w="180" w:type="dxa"/>
            <w:vAlign w:val="bottom"/>
          </w:tcPr>
          <w:p>
            <w:pPr>
              <w:spacing w:after="0"/>
              <w:rPr>
                <w:sz w:val="10"/>
                <w:szCs w:val="10"/>
                <w:color w:val="auto"/>
              </w:rPr>
            </w:pPr>
          </w:p>
        </w:tc>
        <w:tc>
          <w:tcPr>
            <w:tcW w:w="90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9,265,571</w:t>
            </w:r>
          </w:p>
        </w:tc>
        <w:tc>
          <w:tcPr>
            <w:tcW w:w="80" w:type="dxa"/>
            <w:vAlign w:val="bottom"/>
          </w:tcPr>
          <w:p>
            <w:pPr>
              <w:spacing w:after="0"/>
              <w:rPr>
                <w:sz w:val="10"/>
                <w:szCs w:val="10"/>
                <w:color w:val="auto"/>
              </w:rPr>
            </w:pPr>
          </w:p>
        </w:tc>
        <w:tc>
          <w:tcPr>
            <w:tcW w:w="70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9,652,978</w:t>
            </w:r>
          </w:p>
        </w:tc>
        <w:tc>
          <w:tcPr>
            <w:tcW w:w="0" w:type="dxa"/>
            <w:vAlign w:val="bottom"/>
          </w:tcPr>
          <w:p>
            <w:pPr>
              <w:spacing w:after="0"/>
              <w:rPr>
                <w:sz w:val="1"/>
                <w:szCs w:val="1"/>
                <w:color w:val="auto"/>
              </w:rPr>
            </w:pPr>
          </w:p>
        </w:tc>
      </w:tr>
      <w:tr>
        <w:trPr>
          <w:trHeight w:val="161"/>
        </w:trPr>
        <w:tc>
          <w:tcPr>
            <w:tcW w:w="40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(PIK 4.00%)</w:t>
            </w: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00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 xml:space="preserve">American Gilsonite Company </w:t>
            </w:r>
            <w:r>
              <w:rPr>
                <w:rFonts w:ascii="Arial" w:cs="Arial" w:eastAsia="Arial" w:hAnsi="Arial"/>
                <w:sz w:val="10"/>
                <w:szCs w:val="10"/>
                <w:color w:val="auto"/>
              </w:rPr>
              <w:t>(5)</w:t>
            </w:r>
          </w:p>
        </w:tc>
        <w:tc>
          <w:tcPr>
            <w:tcW w:w="700" w:type="dxa"/>
            <w:vAlign w:val="bottom"/>
            <w:shd w:val="clear" w:color="auto" w:fill="CCEEFF"/>
          </w:tcPr>
          <w:p>
            <w:pPr>
              <w:jc w:val="center"/>
              <w:ind w:right="17"/>
              <w:spacing w:after="0" w:line="122" w:lineRule="exact"/>
              <w:rPr>
                <w:sz w:val="20"/>
                <w:szCs w:val="20"/>
                <w:color w:val="auto"/>
              </w:rPr>
            </w:pPr>
            <w:r>
              <w:rPr>
                <w:rFonts w:ascii="Arial" w:cs="Arial" w:eastAsia="Arial" w:hAnsi="Arial"/>
                <w:sz w:val="13"/>
                <w:szCs w:val="13"/>
                <w:color w:val="auto"/>
                <w:w w:val="89"/>
              </w:rPr>
              <w:t>12/31/2021</w:t>
            </w:r>
          </w:p>
        </w:tc>
        <w:tc>
          <w:tcPr>
            <w:tcW w:w="182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88"/>
              </w:rPr>
              <w:t>Diversified Natural Resources,</w:t>
            </w:r>
          </w:p>
        </w:tc>
        <w:tc>
          <w:tcPr>
            <w:tcW w:w="940" w:type="dxa"/>
            <w:vAlign w:val="bottom"/>
            <w:shd w:val="clear" w:color="auto" w:fill="CCEEFF"/>
          </w:tcPr>
          <w:p>
            <w:pPr>
              <w:jc w:val="right"/>
              <w:ind w:right="97"/>
              <w:spacing w:after="0" w:line="122" w:lineRule="exact"/>
              <w:rPr>
                <w:sz w:val="20"/>
                <w:szCs w:val="20"/>
                <w:color w:val="auto"/>
              </w:rPr>
            </w:pPr>
            <w:r>
              <w:rPr>
                <w:rFonts w:ascii="Arial" w:cs="Arial" w:eastAsia="Arial" w:hAnsi="Arial"/>
                <w:sz w:val="13"/>
                <w:szCs w:val="13"/>
                <w:color w:val="auto"/>
              </w:rPr>
              <w:t>17.00%</w:t>
            </w:r>
          </w:p>
        </w:tc>
        <w:tc>
          <w:tcPr>
            <w:tcW w:w="1180" w:type="dxa"/>
            <w:vAlign w:val="bottom"/>
            <w:gridSpan w:val="2"/>
            <w:shd w:val="clear" w:color="auto" w:fill="CCEEFF"/>
          </w:tcPr>
          <w:p>
            <w:pPr>
              <w:jc w:val="right"/>
              <w:ind w:right="320"/>
              <w:spacing w:after="0" w:line="122"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3"/>
                <w:szCs w:val="13"/>
                <w:color w:val="auto"/>
              </w:rPr>
              <w:t>9,407,407</w:t>
            </w:r>
          </w:p>
        </w:tc>
        <w:tc>
          <w:tcPr>
            <w:tcW w:w="180" w:type="dxa"/>
            <w:vAlign w:val="bottom"/>
            <w:tcBorders>
              <w:right w:val="single" w:sz="8" w:color="CCEEFF"/>
            </w:tcBorders>
            <w:shd w:val="clear" w:color="auto" w:fill="CCEEFF"/>
          </w:tcPr>
          <w:p>
            <w:pPr>
              <w:spacing w:after="0"/>
              <w:rPr>
                <w:sz w:val="10"/>
                <w:szCs w:val="10"/>
                <w:color w:val="auto"/>
              </w:rPr>
            </w:pPr>
          </w:p>
        </w:tc>
        <w:tc>
          <w:tcPr>
            <w:tcW w:w="900" w:type="dxa"/>
            <w:vAlign w:val="bottom"/>
            <w:gridSpan w:val="2"/>
            <w:shd w:val="clear" w:color="auto" w:fill="CCEEFF"/>
          </w:tcPr>
          <w:p>
            <w:pPr>
              <w:jc w:val="right"/>
              <w:ind w:right="260"/>
              <w:spacing w:after="0" w:line="122" w:lineRule="exact"/>
              <w:rPr>
                <w:sz w:val="20"/>
                <w:szCs w:val="20"/>
                <w:color w:val="auto"/>
              </w:rPr>
            </w:pPr>
            <w:r>
              <w:rPr>
                <w:rFonts w:ascii="Arial" w:cs="Arial" w:eastAsia="Arial" w:hAnsi="Arial"/>
                <w:sz w:val="13"/>
                <w:szCs w:val="13"/>
                <w:color w:val="auto"/>
              </w:rPr>
              <w:t>9,407,407</w:t>
            </w: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3"/>
                <w:szCs w:val="13"/>
                <w:color w:val="auto"/>
              </w:rPr>
              <w:t>9,407,407</w:t>
            </w:r>
          </w:p>
        </w:tc>
        <w:tc>
          <w:tcPr>
            <w:tcW w:w="0" w:type="dxa"/>
            <w:vAlign w:val="bottom"/>
          </w:tcPr>
          <w:p>
            <w:pPr>
              <w:spacing w:after="0"/>
              <w:rPr>
                <w:sz w:val="1"/>
                <w:szCs w:val="1"/>
                <w:color w:val="auto"/>
              </w:rPr>
            </w:pPr>
          </w:p>
        </w:tc>
      </w:tr>
      <w:tr>
        <w:trPr>
          <w:trHeight w:val="163"/>
        </w:trPr>
        <w:tc>
          <w:tcPr>
            <w:tcW w:w="40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Precious Metals and Minerals</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(PIK 17.00%)</w:t>
            </w:r>
          </w:p>
        </w:tc>
        <w:tc>
          <w:tcPr>
            <w:tcW w:w="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line="135" w:lineRule="exact"/>
              <w:rPr>
                <w:sz w:val="20"/>
                <w:szCs w:val="20"/>
                <w:color w:val="auto"/>
              </w:rPr>
            </w:pPr>
            <w:r>
              <w:rPr>
                <w:rFonts w:ascii="Arial" w:cs="Arial" w:eastAsia="Arial" w:hAnsi="Arial"/>
                <w:sz w:val="13"/>
                <w:szCs w:val="13"/>
                <w:color w:val="auto"/>
              </w:rPr>
              <w:t>DirectBuy Holdings, Inc.</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86"/>
              </w:rPr>
              <w:t>11/05/2019</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940" w:type="dxa"/>
            <w:vAlign w:val="bottom"/>
          </w:tcPr>
          <w:p>
            <w:pPr>
              <w:jc w:val="right"/>
              <w:ind w:right="7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11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89"/>
              </w:rPr>
              <w:t>15,177,295</w:t>
            </w:r>
          </w:p>
        </w:tc>
        <w:tc>
          <w:tcPr>
            <w:tcW w:w="180" w:type="dxa"/>
            <w:vAlign w:val="bottom"/>
          </w:tcPr>
          <w:p>
            <w:pPr>
              <w:spacing w:after="0"/>
              <w:rPr>
                <w:sz w:val="11"/>
                <w:szCs w:val="11"/>
                <w:color w:val="auto"/>
              </w:rPr>
            </w:pP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w w:val="95"/>
              </w:rPr>
              <w:t>12,340,534</w:t>
            </w:r>
          </w:p>
        </w:tc>
        <w:tc>
          <w:tcPr>
            <w:tcW w:w="8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1,669,502</w:t>
            </w:r>
          </w:p>
        </w:tc>
        <w:tc>
          <w:tcPr>
            <w:tcW w:w="0" w:type="dxa"/>
            <w:vAlign w:val="bottom"/>
          </w:tcPr>
          <w:p>
            <w:pPr>
              <w:spacing w:after="0"/>
              <w:rPr>
                <w:sz w:val="1"/>
                <w:szCs w:val="1"/>
                <w:color w:val="auto"/>
              </w:rPr>
            </w:pPr>
          </w:p>
        </w:tc>
      </w:tr>
      <w:tr>
        <w:trPr>
          <w:trHeight w:val="121"/>
        </w:trPr>
        <w:tc>
          <w:tcPr>
            <w:tcW w:w="40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ETX Energy, LLC, Convertible Note </w:t>
            </w:r>
            <w:r>
              <w:rPr>
                <w:rFonts w:ascii="Arial" w:cs="Arial" w:eastAsia="Arial" w:hAnsi="Arial"/>
                <w:sz w:val="10"/>
                <w:szCs w:val="10"/>
                <w:color w:val="auto"/>
              </w:rPr>
              <w:t>(5)</w:t>
            </w:r>
          </w:p>
        </w:tc>
        <w:tc>
          <w:tcPr>
            <w:tcW w:w="700" w:type="dxa"/>
            <w:vAlign w:val="bottom"/>
            <w:shd w:val="clear" w:color="auto" w:fill="CCEEFF"/>
          </w:tcPr>
          <w:p>
            <w:pPr>
              <w:jc w:val="center"/>
              <w:ind w:right="17"/>
              <w:spacing w:after="0" w:line="121" w:lineRule="exact"/>
              <w:rPr>
                <w:sz w:val="20"/>
                <w:szCs w:val="20"/>
                <w:color w:val="auto"/>
              </w:rPr>
            </w:pPr>
            <w:r>
              <w:rPr>
                <w:rFonts w:ascii="Arial" w:cs="Arial" w:eastAsia="Arial" w:hAnsi="Arial"/>
                <w:sz w:val="13"/>
                <w:szCs w:val="13"/>
                <w:color w:val="auto"/>
                <w:w w:val="89"/>
              </w:rPr>
              <w:t>05/03/2021</w:t>
            </w:r>
          </w:p>
        </w:tc>
        <w:tc>
          <w:tcPr>
            <w:tcW w:w="18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7"/>
              </w:rPr>
              <w:t>Oil and Gas</w:t>
            </w:r>
          </w:p>
        </w:tc>
        <w:tc>
          <w:tcPr>
            <w:tcW w:w="940" w:type="dxa"/>
            <w:vAlign w:val="bottom"/>
            <w:shd w:val="clear" w:color="auto" w:fill="CCEEFF"/>
          </w:tcPr>
          <w:p>
            <w:pPr>
              <w:jc w:val="right"/>
              <w:ind w:right="97"/>
              <w:spacing w:after="0" w:line="121" w:lineRule="exact"/>
              <w:rPr>
                <w:sz w:val="20"/>
                <w:szCs w:val="20"/>
                <w:color w:val="auto"/>
              </w:rPr>
            </w:pPr>
            <w:r>
              <w:rPr>
                <w:rFonts w:ascii="Arial" w:cs="Arial" w:eastAsia="Arial" w:hAnsi="Arial"/>
                <w:sz w:val="13"/>
                <w:szCs w:val="13"/>
                <w:color w:val="auto"/>
              </w:rPr>
              <w:t>12.50%</w:t>
            </w:r>
          </w:p>
        </w:tc>
        <w:tc>
          <w:tcPr>
            <w:tcW w:w="118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w w:val="89"/>
              </w:rPr>
              <w:t>25,297,664</w:t>
            </w:r>
          </w:p>
        </w:tc>
        <w:tc>
          <w:tcPr>
            <w:tcW w:w="180" w:type="dxa"/>
            <w:vAlign w:val="bottom"/>
            <w:tcBorders>
              <w:right w:val="single" w:sz="8" w:color="CCEEFF"/>
            </w:tcBorders>
            <w:shd w:val="clear" w:color="auto" w:fill="CCEEFF"/>
          </w:tcPr>
          <w:p>
            <w:pPr>
              <w:spacing w:after="0"/>
              <w:rPr>
                <w:sz w:val="10"/>
                <w:szCs w:val="10"/>
                <w:color w:val="auto"/>
              </w:rPr>
            </w:pPr>
          </w:p>
        </w:tc>
        <w:tc>
          <w:tcPr>
            <w:tcW w:w="90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w w:val="95"/>
              </w:rPr>
              <w:t>35,876,111</w:t>
            </w: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w w:val="95"/>
              </w:rPr>
              <w:t>42,500,076</w:t>
            </w:r>
          </w:p>
        </w:tc>
        <w:tc>
          <w:tcPr>
            <w:tcW w:w="0" w:type="dxa"/>
            <w:vAlign w:val="bottom"/>
          </w:tcPr>
          <w:p>
            <w:pPr>
              <w:spacing w:after="0"/>
              <w:rPr>
                <w:sz w:val="1"/>
                <w:szCs w:val="1"/>
                <w:color w:val="auto"/>
              </w:rPr>
            </w:pPr>
          </w:p>
        </w:tc>
      </w:tr>
      <w:tr>
        <w:trPr>
          <w:trHeight w:val="163"/>
        </w:trPr>
        <w:tc>
          <w:tcPr>
            <w:tcW w:w="40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2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(PIK 12.50%)</w:t>
            </w:r>
          </w:p>
        </w:tc>
        <w:tc>
          <w:tcPr>
            <w:tcW w:w="8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tcBorders>
              <w:right w:val="single" w:sz="8" w:color="CCEEFF"/>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line="135" w:lineRule="exact"/>
              <w:rPr>
                <w:sz w:val="20"/>
                <w:szCs w:val="20"/>
                <w:color w:val="auto"/>
              </w:rPr>
            </w:pPr>
            <w:r>
              <w:rPr>
                <w:rFonts w:ascii="Arial" w:cs="Arial" w:eastAsia="Arial" w:hAnsi="Arial"/>
                <w:sz w:val="13"/>
                <w:szCs w:val="13"/>
                <w:color w:val="auto"/>
              </w:rPr>
              <w:t>Service Champ, Inc.</w:t>
            </w:r>
          </w:p>
        </w:tc>
        <w:tc>
          <w:tcPr>
            <w:tcW w:w="700" w:type="dxa"/>
            <w:vAlign w:val="bottom"/>
          </w:tcPr>
          <w:p>
            <w:pPr>
              <w:jc w:val="center"/>
              <w:ind w:right="17"/>
              <w:spacing w:after="0" w:line="135" w:lineRule="exact"/>
              <w:rPr>
                <w:sz w:val="20"/>
                <w:szCs w:val="20"/>
                <w:color w:val="auto"/>
              </w:rPr>
            </w:pPr>
            <w:r>
              <w:rPr>
                <w:rFonts w:ascii="Arial" w:cs="Arial" w:eastAsia="Arial" w:hAnsi="Arial"/>
                <w:sz w:val="13"/>
                <w:szCs w:val="13"/>
                <w:color w:val="auto"/>
                <w:w w:val="89"/>
              </w:rPr>
              <w:t>10/02/2017</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88"/>
              </w:rPr>
              <w:t>Auto Sector</w:t>
            </w:r>
          </w:p>
        </w:tc>
        <w:tc>
          <w:tcPr>
            <w:tcW w:w="9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12.50%</w:t>
            </w:r>
          </w:p>
        </w:tc>
        <w:tc>
          <w:tcPr>
            <w:tcW w:w="11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w w:val="89"/>
              </w:rPr>
              <w:t>28,000,000</w:t>
            </w:r>
          </w:p>
        </w:tc>
        <w:tc>
          <w:tcPr>
            <w:tcW w:w="180" w:type="dxa"/>
            <w:vAlign w:val="bottom"/>
          </w:tcPr>
          <w:p>
            <w:pPr>
              <w:spacing w:after="0"/>
              <w:rPr>
                <w:sz w:val="11"/>
                <w:szCs w:val="11"/>
                <w:color w:val="auto"/>
              </w:rPr>
            </w:pP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w w:val="95"/>
              </w:rPr>
              <w:t>27,880,538</w:t>
            </w:r>
          </w:p>
        </w:tc>
        <w:tc>
          <w:tcPr>
            <w:tcW w:w="8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5"/>
              </w:rPr>
              <w:t>27,970,495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0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Subordinated Debt/Corporate Notes</w:t>
            </w:r>
          </w:p>
        </w:tc>
        <w:tc>
          <w:tcPr>
            <w:tcW w:w="70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tcBorders>
              <w:right w:val="single" w:sz="8" w:color="CCEEFF"/>
            </w:tcBorders>
            <w:shd w:val="clear" w:color="auto" w:fill="CCEEFF"/>
          </w:tcPr>
          <w:p>
            <w:pPr>
              <w:spacing w:after="0"/>
              <w:rPr>
                <w:sz w:val="11"/>
                <w:szCs w:val="11"/>
                <w:color w:val="auto"/>
              </w:rPr>
            </w:pP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w w:val="95"/>
              </w:rPr>
              <w:t>94,770,161</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5"/>
              </w:rPr>
              <w:t>91,200,458</w:t>
            </w:r>
          </w:p>
        </w:tc>
        <w:tc>
          <w:tcPr>
            <w:tcW w:w="0" w:type="dxa"/>
            <w:vAlign w:val="bottom"/>
          </w:tcPr>
          <w:p>
            <w:pPr>
              <w:spacing w:after="0"/>
              <w:rPr>
                <w:sz w:val="1"/>
                <w:szCs w:val="1"/>
                <w:color w:val="auto"/>
              </w:rPr>
            </w:pPr>
          </w:p>
        </w:tc>
      </w:tr>
      <w:tr>
        <w:trPr>
          <w:trHeight w:val="142"/>
        </w:trPr>
        <w:tc>
          <w:tcPr>
            <w:tcW w:w="4000" w:type="dxa"/>
            <w:vAlign w:val="bottom"/>
          </w:tcPr>
          <w:p>
            <w:pPr>
              <w:spacing w:after="0" w:line="142" w:lineRule="exact"/>
              <w:rPr>
                <w:sz w:val="20"/>
                <w:szCs w:val="20"/>
                <w:color w:val="auto"/>
              </w:rPr>
            </w:pPr>
            <w:r>
              <w:rPr>
                <w:rFonts w:ascii="Arial" w:cs="Arial" w:eastAsia="Arial" w:hAnsi="Arial"/>
                <w:sz w:val="13"/>
                <w:szCs w:val="13"/>
                <w:b w:val="1"/>
                <w:bCs w:val="1"/>
                <w:color w:val="auto"/>
              </w:rPr>
              <w:t xml:space="preserve">Preferred Equity—0.8% </w:t>
            </w:r>
            <w:r>
              <w:rPr>
                <w:rFonts w:ascii="Arial" w:cs="Arial" w:eastAsia="Arial" w:hAnsi="Arial"/>
                <w:sz w:val="10"/>
                <w:szCs w:val="10"/>
                <w:b w:val="1"/>
                <w:bCs w:val="1"/>
                <w:color w:val="auto"/>
              </w:rPr>
              <w:t>(6)</w:t>
            </w:r>
          </w:p>
        </w:tc>
        <w:tc>
          <w:tcPr>
            <w:tcW w:w="7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PAS International Holdings, Inc.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53,071</w:t>
            </w:r>
          </w:p>
        </w:tc>
        <w:tc>
          <w:tcPr>
            <w:tcW w:w="180" w:type="dxa"/>
            <w:vAlign w:val="bottom"/>
            <w:tcBorders>
              <w:right w:val="single" w:sz="8" w:color="CCEEFF"/>
            </w:tcBorders>
            <w:shd w:val="clear" w:color="auto" w:fill="CCEEFF"/>
          </w:tcPr>
          <w:p>
            <w:pPr>
              <w:spacing w:after="0"/>
              <w:rPr>
                <w:sz w:val="11"/>
                <w:szCs w:val="11"/>
                <w:color w:val="auto"/>
              </w:rPr>
            </w:pP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w w:val="95"/>
              </w:rPr>
              <w:t>20,059,340</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5,254,029</w:t>
            </w:r>
          </w:p>
        </w:tc>
        <w:tc>
          <w:tcPr>
            <w:tcW w:w="0" w:type="dxa"/>
            <w:vAlign w:val="bottom"/>
          </w:tcPr>
          <w:p>
            <w:pPr>
              <w:spacing w:after="0"/>
              <w:rPr>
                <w:sz w:val="1"/>
                <w:szCs w:val="1"/>
                <w:color w:val="auto"/>
              </w:rPr>
            </w:pPr>
          </w:p>
        </w:tc>
      </w:tr>
      <w:tr>
        <w:trPr>
          <w:trHeight w:val="142"/>
        </w:trPr>
        <w:tc>
          <w:tcPr>
            <w:tcW w:w="4000" w:type="dxa"/>
            <w:vAlign w:val="bottom"/>
          </w:tcPr>
          <w:p>
            <w:pPr>
              <w:spacing w:after="0" w:line="142" w:lineRule="exact"/>
              <w:rPr>
                <w:sz w:val="20"/>
                <w:szCs w:val="20"/>
                <w:color w:val="auto"/>
              </w:rPr>
            </w:pPr>
            <w:r>
              <w:rPr>
                <w:rFonts w:ascii="Arial" w:cs="Arial" w:eastAsia="Arial" w:hAnsi="Arial"/>
                <w:sz w:val="13"/>
                <w:szCs w:val="13"/>
                <w:b w:val="1"/>
                <w:bCs w:val="1"/>
                <w:color w:val="auto"/>
              </w:rPr>
              <w:t xml:space="preserve">Common Equity/Partnership Interests/Warrants—11.9% </w:t>
            </w:r>
            <w:r>
              <w:rPr>
                <w:rFonts w:ascii="Arial" w:cs="Arial" w:eastAsia="Arial" w:hAnsi="Arial"/>
                <w:sz w:val="10"/>
                <w:szCs w:val="10"/>
                <w:b w:val="1"/>
                <w:bCs w:val="1"/>
                <w:color w:val="auto"/>
              </w:rPr>
              <w:t>(6)</w:t>
            </w:r>
          </w:p>
        </w:tc>
        <w:tc>
          <w:tcPr>
            <w:tcW w:w="7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Affinion Group Holdings, Inc.</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859,496</w:t>
            </w:r>
          </w:p>
        </w:tc>
        <w:tc>
          <w:tcPr>
            <w:tcW w:w="180" w:type="dxa"/>
            <w:vAlign w:val="bottom"/>
            <w:tcBorders>
              <w:right w:val="single" w:sz="8" w:color="CCEEFF"/>
            </w:tcBorders>
            <w:shd w:val="clear" w:color="auto" w:fill="CCEEFF"/>
          </w:tcPr>
          <w:p>
            <w:pPr>
              <w:spacing w:after="0"/>
              <w:rPr>
                <w:sz w:val="11"/>
                <w:szCs w:val="11"/>
                <w:color w:val="auto"/>
              </w:rPr>
            </w:pP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w w:val="95"/>
              </w:rPr>
              <w:t>30,503,493</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5"/>
              </w:rPr>
              <w:t>33,758,336</w:t>
            </w:r>
          </w:p>
        </w:tc>
        <w:tc>
          <w:tcPr>
            <w:tcW w:w="0" w:type="dxa"/>
            <w:vAlign w:val="bottom"/>
          </w:tcPr>
          <w:p>
            <w:pPr>
              <w:spacing w:after="0"/>
              <w:rPr>
                <w:sz w:val="1"/>
                <w:szCs w:val="1"/>
                <w:color w:val="auto"/>
              </w:rPr>
            </w:pPr>
          </w:p>
        </w:tc>
      </w:tr>
      <w:tr>
        <w:trPr>
          <w:trHeight w:val="135"/>
        </w:trPr>
        <w:tc>
          <w:tcPr>
            <w:tcW w:w="4000" w:type="dxa"/>
            <w:vAlign w:val="bottom"/>
          </w:tcPr>
          <w:p>
            <w:pPr>
              <w:spacing w:after="0" w:line="135" w:lineRule="exact"/>
              <w:rPr>
                <w:sz w:val="20"/>
                <w:szCs w:val="20"/>
                <w:color w:val="auto"/>
              </w:rPr>
            </w:pPr>
            <w:r>
              <w:rPr>
                <w:rFonts w:ascii="Arial" w:cs="Arial" w:eastAsia="Arial" w:hAnsi="Arial"/>
                <w:sz w:val="13"/>
                <w:szCs w:val="13"/>
                <w:color w:val="auto"/>
              </w:rPr>
              <w:t>Affinion Group Holdings, Inc., Series C and Series D</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87"/>
              </w:rPr>
              <w:t>Consumer Products</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37,181</w:t>
            </w:r>
          </w:p>
        </w:tc>
        <w:tc>
          <w:tcPr>
            <w:tcW w:w="180" w:type="dxa"/>
            <w:vAlign w:val="bottom"/>
          </w:tcPr>
          <w:p>
            <w:pPr>
              <w:spacing w:after="0"/>
              <w:rPr>
                <w:sz w:val="11"/>
                <w:szCs w:val="11"/>
                <w:color w:val="auto"/>
              </w:rPr>
            </w:pP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w w:val="95"/>
              </w:rPr>
              <w:t>10,265,972</w:t>
            </w:r>
          </w:p>
        </w:tc>
        <w:tc>
          <w:tcPr>
            <w:tcW w:w="8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247,769</w:t>
            </w:r>
          </w:p>
        </w:tc>
        <w:tc>
          <w:tcPr>
            <w:tcW w:w="0" w:type="dxa"/>
            <w:vAlign w:val="bottom"/>
          </w:tcPr>
          <w:p>
            <w:pPr>
              <w:spacing w:after="0"/>
              <w:rPr>
                <w:sz w:val="1"/>
                <w:szCs w:val="1"/>
                <w:color w:val="auto"/>
              </w:rPr>
            </w:pPr>
          </w:p>
        </w:tc>
      </w:tr>
      <w:tr>
        <w:trPr>
          <w:trHeight w:val="121"/>
        </w:trPr>
        <w:tc>
          <w:tcPr>
            <w:tcW w:w="40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American Gilsonite Company</w:t>
            </w:r>
          </w:p>
        </w:tc>
        <w:tc>
          <w:tcPr>
            <w:tcW w:w="7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91"/>
              </w:rPr>
              <w:t>—</w:t>
            </w:r>
          </w:p>
        </w:tc>
        <w:tc>
          <w:tcPr>
            <w:tcW w:w="182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8"/>
              </w:rPr>
              <w:t>Diversified Natural Resources,</w:t>
            </w:r>
          </w:p>
        </w:tc>
        <w:tc>
          <w:tcPr>
            <w:tcW w:w="940" w:type="dxa"/>
            <w:vAlign w:val="bottom"/>
            <w:shd w:val="clear" w:color="auto" w:fill="CCEEFF"/>
          </w:tcPr>
          <w:p>
            <w:pPr>
              <w:jc w:val="right"/>
              <w:ind w:right="197"/>
              <w:spacing w:after="0" w:line="121" w:lineRule="exact"/>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40"/>
              <w:spacing w:after="0" w:line="121" w:lineRule="exact"/>
              <w:rPr>
                <w:sz w:val="20"/>
                <w:szCs w:val="20"/>
                <w:color w:val="auto"/>
              </w:rPr>
            </w:pPr>
            <w:r>
              <w:rPr>
                <w:rFonts w:ascii="Arial" w:cs="Arial" w:eastAsia="Arial" w:hAnsi="Arial"/>
                <w:sz w:val="13"/>
                <w:szCs w:val="13"/>
                <w:color w:val="auto"/>
              </w:rPr>
              <w:t>25,400</w:t>
            </w:r>
          </w:p>
        </w:tc>
        <w:tc>
          <w:tcPr>
            <w:tcW w:w="180" w:type="dxa"/>
            <w:vAlign w:val="bottom"/>
            <w:tcBorders>
              <w:right w:val="single" w:sz="8" w:color="CCEEFF"/>
            </w:tcBorders>
            <w:shd w:val="clear" w:color="auto" w:fill="CCEEFF"/>
          </w:tcPr>
          <w:p>
            <w:pPr>
              <w:spacing w:after="0"/>
              <w:rPr>
                <w:sz w:val="10"/>
                <w:szCs w:val="10"/>
                <w:color w:val="auto"/>
              </w:rPr>
            </w:pPr>
          </w:p>
        </w:tc>
        <w:tc>
          <w:tcPr>
            <w:tcW w:w="90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5,465,627</w:t>
            </w: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5,465,627</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7"/>
              </w:rPr>
              <w:t>Precious Metals and Minerals</w:t>
            </w:r>
          </w:p>
        </w:tc>
        <w:tc>
          <w:tcPr>
            <w:tcW w:w="9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line="135" w:lineRule="exact"/>
              <w:rPr>
                <w:sz w:val="20"/>
                <w:szCs w:val="20"/>
                <w:color w:val="auto"/>
              </w:rPr>
            </w:pPr>
            <w:r>
              <w:rPr>
                <w:rFonts w:ascii="Arial" w:cs="Arial" w:eastAsia="Arial" w:hAnsi="Arial"/>
                <w:sz w:val="13"/>
                <w:szCs w:val="13"/>
                <w:color w:val="auto"/>
              </w:rPr>
              <w:t>Corfin InvestCo, L.P.</w:t>
            </w:r>
          </w:p>
        </w:tc>
        <w:tc>
          <w:tcPr>
            <w:tcW w:w="70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1820" w:type="dxa"/>
            <w:vAlign w:val="bottom"/>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940" w:type="dxa"/>
            <w:vAlign w:val="bottom"/>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1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11,250</w:t>
            </w:r>
          </w:p>
        </w:tc>
        <w:tc>
          <w:tcPr>
            <w:tcW w:w="180" w:type="dxa"/>
            <w:vAlign w:val="bottom"/>
          </w:tcPr>
          <w:p>
            <w:pPr>
              <w:spacing w:after="0"/>
              <w:rPr>
                <w:sz w:val="11"/>
                <w:szCs w:val="11"/>
                <w:color w:val="auto"/>
              </w:rPr>
            </w:pPr>
          </w:p>
        </w:tc>
        <w:tc>
          <w:tcPr>
            <w:tcW w:w="90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1,125,000</w:t>
            </w:r>
          </w:p>
        </w:tc>
        <w:tc>
          <w:tcPr>
            <w:tcW w:w="8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2,606,202</w:t>
            </w:r>
          </w:p>
        </w:tc>
        <w:tc>
          <w:tcPr>
            <w:tcW w:w="0" w:type="dxa"/>
            <w:vAlign w:val="bottom"/>
          </w:tcPr>
          <w:p>
            <w:pPr>
              <w:spacing w:after="0"/>
              <w:rPr>
                <w:sz w:val="1"/>
                <w:szCs w:val="1"/>
                <w:color w:val="auto"/>
              </w:rPr>
            </w:pPr>
          </w:p>
        </w:tc>
      </w:tr>
      <w:tr>
        <w:trPr>
          <w:trHeight w:val="135"/>
        </w:trPr>
        <w:tc>
          <w:tcPr>
            <w:tcW w:w="40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Corfin InvestCo, L.P. </w:t>
            </w:r>
            <w:r>
              <w:rPr>
                <w:rFonts w:ascii="Arial" w:cs="Arial" w:eastAsia="Arial" w:hAnsi="Arial"/>
                <w:sz w:val="10"/>
                <w:szCs w:val="10"/>
                <w:color w:val="auto"/>
              </w:rPr>
              <w:t>(8)</w:t>
            </w:r>
          </w:p>
        </w:tc>
        <w:tc>
          <w:tcPr>
            <w:tcW w:w="7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w:t>
            </w:r>
          </w:p>
        </w:tc>
        <w:tc>
          <w:tcPr>
            <w:tcW w:w="182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Aerospace and Defense</w:t>
            </w:r>
          </w:p>
        </w:tc>
        <w:tc>
          <w:tcPr>
            <w:tcW w:w="940" w:type="dxa"/>
            <w:vAlign w:val="bottom"/>
            <w:shd w:val="clear" w:color="auto" w:fill="CCEEFF"/>
          </w:tcPr>
          <w:p>
            <w:pPr>
              <w:jc w:val="right"/>
              <w:ind w:right="197"/>
              <w:spacing w:after="0" w:line="135" w:lineRule="exact"/>
              <w:rPr>
                <w:sz w:val="20"/>
                <w:szCs w:val="20"/>
                <w:color w:val="auto"/>
              </w:rPr>
            </w:pPr>
            <w:r>
              <w:rPr>
                <w:rFonts w:ascii="Arial" w:cs="Arial" w:eastAsia="Arial" w:hAnsi="Arial"/>
                <w:sz w:val="13"/>
                <w:szCs w:val="13"/>
                <w:color w:val="auto"/>
              </w:rPr>
              <w:t>—</w:t>
            </w:r>
          </w:p>
        </w:tc>
        <w:tc>
          <w:tcPr>
            <w:tcW w:w="11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11,250</w:t>
            </w:r>
          </w:p>
        </w:tc>
        <w:tc>
          <w:tcPr>
            <w:tcW w:w="180" w:type="dxa"/>
            <w:vAlign w:val="bottom"/>
            <w:tcBorders>
              <w:right w:val="single" w:sz="8" w:color="CCEEFF"/>
            </w:tcBorders>
            <w:shd w:val="clear" w:color="auto" w:fill="CCEEFF"/>
          </w:tcPr>
          <w:p>
            <w:pPr>
              <w:spacing w:after="0"/>
              <w:rPr>
                <w:sz w:val="11"/>
                <w:szCs w:val="11"/>
                <w:color w:val="auto"/>
              </w:rPr>
            </w:pPr>
          </w:p>
        </w:tc>
        <w:tc>
          <w:tcPr>
            <w:tcW w:w="90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ectPr>
          <w:pgSz w:w="11900" w:h="16838" w:orient="portrait"/>
          <w:cols w:equalWidth="0" w:num="1">
            <w:col w:w="11240"/>
          </w:cols>
          <w:pgMar w:left="32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line="221" w:lineRule="auto"/>
        <w:rPr>
          <w:sz w:val="20"/>
          <w:szCs w:val="20"/>
          <w:color w:val="auto"/>
        </w:rPr>
      </w:pPr>
      <w:r>
        <w:rPr>
          <w:rFonts w:ascii="Arial" w:cs="Arial" w:eastAsia="Arial" w:hAnsi="Arial"/>
          <w:sz w:val="14"/>
          <w:szCs w:val="14"/>
          <w:b w:val="1"/>
          <w:bCs w:val="1"/>
          <w:color w:val="auto"/>
        </w:rPr>
        <w:t>DECEMBER 31, 2016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4"/>
              </w:rPr>
              <w:t>Basis Point</w:t>
            </w: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0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Issuer Name</w:t>
            </w:r>
          </w:p>
        </w:tc>
        <w:tc>
          <w:tcPr>
            <w:tcW w:w="78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Maturity /</w:t>
            </w:r>
          </w:p>
        </w:tc>
        <w:tc>
          <w:tcPr>
            <w:tcW w:w="1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gridSpan w:val="2"/>
          </w:tcPr>
          <w:p>
            <w:pPr>
              <w:jc w:val="right"/>
              <w:ind w:right="460"/>
              <w:spacing w:after="0" w:line="135" w:lineRule="exact"/>
              <w:rPr>
                <w:sz w:val="20"/>
                <w:szCs w:val="20"/>
                <w:color w:val="auto"/>
              </w:rPr>
            </w:pPr>
            <w:r>
              <w:rPr>
                <w:rFonts w:ascii="Arial" w:cs="Arial" w:eastAsia="Arial" w:hAnsi="Arial"/>
                <w:sz w:val="13"/>
                <w:szCs w:val="13"/>
                <w:b w:val="1"/>
                <w:bCs w:val="1"/>
                <w:color w:val="auto"/>
              </w:rPr>
              <w:t>Current</w:t>
            </w:r>
          </w:p>
        </w:tc>
        <w:tc>
          <w:tcPr>
            <w:tcW w:w="108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86"/>
              </w:rPr>
              <w:t>Spread Above</w:t>
            </w:r>
          </w:p>
        </w:tc>
        <w:tc>
          <w:tcPr>
            <w:tcW w:w="74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Par /</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continue"/>
          </w:tcPr>
          <w:p>
            <w:pPr>
              <w:spacing w:after="0"/>
              <w:rPr>
                <w:sz w:val="13"/>
                <w:szCs w:val="13"/>
                <w:color w:val="auto"/>
              </w:rPr>
            </w:pPr>
          </w:p>
        </w:tc>
        <w:tc>
          <w:tcPr>
            <w:tcW w:w="780" w:type="dxa"/>
            <w:vAlign w:val="bottom"/>
            <w:gridSpan w:val="2"/>
          </w:tcPr>
          <w:p>
            <w:pPr>
              <w:spacing w:after="0"/>
              <w:rPr>
                <w:sz w:val="20"/>
                <w:szCs w:val="20"/>
                <w:color w:val="auto"/>
              </w:rPr>
            </w:pPr>
            <w:r>
              <w:rPr>
                <w:rFonts w:ascii="Arial" w:cs="Arial" w:eastAsia="Arial" w:hAnsi="Arial"/>
                <w:sz w:val="13"/>
                <w:szCs w:val="13"/>
                <w:b w:val="1"/>
                <w:bCs w:val="1"/>
                <w:color w:val="auto"/>
              </w:rPr>
              <w:t>Expiration</w:t>
            </w:r>
          </w:p>
        </w:tc>
        <w:tc>
          <w:tcPr>
            <w:tcW w:w="1560" w:type="dxa"/>
            <w:vAlign w:val="bottom"/>
            <w:gridSpan w:val="2"/>
          </w:tcPr>
          <w:p>
            <w:pPr>
              <w:ind w:left="380"/>
              <w:spacing w:after="0"/>
              <w:rPr>
                <w:sz w:val="20"/>
                <w:szCs w:val="20"/>
                <w:color w:val="auto"/>
              </w:rPr>
            </w:pPr>
            <w:r>
              <w:rPr>
                <w:rFonts w:ascii="Arial" w:cs="Arial" w:eastAsia="Arial" w:hAnsi="Arial"/>
                <w:sz w:val="13"/>
                <w:szCs w:val="13"/>
                <w:b w:val="1"/>
                <w:bCs w:val="1"/>
                <w:color w:val="auto"/>
              </w:rPr>
              <w:t>Industry</w:t>
            </w:r>
          </w:p>
        </w:tc>
        <w:tc>
          <w:tcPr>
            <w:tcW w:w="98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Coupon</w:t>
            </w:r>
          </w:p>
        </w:tc>
        <w:tc>
          <w:tcPr>
            <w:tcW w:w="108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(4)</w:t>
            </w:r>
          </w:p>
        </w:tc>
        <w:tc>
          <w:tcPr>
            <w:tcW w:w="7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Shares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Cost</w:t>
            </w:r>
          </w:p>
        </w:tc>
        <w:tc>
          <w:tcPr>
            <w:tcW w:w="20" w:type="dxa"/>
            <w:vAlign w:val="bottom"/>
          </w:tcPr>
          <w:p>
            <w:pPr>
              <w:spacing w:after="0"/>
              <w:rPr>
                <w:sz w:val="13"/>
                <w:szCs w:val="13"/>
                <w:color w:val="auto"/>
              </w:rPr>
            </w:pPr>
          </w:p>
        </w:tc>
        <w:tc>
          <w:tcPr>
            <w:tcW w:w="860" w:type="dxa"/>
            <w:vAlign w:val="bottom"/>
            <w:gridSpan w:val="4"/>
          </w:tcPr>
          <w:p>
            <w:pPr>
              <w:jc w:val="right"/>
              <w:ind w:right="120"/>
              <w:spacing w:after="0"/>
              <w:rPr>
                <w:sz w:val="20"/>
                <w:szCs w:val="20"/>
                <w:color w:val="auto"/>
              </w:rPr>
            </w:pPr>
            <w:r>
              <w:rPr>
                <w:rFonts w:ascii="Arial" w:cs="Arial" w:eastAsia="Arial" w:hAnsi="Arial"/>
                <w:sz w:val="13"/>
                <w:szCs w:val="13"/>
                <w:b w:val="1"/>
                <w:bCs w:val="1"/>
                <w:color w:val="auto"/>
                <w:w w:val="92"/>
              </w:rPr>
              <w:t xml:space="preserve">Fair Value </w:t>
            </w:r>
            <w:r>
              <w:rPr>
                <w:rFonts w:ascii="Arial" w:cs="Arial" w:eastAsia="Arial" w:hAnsi="Arial"/>
                <w:sz w:val="10"/>
                <w:szCs w:val="10"/>
                <w:b w:val="1"/>
                <w:bCs w:val="1"/>
                <w:color w:val="auto"/>
                <w:w w:val="92"/>
              </w:rPr>
              <w:t>(3)</w:t>
            </w:r>
          </w:p>
        </w:tc>
        <w:tc>
          <w:tcPr>
            <w:tcW w:w="0" w:type="dxa"/>
            <w:vAlign w:val="bottom"/>
          </w:tcPr>
          <w:p>
            <w:pPr>
              <w:spacing w:after="0"/>
              <w:rPr>
                <w:sz w:val="1"/>
                <w:szCs w:val="1"/>
                <w:color w:val="auto"/>
              </w:rPr>
            </w:pPr>
          </w:p>
        </w:tc>
      </w:tr>
      <w:tr>
        <w:trPr>
          <w:trHeight w:val="128"/>
        </w:trPr>
        <w:tc>
          <w:tcPr>
            <w:tcW w:w="384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DirectBuy Holdings, Inc.</w:t>
            </w:r>
          </w:p>
        </w:tc>
        <w:tc>
          <w:tcPr>
            <w:tcW w:w="2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rPr>
              <w:t>—</w:t>
            </w:r>
          </w:p>
        </w:tc>
        <w:tc>
          <w:tcPr>
            <w:tcW w:w="20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jc w:val="center"/>
              <w:spacing w:after="0" w:line="129" w:lineRule="exact"/>
              <w:rPr>
                <w:sz w:val="20"/>
                <w:szCs w:val="20"/>
                <w:color w:val="auto"/>
              </w:rPr>
            </w:pPr>
            <w:r>
              <w:rPr>
                <w:rFonts w:ascii="Arial" w:cs="Arial" w:eastAsia="Arial" w:hAnsi="Arial"/>
                <w:sz w:val="13"/>
                <w:szCs w:val="13"/>
                <w:color w:val="auto"/>
                <w:w w:val="87"/>
              </w:rPr>
              <w:t>Consumer Products</w:t>
            </w:r>
          </w:p>
        </w:tc>
        <w:tc>
          <w:tcPr>
            <w:tcW w:w="32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3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3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104,719</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21,492,822</w:t>
            </w:r>
          </w:p>
        </w:tc>
        <w:tc>
          <w:tcPr>
            <w:tcW w:w="2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80" w:type="dxa"/>
            <w:vAlign w:val="bottom"/>
            <w:tcBorders>
              <w:top w:val="single" w:sz="8" w:color="CCEEFF"/>
            </w:tcBorders>
            <w:gridSpan w:val="2"/>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40" w:type="dxa"/>
            <w:vAlign w:val="bottom"/>
            <w:gridSpan w:val="2"/>
          </w:tcPr>
          <w:p>
            <w:pPr>
              <w:spacing w:after="0" w:line="135" w:lineRule="exact"/>
              <w:rPr>
                <w:sz w:val="20"/>
                <w:szCs w:val="20"/>
                <w:color w:val="auto"/>
              </w:rPr>
            </w:pPr>
            <w:r>
              <w:rPr>
                <w:rFonts w:ascii="Arial" w:cs="Arial" w:eastAsia="Arial" w:hAnsi="Arial"/>
                <w:sz w:val="13"/>
                <w:szCs w:val="13"/>
                <w:color w:val="auto"/>
              </w:rPr>
              <w:t>DirectBuy Holdings, Inc. (Warrants)</w:t>
            </w:r>
          </w:p>
        </w:tc>
        <w:tc>
          <w:tcPr>
            <w:tcW w:w="580" w:type="dxa"/>
            <w:vAlign w:val="bottom"/>
          </w:tcPr>
          <w:p>
            <w:pPr>
              <w:jc w:val="center"/>
              <w:spacing w:after="0" w:line="135" w:lineRule="exact"/>
              <w:rPr>
                <w:sz w:val="20"/>
                <w:szCs w:val="20"/>
                <w:color w:val="auto"/>
              </w:rPr>
            </w:pPr>
            <w:r>
              <w:rPr>
                <w:rFonts w:ascii="Arial" w:cs="Arial" w:eastAsia="Arial" w:hAnsi="Arial"/>
                <w:sz w:val="13"/>
                <w:szCs w:val="13"/>
                <w:color w:val="auto"/>
                <w:w w:val="89"/>
              </w:rPr>
              <w:t>11/05/2022</w:t>
            </w:r>
          </w:p>
        </w:tc>
        <w:tc>
          <w:tcPr>
            <w:tcW w:w="200" w:type="dxa"/>
            <w:vAlign w:val="bottom"/>
          </w:tcPr>
          <w:p>
            <w:pPr>
              <w:spacing w:after="0"/>
              <w:rPr>
                <w:sz w:val="11"/>
                <w:szCs w:val="11"/>
                <w:color w:val="auto"/>
              </w:rPr>
            </w:pPr>
          </w:p>
        </w:tc>
        <w:tc>
          <w:tcPr>
            <w:tcW w:w="1560" w:type="dxa"/>
            <w:vAlign w:val="bottom"/>
            <w:gridSpan w:val="2"/>
          </w:tcPr>
          <w:p>
            <w:pPr>
              <w:jc w:val="center"/>
              <w:ind w:right="280"/>
              <w:spacing w:after="0" w:line="135" w:lineRule="exact"/>
              <w:rPr>
                <w:sz w:val="20"/>
                <w:szCs w:val="20"/>
                <w:color w:val="auto"/>
              </w:rPr>
            </w:pPr>
            <w:r>
              <w:rPr>
                <w:rFonts w:ascii="Arial" w:cs="Arial" w:eastAsia="Arial" w:hAnsi="Arial"/>
                <w:sz w:val="13"/>
                <w:szCs w:val="13"/>
                <w:color w:val="auto"/>
                <w:w w:val="87"/>
              </w:rPr>
              <w:t>Consumer Products</w:t>
            </w:r>
          </w:p>
        </w:tc>
        <w:tc>
          <w:tcPr>
            <w:tcW w:w="9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15,486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40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EnviroSolutions Holdings, Inc.</w:t>
            </w:r>
          </w:p>
        </w:tc>
        <w:tc>
          <w:tcPr>
            <w:tcW w:w="780" w:type="dxa"/>
            <w:vAlign w:val="bottom"/>
            <w:gridSpan w:val="2"/>
            <w:shd w:val="clear" w:color="auto" w:fill="CCEEFF"/>
          </w:tcPr>
          <w:p>
            <w:pPr>
              <w:jc w:val="center"/>
              <w:ind w:right="200"/>
              <w:spacing w:after="0" w:line="121" w:lineRule="exact"/>
              <w:rPr>
                <w:sz w:val="20"/>
                <w:szCs w:val="20"/>
                <w:color w:val="auto"/>
              </w:rPr>
            </w:pPr>
            <w:r>
              <w:rPr>
                <w:rFonts w:ascii="Arial" w:cs="Arial" w:eastAsia="Arial" w:hAnsi="Arial"/>
                <w:sz w:val="13"/>
                <w:szCs w:val="13"/>
                <w:color w:val="auto"/>
              </w:rPr>
              <w:t>—</w:t>
            </w:r>
          </w:p>
        </w:tc>
        <w:tc>
          <w:tcPr>
            <w:tcW w:w="1560" w:type="dxa"/>
            <w:vAlign w:val="bottom"/>
            <w:gridSpan w:val="2"/>
            <w:shd w:val="clear" w:color="auto" w:fill="CCEEFF"/>
          </w:tcPr>
          <w:p>
            <w:pPr>
              <w:jc w:val="center"/>
              <w:ind w:right="300"/>
              <w:spacing w:after="0" w:line="121" w:lineRule="exact"/>
              <w:rPr>
                <w:sz w:val="20"/>
                <w:szCs w:val="20"/>
                <w:color w:val="auto"/>
              </w:rPr>
            </w:pPr>
            <w:r>
              <w:rPr>
                <w:rFonts w:ascii="Arial" w:cs="Arial" w:eastAsia="Arial" w:hAnsi="Arial"/>
                <w:sz w:val="13"/>
                <w:szCs w:val="13"/>
                <w:color w:val="auto"/>
                <w:w w:val="89"/>
              </w:rPr>
              <w:t>Environmental</w:t>
            </w:r>
          </w:p>
        </w:tc>
        <w:tc>
          <w:tcPr>
            <w:tcW w:w="980" w:type="dxa"/>
            <w:vAlign w:val="bottom"/>
            <w:gridSpan w:val="2"/>
            <w:shd w:val="clear" w:color="auto" w:fill="CCEEFF"/>
          </w:tcPr>
          <w:p>
            <w:pPr>
              <w:jc w:val="right"/>
              <w:ind w:right="380"/>
              <w:spacing w:after="0" w:line="121"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21" w:lineRule="exact"/>
              <w:rPr>
                <w:sz w:val="20"/>
                <w:szCs w:val="20"/>
                <w:color w:val="auto"/>
              </w:rPr>
            </w:pPr>
            <w:r>
              <w:rPr>
                <w:rFonts w:ascii="Arial" w:cs="Arial" w:eastAsia="Arial" w:hAnsi="Arial"/>
                <w:sz w:val="13"/>
                <w:szCs w:val="13"/>
                <w:color w:val="auto"/>
              </w:rPr>
              <w:t>143,668</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11,960,702</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gridSpan w:val="3"/>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13,350,935</w:t>
            </w:r>
          </w:p>
        </w:tc>
        <w:tc>
          <w:tcPr>
            <w:tcW w:w="0" w:type="dxa"/>
            <w:vAlign w:val="bottom"/>
          </w:tcPr>
          <w:p>
            <w:pPr>
              <w:spacing w:after="0"/>
              <w:rPr>
                <w:sz w:val="1"/>
                <w:szCs w:val="1"/>
                <w:color w:val="auto"/>
              </w:rPr>
            </w:pPr>
          </w:p>
        </w:tc>
      </w:tr>
      <w:tr>
        <w:trPr>
          <w:trHeight w:val="149"/>
        </w:trPr>
        <w:tc>
          <w:tcPr>
            <w:tcW w:w="3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560" w:type="dxa"/>
            <w:vAlign w:val="bottom"/>
            <w:gridSpan w:val="2"/>
            <w:shd w:val="clear" w:color="auto" w:fill="CCEEFF"/>
          </w:tcPr>
          <w:p>
            <w:pPr>
              <w:jc w:val="center"/>
              <w:ind w:right="300"/>
              <w:spacing w:after="0"/>
              <w:rPr>
                <w:sz w:val="20"/>
                <w:szCs w:val="20"/>
                <w:color w:val="auto"/>
              </w:rPr>
            </w:pPr>
            <w:r>
              <w:rPr>
                <w:rFonts w:ascii="Arial" w:cs="Arial" w:eastAsia="Arial" w:hAnsi="Arial"/>
                <w:sz w:val="13"/>
                <w:szCs w:val="13"/>
                <w:color w:val="auto"/>
                <w:w w:val="84"/>
              </w:rPr>
              <w:t>Services</w:t>
            </w:r>
          </w:p>
        </w:tc>
        <w:tc>
          <w:tcPr>
            <w:tcW w:w="6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40" w:type="dxa"/>
            <w:vAlign w:val="bottom"/>
            <w:gridSpan w:val="2"/>
          </w:tcPr>
          <w:p>
            <w:pPr>
              <w:spacing w:after="0" w:line="135" w:lineRule="exact"/>
              <w:rPr>
                <w:sz w:val="20"/>
                <w:szCs w:val="20"/>
                <w:color w:val="auto"/>
              </w:rPr>
            </w:pPr>
            <w:r>
              <w:rPr>
                <w:rFonts w:ascii="Arial" w:cs="Arial" w:eastAsia="Arial" w:hAnsi="Arial"/>
                <w:sz w:val="13"/>
                <w:szCs w:val="13"/>
                <w:color w:val="auto"/>
              </w:rPr>
              <w:t xml:space="preserve">ETX Energy, LLC </w:t>
            </w:r>
            <w:r>
              <w:rPr>
                <w:rFonts w:ascii="Arial" w:cs="Arial" w:eastAsia="Arial" w:hAnsi="Arial"/>
                <w:sz w:val="10"/>
                <w:szCs w:val="10"/>
                <w:color w:val="auto"/>
              </w:rPr>
              <w:t>(10)</w:t>
            </w:r>
          </w:p>
        </w:tc>
        <w:tc>
          <w:tcPr>
            <w:tcW w:w="78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rPr>
              <w:t>—</w:t>
            </w:r>
          </w:p>
        </w:tc>
        <w:tc>
          <w:tcPr>
            <w:tcW w:w="1560" w:type="dxa"/>
            <w:vAlign w:val="bottom"/>
            <w:gridSpan w:val="2"/>
          </w:tcPr>
          <w:p>
            <w:pPr>
              <w:jc w:val="center"/>
              <w:ind w:right="280"/>
              <w:spacing w:after="0" w:line="135" w:lineRule="exact"/>
              <w:rPr>
                <w:sz w:val="20"/>
                <w:szCs w:val="20"/>
                <w:color w:val="auto"/>
              </w:rPr>
            </w:pPr>
            <w:r>
              <w:rPr>
                <w:rFonts w:ascii="Arial" w:cs="Arial" w:eastAsia="Arial" w:hAnsi="Arial"/>
                <w:sz w:val="13"/>
                <w:szCs w:val="13"/>
                <w:color w:val="auto"/>
                <w:w w:val="87"/>
              </w:rPr>
              <w:t>Oil and Gas</w:t>
            </w:r>
          </w:p>
        </w:tc>
        <w:tc>
          <w:tcPr>
            <w:tcW w:w="9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113,610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3,080,591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 xml:space="preserve">ETX Energy Management Company, LLC </w:t>
            </w:r>
            <w:r>
              <w:rPr>
                <w:rFonts w:ascii="Arial" w:cs="Arial" w:eastAsia="Arial" w:hAnsi="Arial"/>
                <w:sz w:val="10"/>
                <w:szCs w:val="10"/>
                <w:color w:val="auto"/>
              </w:rPr>
              <w:t>(10)</w:t>
            </w:r>
          </w:p>
        </w:tc>
        <w:tc>
          <w:tcPr>
            <w:tcW w:w="78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rPr>
              <w:t>—</w:t>
            </w:r>
          </w:p>
        </w:tc>
        <w:tc>
          <w:tcPr>
            <w:tcW w:w="1560" w:type="dxa"/>
            <w:vAlign w:val="bottom"/>
            <w:gridSpan w:val="2"/>
            <w:shd w:val="clear" w:color="auto" w:fill="CCEEFF"/>
          </w:tcPr>
          <w:p>
            <w:pPr>
              <w:jc w:val="center"/>
              <w:ind w:right="280"/>
              <w:spacing w:after="0" w:line="135" w:lineRule="exact"/>
              <w:rPr>
                <w:sz w:val="20"/>
                <w:szCs w:val="20"/>
                <w:color w:val="auto"/>
              </w:rPr>
            </w:pPr>
            <w:r>
              <w:rPr>
                <w:rFonts w:ascii="Arial" w:cs="Arial" w:eastAsia="Arial" w:hAnsi="Arial"/>
                <w:sz w:val="13"/>
                <w:szCs w:val="13"/>
                <w:color w:val="auto"/>
                <w:w w:val="87"/>
              </w:rPr>
              <w:t>Oil and Gas</w:t>
            </w:r>
          </w:p>
        </w:tc>
        <w:tc>
          <w:tcPr>
            <w:tcW w:w="98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119,603</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162,155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040" w:type="dxa"/>
            <w:vAlign w:val="bottom"/>
            <w:gridSpan w:val="2"/>
          </w:tcPr>
          <w:p>
            <w:pPr>
              <w:spacing w:after="0" w:line="121" w:lineRule="exact"/>
              <w:rPr>
                <w:sz w:val="20"/>
                <w:szCs w:val="20"/>
                <w:color w:val="auto"/>
              </w:rPr>
            </w:pPr>
            <w:r>
              <w:rPr>
                <w:rFonts w:ascii="Arial" w:cs="Arial" w:eastAsia="Arial" w:hAnsi="Arial"/>
                <w:sz w:val="13"/>
                <w:szCs w:val="13"/>
                <w:color w:val="auto"/>
              </w:rPr>
              <w:t xml:space="preserve">ITC Rumba, LLC (Cano Health, LLC) </w:t>
            </w:r>
            <w:r>
              <w:rPr>
                <w:rFonts w:ascii="Arial" w:cs="Arial" w:eastAsia="Arial" w:hAnsi="Arial"/>
                <w:sz w:val="10"/>
                <w:szCs w:val="10"/>
                <w:color w:val="auto"/>
              </w:rPr>
              <w:t>(10)</w:t>
            </w:r>
          </w:p>
        </w:tc>
        <w:tc>
          <w:tcPr>
            <w:tcW w:w="780" w:type="dxa"/>
            <w:vAlign w:val="bottom"/>
            <w:gridSpan w:val="2"/>
          </w:tcPr>
          <w:p>
            <w:pPr>
              <w:jc w:val="center"/>
              <w:ind w:right="200"/>
              <w:spacing w:after="0" w:line="121" w:lineRule="exact"/>
              <w:rPr>
                <w:sz w:val="20"/>
                <w:szCs w:val="20"/>
                <w:color w:val="auto"/>
              </w:rPr>
            </w:pPr>
            <w:r>
              <w:rPr>
                <w:rFonts w:ascii="Arial" w:cs="Arial" w:eastAsia="Arial" w:hAnsi="Arial"/>
                <w:sz w:val="13"/>
                <w:szCs w:val="13"/>
                <w:color w:val="auto"/>
              </w:rPr>
              <w:t>—</w:t>
            </w:r>
          </w:p>
        </w:tc>
        <w:tc>
          <w:tcPr>
            <w:tcW w:w="1560" w:type="dxa"/>
            <w:vAlign w:val="bottom"/>
            <w:gridSpan w:val="2"/>
          </w:tcPr>
          <w:p>
            <w:pPr>
              <w:jc w:val="center"/>
              <w:ind w:right="280"/>
              <w:spacing w:after="0" w:line="121" w:lineRule="exact"/>
              <w:rPr>
                <w:sz w:val="20"/>
                <w:szCs w:val="20"/>
                <w:color w:val="auto"/>
              </w:rPr>
            </w:pPr>
            <w:r>
              <w:rPr>
                <w:rFonts w:ascii="Arial" w:cs="Arial" w:eastAsia="Arial" w:hAnsi="Arial"/>
                <w:sz w:val="13"/>
                <w:szCs w:val="13"/>
                <w:color w:val="auto"/>
                <w:w w:val="87"/>
              </w:rPr>
              <w:t>Healthcare, Education</w:t>
            </w:r>
          </w:p>
        </w:tc>
        <w:tc>
          <w:tcPr>
            <w:tcW w:w="980" w:type="dxa"/>
            <w:vAlign w:val="bottom"/>
            <w:gridSpan w:val="2"/>
          </w:tcPr>
          <w:p>
            <w:pPr>
              <w:jc w:val="right"/>
              <w:ind w:right="380"/>
              <w:spacing w:after="0" w:line="121"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rPr>
              <w:t>180,000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1,800,000</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1,800,000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gridSpan w:val="2"/>
          </w:tcPr>
          <w:p>
            <w:pPr>
              <w:jc w:val="center"/>
              <w:ind w:right="300"/>
              <w:spacing w:after="0" w:line="135" w:lineRule="exact"/>
              <w:rPr>
                <w:sz w:val="20"/>
                <w:szCs w:val="20"/>
                <w:color w:val="auto"/>
              </w:rPr>
            </w:pPr>
            <w:r>
              <w:rPr>
                <w:rFonts w:ascii="Arial" w:cs="Arial" w:eastAsia="Arial" w:hAnsi="Arial"/>
                <w:sz w:val="13"/>
                <w:szCs w:val="13"/>
                <w:color w:val="auto"/>
                <w:w w:val="82"/>
              </w:rPr>
              <w:t>and</w:t>
            </w: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3"/>
                <w:szCs w:val="13"/>
                <w:color w:val="auto"/>
                <w:w w:val="87"/>
              </w:rPr>
              <w:t>Childcare</w:t>
            </w: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New Service Champ Holdings, Inc.</w:t>
            </w:r>
          </w:p>
        </w:tc>
        <w:tc>
          <w:tcPr>
            <w:tcW w:w="78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rPr>
              <w:t>—</w:t>
            </w:r>
          </w:p>
        </w:tc>
        <w:tc>
          <w:tcPr>
            <w:tcW w:w="1560" w:type="dxa"/>
            <w:vAlign w:val="bottom"/>
            <w:gridSpan w:val="2"/>
            <w:shd w:val="clear" w:color="auto" w:fill="CCEEFF"/>
          </w:tcPr>
          <w:p>
            <w:pPr>
              <w:jc w:val="center"/>
              <w:ind w:right="280"/>
              <w:spacing w:after="0" w:line="135" w:lineRule="exact"/>
              <w:rPr>
                <w:sz w:val="20"/>
                <w:szCs w:val="20"/>
                <w:color w:val="auto"/>
              </w:rPr>
            </w:pPr>
            <w:r>
              <w:rPr>
                <w:rFonts w:ascii="Arial" w:cs="Arial" w:eastAsia="Arial" w:hAnsi="Arial"/>
                <w:sz w:val="13"/>
                <w:szCs w:val="13"/>
                <w:color w:val="auto"/>
                <w:w w:val="88"/>
              </w:rPr>
              <w:t>Auto Sector</w:t>
            </w:r>
          </w:p>
        </w:tc>
        <w:tc>
          <w:tcPr>
            <w:tcW w:w="98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16,800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2,721,600</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7,567,263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40" w:type="dxa"/>
            <w:vAlign w:val="bottom"/>
            <w:gridSpan w:val="2"/>
          </w:tcPr>
          <w:p>
            <w:pPr>
              <w:spacing w:after="0" w:line="135" w:lineRule="exact"/>
              <w:rPr>
                <w:sz w:val="20"/>
                <w:szCs w:val="20"/>
                <w:color w:val="auto"/>
              </w:rPr>
            </w:pPr>
            <w:r>
              <w:rPr>
                <w:rFonts w:ascii="Arial" w:cs="Arial" w:eastAsia="Arial" w:hAnsi="Arial"/>
                <w:sz w:val="13"/>
                <w:szCs w:val="13"/>
                <w:color w:val="auto"/>
              </w:rPr>
              <w:t>PAS International Holdings, Inc.</w:t>
            </w:r>
          </w:p>
        </w:tc>
        <w:tc>
          <w:tcPr>
            <w:tcW w:w="78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rPr>
              <w:t>—</w:t>
            </w:r>
          </w:p>
        </w:tc>
        <w:tc>
          <w:tcPr>
            <w:tcW w:w="1560" w:type="dxa"/>
            <w:vAlign w:val="bottom"/>
            <w:gridSpan w:val="2"/>
          </w:tcPr>
          <w:p>
            <w:pPr>
              <w:jc w:val="center"/>
              <w:ind w:right="300"/>
              <w:spacing w:after="0" w:line="135" w:lineRule="exact"/>
              <w:rPr>
                <w:sz w:val="20"/>
                <w:szCs w:val="20"/>
                <w:color w:val="auto"/>
              </w:rPr>
            </w:pPr>
            <w:r>
              <w:rPr>
                <w:rFonts w:ascii="Arial" w:cs="Arial" w:eastAsia="Arial" w:hAnsi="Arial"/>
                <w:sz w:val="13"/>
                <w:szCs w:val="13"/>
                <w:color w:val="auto"/>
                <w:w w:val="84"/>
              </w:rPr>
              <w:t>Aerospace and Defense</w:t>
            </w:r>
          </w:p>
        </w:tc>
        <w:tc>
          <w:tcPr>
            <w:tcW w:w="9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53,071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202,620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5,832,533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TRAK Acquisition Corp.</w:t>
            </w:r>
          </w:p>
        </w:tc>
        <w:tc>
          <w:tcPr>
            <w:tcW w:w="78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rPr>
              <w:t>—</w:t>
            </w:r>
          </w:p>
        </w:tc>
        <w:tc>
          <w:tcPr>
            <w:tcW w:w="1560" w:type="dxa"/>
            <w:vAlign w:val="bottom"/>
            <w:gridSpan w:val="2"/>
            <w:shd w:val="clear" w:color="auto" w:fill="CCEEFF"/>
          </w:tcPr>
          <w:p>
            <w:pPr>
              <w:jc w:val="center"/>
              <w:ind w:right="300"/>
              <w:spacing w:after="0" w:line="135" w:lineRule="exact"/>
              <w:rPr>
                <w:sz w:val="20"/>
                <w:szCs w:val="20"/>
                <w:color w:val="auto"/>
              </w:rPr>
            </w:pPr>
            <w:r>
              <w:rPr>
                <w:rFonts w:ascii="Arial" w:cs="Arial" w:eastAsia="Arial" w:hAnsi="Arial"/>
                <w:sz w:val="13"/>
                <w:szCs w:val="13"/>
                <w:color w:val="auto"/>
                <w:w w:val="84"/>
              </w:rPr>
              <w:t>Business Services</w:t>
            </w:r>
          </w:p>
        </w:tc>
        <w:tc>
          <w:tcPr>
            <w:tcW w:w="98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491,755</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188,837</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2,941,551</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4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Common Equity/Partnership Interests/Warrants</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85,726,673</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76,812,962</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w w:val="96"/>
              </w:rPr>
              <w:t>Total Investments in Non-Controlled, Affiliated Portfolio Companies</w:t>
            </w: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w w:val="96"/>
              </w:rPr>
              <w:t>292,491,050</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6"/>
              </w:rPr>
              <w:t>266,795,326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404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w w:val="92"/>
              </w:rPr>
              <w:t xml:space="preserve">Investments in Controlled, Affiliated Portfolio Companies—17.4% </w:t>
            </w:r>
            <w:r>
              <w:rPr>
                <w:rFonts w:ascii="Arial" w:cs="Arial" w:eastAsia="Arial" w:hAnsi="Arial"/>
                <w:sz w:val="10"/>
                <w:szCs w:val="10"/>
                <w:b w:val="1"/>
                <w:bCs w:val="1"/>
                <w:color w:val="auto"/>
                <w:w w:val="92"/>
              </w:rPr>
              <w:t>(1), (2)</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First Lien Secured Debt—15.0%</w:t>
            </w: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040" w:type="dxa"/>
            <w:vAlign w:val="bottom"/>
            <w:gridSpan w:val="2"/>
          </w:tcPr>
          <w:p>
            <w:pPr>
              <w:spacing w:after="0" w:line="121" w:lineRule="exact"/>
              <w:rPr>
                <w:sz w:val="20"/>
                <w:szCs w:val="20"/>
                <w:color w:val="auto"/>
              </w:rPr>
            </w:pPr>
            <w:r>
              <w:rPr>
                <w:rFonts w:ascii="Arial" w:cs="Arial" w:eastAsia="Arial" w:hAnsi="Arial"/>
                <w:sz w:val="13"/>
                <w:szCs w:val="13"/>
                <w:color w:val="auto"/>
              </w:rPr>
              <w:t>RAM Energy LLC</w:t>
            </w:r>
          </w:p>
        </w:tc>
        <w:tc>
          <w:tcPr>
            <w:tcW w:w="580" w:type="dxa"/>
            <w:vAlign w:val="bottom"/>
          </w:tcPr>
          <w:p>
            <w:pPr>
              <w:jc w:val="center"/>
              <w:spacing w:after="0" w:line="121" w:lineRule="exact"/>
              <w:rPr>
                <w:sz w:val="20"/>
                <w:szCs w:val="20"/>
                <w:color w:val="auto"/>
              </w:rPr>
            </w:pPr>
            <w:r>
              <w:rPr>
                <w:rFonts w:ascii="Arial" w:cs="Arial" w:eastAsia="Arial" w:hAnsi="Arial"/>
                <w:sz w:val="13"/>
                <w:szCs w:val="13"/>
                <w:color w:val="auto"/>
                <w:w w:val="89"/>
              </w:rPr>
              <w:t>07/18/2019</w:t>
            </w:r>
          </w:p>
        </w:tc>
        <w:tc>
          <w:tcPr>
            <w:tcW w:w="200" w:type="dxa"/>
            <w:vAlign w:val="bottom"/>
          </w:tcPr>
          <w:p>
            <w:pPr>
              <w:spacing w:after="0"/>
              <w:rPr>
                <w:sz w:val="10"/>
                <w:szCs w:val="10"/>
                <w:color w:val="auto"/>
              </w:rPr>
            </w:pPr>
          </w:p>
        </w:tc>
        <w:tc>
          <w:tcPr>
            <w:tcW w:w="1560" w:type="dxa"/>
            <w:vAlign w:val="bottom"/>
            <w:gridSpan w:val="2"/>
          </w:tcPr>
          <w:p>
            <w:pPr>
              <w:jc w:val="center"/>
              <w:ind w:right="300"/>
              <w:spacing w:after="0" w:line="121" w:lineRule="exact"/>
              <w:rPr>
                <w:sz w:val="20"/>
                <w:szCs w:val="20"/>
                <w:color w:val="auto"/>
              </w:rPr>
            </w:pPr>
            <w:r>
              <w:rPr>
                <w:rFonts w:ascii="Arial" w:cs="Arial" w:eastAsia="Arial" w:hAnsi="Arial"/>
                <w:sz w:val="13"/>
                <w:szCs w:val="13"/>
                <w:color w:val="auto"/>
                <w:w w:val="91"/>
              </w:rPr>
              <w:t>Energy and Utilities</w:t>
            </w:r>
          </w:p>
        </w:tc>
        <w:tc>
          <w:tcPr>
            <w:tcW w:w="98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10.00%</w:t>
            </w:r>
          </w:p>
        </w:tc>
        <w:tc>
          <w:tcPr>
            <w:tcW w:w="108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L+800</w:t>
            </w:r>
          </w:p>
        </w:tc>
        <w:tc>
          <w:tcPr>
            <w:tcW w:w="74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w w:val="92"/>
              </w:rPr>
              <w:t>86,744,720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85,875,642</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3"/>
          </w:tcPr>
          <w:p>
            <w:pPr>
              <w:jc w:val="right"/>
              <w:ind w:right="80"/>
              <w:spacing w:after="0" w:line="121" w:lineRule="exact"/>
              <w:rPr>
                <w:sz w:val="20"/>
                <w:szCs w:val="20"/>
                <w:color w:val="auto"/>
              </w:rPr>
            </w:pPr>
            <w:r>
              <w:rPr>
                <w:rFonts w:ascii="Arial" w:cs="Arial" w:eastAsia="Arial" w:hAnsi="Arial"/>
                <w:sz w:val="13"/>
                <w:szCs w:val="13"/>
                <w:color w:val="auto"/>
              </w:rPr>
              <w:t>70,480,085</w:t>
            </w:r>
          </w:p>
        </w:tc>
        <w:tc>
          <w:tcPr>
            <w:tcW w:w="0" w:type="dxa"/>
            <w:vAlign w:val="bottom"/>
          </w:tcPr>
          <w:p>
            <w:pPr>
              <w:spacing w:after="0"/>
              <w:rPr>
                <w:sz w:val="1"/>
                <w:szCs w:val="1"/>
                <w:color w:val="auto"/>
              </w:rPr>
            </w:pPr>
          </w:p>
        </w:tc>
      </w:tr>
      <w:tr>
        <w:trPr>
          <w:trHeight w:val="161"/>
        </w:trPr>
        <w:tc>
          <w:tcPr>
            <w:tcW w:w="3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w w:val="95"/>
              </w:rPr>
              <w:t>(PIK 10.00%)</w:t>
            </w: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4040" w:type="dxa"/>
            <w:vAlign w:val="bottom"/>
            <w:gridSpan w:val="2"/>
            <w:shd w:val="clear" w:color="auto" w:fill="CCEEFF"/>
          </w:tcPr>
          <w:p>
            <w:pPr>
              <w:spacing w:after="0" w:line="122" w:lineRule="exact"/>
              <w:rPr>
                <w:sz w:val="20"/>
                <w:szCs w:val="20"/>
                <w:color w:val="auto"/>
              </w:rPr>
            </w:pPr>
            <w:r>
              <w:rPr>
                <w:rFonts w:ascii="Arial" w:cs="Arial" w:eastAsia="Arial" w:hAnsi="Arial"/>
                <w:sz w:val="13"/>
                <w:szCs w:val="13"/>
                <w:color w:val="auto"/>
              </w:rPr>
              <w:t>Superior Digital Displays, LLC</w:t>
            </w:r>
          </w:p>
        </w:tc>
        <w:tc>
          <w:tcPr>
            <w:tcW w:w="58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89"/>
              </w:rPr>
              <w:t>12/31/2018</w:t>
            </w:r>
          </w:p>
        </w:tc>
        <w:tc>
          <w:tcPr>
            <w:tcW w:w="200" w:type="dxa"/>
            <w:vAlign w:val="bottom"/>
            <w:shd w:val="clear" w:color="auto" w:fill="CCEEFF"/>
          </w:tcPr>
          <w:p>
            <w:pPr>
              <w:spacing w:after="0"/>
              <w:rPr>
                <w:sz w:val="10"/>
                <w:szCs w:val="10"/>
                <w:color w:val="auto"/>
              </w:rPr>
            </w:pPr>
          </w:p>
        </w:tc>
        <w:tc>
          <w:tcPr>
            <w:tcW w:w="1560" w:type="dxa"/>
            <w:vAlign w:val="bottom"/>
            <w:gridSpan w:val="2"/>
            <w:shd w:val="clear" w:color="auto" w:fill="CCEEFF"/>
          </w:tcPr>
          <w:p>
            <w:pPr>
              <w:jc w:val="center"/>
              <w:ind w:right="280"/>
              <w:spacing w:after="0" w:line="122" w:lineRule="exact"/>
              <w:rPr>
                <w:sz w:val="20"/>
                <w:szCs w:val="20"/>
                <w:color w:val="auto"/>
              </w:rPr>
            </w:pPr>
            <w:r>
              <w:rPr>
                <w:rFonts w:ascii="Arial" w:cs="Arial" w:eastAsia="Arial" w:hAnsi="Arial"/>
                <w:sz w:val="13"/>
                <w:szCs w:val="13"/>
                <w:color w:val="auto"/>
                <w:w w:val="90"/>
              </w:rPr>
              <w:t>Media</w:t>
            </w:r>
          </w:p>
        </w:tc>
        <w:tc>
          <w:tcPr>
            <w:tcW w:w="980" w:type="dxa"/>
            <w:vAlign w:val="bottom"/>
            <w:gridSpan w:val="2"/>
            <w:shd w:val="clear" w:color="auto" w:fill="CCEEFF"/>
          </w:tcPr>
          <w:p>
            <w:pPr>
              <w:jc w:val="right"/>
              <w:ind w:right="260"/>
              <w:spacing w:after="0" w:line="122" w:lineRule="exact"/>
              <w:rPr>
                <w:sz w:val="20"/>
                <w:szCs w:val="20"/>
                <w:color w:val="auto"/>
              </w:rPr>
            </w:pPr>
            <w:r>
              <w:rPr>
                <w:rFonts w:ascii="Arial" w:cs="Arial" w:eastAsia="Arial" w:hAnsi="Arial"/>
                <w:sz w:val="13"/>
                <w:szCs w:val="13"/>
                <w:color w:val="auto"/>
              </w:rPr>
              <w:t>14.00%</w:t>
            </w:r>
          </w:p>
        </w:tc>
        <w:tc>
          <w:tcPr>
            <w:tcW w:w="1080" w:type="dxa"/>
            <w:vAlign w:val="bottom"/>
            <w:gridSpan w:val="2"/>
            <w:shd w:val="clear" w:color="auto" w:fill="CCEEFF"/>
          </w:tcPr>
          <w:p>
            <w:pPr>
              <w:jc w:val="right"/>
              <w:ind w:right="320"/>
              <w:spacing w:after="0" w:line="122" w:lineRule="exact"/>
              <w:rPr>
                <w:sz w:val="20"/>
                <w:szCs w:val="20"/>
                <w:color w:val="auto"/>
              </w:rPr>
            </w:pPr>
            <w:r>
              <w:rPr>
                <w:rFonts w:ascii="Arial" w:cs="Arial" w:eastAsia="Arial" w:hAnsi="Arial"/>
                <w:sz w:val="13"/>
                <w:szCs w:val="13"/>
                <w:color w:val="auto"/>
              </w:rPr>
              <w:t>L+1,300</w:t>
            </w:r>
          </w:p>
        </w:tc>
        <w:tc>
          <w:tcPr>
            <w:tcW w:w="740" w:type="dxa"/>
            <w:vAlign w:val="bottom"/>
            <w:gridSpan w:val="2"/>
            <w:shd w:val="clear" w:color="auto" w:fill="CCEEFF"/>
          </w:tcPr>
          <w:p>
            <w:pPr>
              <w:jc w:val="right"/>
              <w:ind w:right="120"/>
              <w:spacing w:after="0" w:line="122" w:lineRule="exact"/>
              <w:rPr>
                <w:sz w:val="20"/>
                <w:szCs w:val="20"/>
                <w:color w:val="auto"/>
              </w:rPr>
            </w:pPr>
            <w:r>
              <w:rPr>
                <w:rFonts w:ascii="Arial" w:cs="Arial" w:eastAsia="Arial" w:hAnsi="Arial"/>
                <w:sz w:val="13"/>
                <w:szCs w:val="13"/>
                <w:color w:val="auto"/>
                <w:w w:val="92"/>
              </w:rPr>
              <w:t>26,516,321</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260"/>
              <w:spacing w:after="0" w:line="122" w:lineRule="exact"/>
              <w:rPr>
                <w:sz w:val="20"/>
                <w:szCs w:val="20"/>
                <w:color w:val="auto"/>
              </w:rPr>
            </w:pPr>
            <w:r>
              <w:rPr>
                <w:rFonts w:ascii="Arial" w:cs="Arial" w:eastAsia="Arial" w:hAnsi="Arial"/>
                <w:sz w:val="13"/>
                <w:szCs w:val="13"/>
                <w:color w:val="auto"/>
              </w:rPr>
              <w:t>24,942,081</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3"/>
                <w:szCs w:val="13"/>
                <w:color w:val="auto"/>
              </w:rPr>
              <w:t>26,516,321</w:t>
            </w:r>
          </w:p>
        </w:tc>
        <w:tc>
          <w:tcPr>
            <w:tcW w:w="0" w:type="dxa"/>
            <w:vAlign w:val="bottom"/>
          </w:tcPr>
          <w:p>
            <w:pPr>
              <w:spacing w:after="0"/>
              <w:rPr>
                <w:sz w:val="1"/>
                <w:szCs w:val="1"/>
                <w:color w:val="auto"/>
              </w:rPr>
            </w:pPr>
          </w:p>
        </w:tc>
      </w:tr>
      <w:tr>
        <w:trPr>
          <w:trHeight w:val="163"/>
        </w:trPr>
        <w:tc>
          <w:tcPr>
            <w:tcW w:w="3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w w:val="95"/>
              </w:rPr>
              <w:t>(PIK 14.00%)</w:t>
            </w:r>
          </w:p>
        </w:tc>
        <w:tc>
          <w:tcPr>
            <w:tcW w:w="7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4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First Lien Secured Debt</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6"/>
              </w:rPr>
              <w:t>110,817,723</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96,996,406</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Second Lien Secured Debt—0.9%</w:t>
            </w: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4040" w:type="dxa"/>
            <w:vAlign w:val="bottom"/>
            <w:gridSpan w:val="2"/>
          </w:tcPr>
          <w:p>
            <w:pPr>
              <w:spacing w:after="0" w:line="121" w:lineRule="exact"/>
              <w:rPr>
                <w:sz w:val="20"/>
                <w:szCs w:val="20"/>
                <w:color w:val="auto"/>
              </w:rPr>
            </w:pPr>
            <w:r>
              <w:rPr>
                <w:rFonts w:ascii="Arial" w:cs="Arial" w:eastAsia="Arial" w:hAnsi="Arial"/>
                <w:sz w:val="13"/>
                <w:szCs w:val="13"/>
                <w:color w:val="auto"/>
              </w:rPr>
              <w:t>Superior Digital Displays, LLC</w:t>
            </w:r>
          </w:p>
        </w:tc>
        <w:tc>
          <w:tcPr>
            <w:tcW w:w="580" w:type="dxa"/>
            <w:vAlign w:val="bottom"/>
          </w:tcPr>
          <w:p>
            <w:pPr>
              <w:jc w:val="center"/>
              <w:spacing w:after="0" w:line="121" w:lineRule="exact"/>
              <w:rPr>
                <w:sz w:val="20"/>
                <w:szCs w:val="20"/>
                <w:color w:val="auto"/>
              </w:rPr>
            </w:pPr>
            <w:r>
              <w:rPr>
                <w:rFonts w:ascii="Arial" w:cs="Arial" w:eastAsia="Arial" w:hAnsi="Arial"/>
                <w:sz w:val="13"/>
                <w:szCs w:val="13"/>
                <w:color w:val="auto"/>
                <w:w w:val="89"/>
              </w:rPr>
              <w:t>07/01/2019</w:t>
            </w:r>
          </w:p>
        </w:tc>
        <w:tc>
          <w:tcPr>
            <w:tcW w:w="200" w:type="dxa"/>
            <w:vAlign w:val="bottom"/>
          </w:tcPr>
          <w:p>
            <w:pPr>
              <w:spacing w:after="0"/>
              <w:rPr>
                <w:sz w:val="10"/>
                <w:szCs w:val="10"/>
                <w:color w:val="auto"/>
              </w:rPr>
            </w:pPr>
          </w:p>
        </w:tc>
        <w:tc>
          <w:tcPr>
            <w:tcW w:w="1560" w:type="dxa"/>
            <w:vAlign w:val="bottom"/>
            <w:gridSpan w:val="2"/>
          </w:tcPr>
          <w:p>
            <w:pPr>
              <w:jc w:val="center"/>
              <w:ind w:right="280"/>
              <w:spacing w:after="0" w:line="121" w:lineRule="exact"/>
              <w:rPr>
                <w:sz w:val="20"/>
                <w:szCs w:val="20"/>
                <w:color w:val="auto"/>
              </w:rPr>
            </w:pPr>
            <w:r>
              <w:rPr>
                <w:rFonts w:ascii="Arial" w:cs="Arial" w:eastAsia="Arial" w:hAnsi="Arial"/>
                <w:sz w:val="13"/>
                <w:szCs w:val="13"/>
                <w:color w:val="auto"/>
                <w:w w:val="90"/>
              </w:rPr>
              <w:t>Media</w:t>
            </w:r>
          </w:p>
        </w:tc>
        <w:tc>
          <w:tcPr>
            <w:tcW w:w="98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16.00%</w:t>
            </w:r>
          </w:p>
        </w:tc>
        <w:tc>
          <w:tcPr>
            <w:tcW w:w="1080" w:type="dxa"/>
            <w:vAlign w:val="bottom"/>
            <w:gridSpan w:val="2"/>
          </w:tcPr>
          <w:p>
            <w:pPr>
              <w:jc w:val="right"/>
              <w:ind w:right="320"/>
              <w:spacing w:after="0" w:line="121" w:lineRule="exact"/>
              <w:rPr>
                <w:sz w:val="20"/>
                <w:szCs w:val="20"/>
                <w:color w:val="auto"/>
              </w:rPr>
            </w:pPr>
            <w:r>
              <w:rPr>
                <w:rFonts w:ascii="Arial" w:cs="Arial" w:eastAsia="Arial" w:hAnsi="Arial"/>
                <w:sz w:val="13"/>
                <w:szCs w:val="13"/>
                <w:color w:val="auto"/>
              </w:rPr>
              <w:t>L+1,500</w:t>
            </w:r>
          </w:p>
        </w:tc>
        <w:tc>
          <w:tcPr>
            <w:tcW w:w="740" w:type="dxa"/>
            <w:vAlign w:val="bottom"/>
            <w:gridSpan w:val="2"/>
          </w:tcPr>
          <w:p>
            <w:pPr>
              <w:jc w:val="right"/>
              <w:ind w:right="120"/>
              <w:spacing w:after="0" w:line="121" w:lineRule="exact"/>
              <w:rPr>
                <w:sz w:val="20"/>
                <w:szCs w:val="20"/>
                <w:color w:val="auto"/>
              </w:rPr>
            </w:pPr>
            <w:r>
              <w:rPr>
                <w:rFonts w:ascii="Arial" w:cs="Arial" w:eastAsia="Arial" w:hAnsi="Arial"/>
                <w:sz w:val="13"/>
                <w:szCs w:val="13"/>
                <w:color w:val="auto"/>
              </w:rPr>
              <w:t>6,105,815</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tcPr>
          <w:p>
            <w:pPr>
              <w:jc w:val="right"/>
              <w:ind w:right="260"/>
              <w:spacing w:after="0" w:line="121" w:lineRule="exact"/>
              <w:rPr>
                <w:sz w:val="20"/>
                <w:szCs w:val="20"/>
                <w:color w:val="auto"/>
              </w:rPr>
            </w:pPr>
            <w:r>
              <w:rPr>
                <w:rFonts w:ascii="Arial" w:cs="Arial" w:eastAsia="Arial" w:hAnsi="Arial"/>
                <w:sz w:val="13"/>
                <w:szCs w:val="13"/>
                <w:color w:val="auto"/>
              </w:rPr>
              <w:t>6,105,815</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5,920,164</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3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3"/>
                <w:szCs w:val="13"/>
                <w:color w:val="auto"/>
                <w:w w:val="95"/>
              </w:rPr>
              <w:t>(PIK 16.00%)</w:t>
            </w: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0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Preferred Equity—1.5% </w:t>
            </w:r>
            <w:r>
              <w:rPr>
                <w:rFonts w:ascii="Arial" w:cs="Arial" w:eastAsia="Arial" w:hAnsi="Arial"/>
                <w:sz w:val="10"/>
                <w:szCs w:val="10"/>
                <w:b w:val="1"/>
                <w:bCs w:val="1"/>
                <w:color w:val="auto"/>
              </w:rPr>
              <w:t>(6)</w:t>
            </w: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40" w:type="dxa"/>
            <w:vAlign w:val="bottom"/>
            <w:gridSpan w:val="2"/>
          </w:tcPr>
          <w:p>
            <w:pPr>
              <w:spacing w:after="0" w:line="135" w:lineRule="exact"/>
              <w:rPr>
                <w:sz w:val="20"/>
                <w:szCs w:val="20"/>
                <w:color w:val="auto"/>
              </w:rPr>
            </w:pPr>
            <w:r>
              <w:rPr>
                <w:rFonts w:ascii="Arial" w:cs="Arial" w:eastAsia="Arial" w:hAnsi="Arial"/>
                <w:sz w:val="13"/>
                <w:szCs w:val="13"/>
                <w:color w:val="auto"/>
              </w:rPr>
              <w:t>MidOcean JF Holdings Corp.</w:t>
            </w:r>
          </w:p>
        </w:tc>
        <w:tc>
          <w:tcPr>
            <w:tcW w:w="78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rPr>
              <w:t>—</w:t>
            </w:r>
          </w:p>
        </w:tc>
        <w:tc>
          <w:tcPr>
            <w:tcW w:w="1560" w:type="dxa"/>
            <w:vAlign w:val="bottom"/>
            <w:gridSpan w:val="2"/>
          </w:tcPr>
          <w:p>
            <w:pPr>
              <w:jc w:val="center"/>
              <w:ind w:right="280"/>
              <w:spacing w:after="0" w:line="135" w:lineRule="exact"/>
              <w:rPr>
                <w:sz w:val="20"/>
                <w:szCs w:val="20"/>
                <w:color w:val="auto"/>
              </w:rPr>
            </w:pPr>
            <w:r>
              <w:rPr>
                <w:rFonts w:ascii="Arial" w:cs="Arial" w:eastAsia="Arial" w:hAnsi="Arial"/>
                <w:sz w:val="13"/>
                <w:szCs w:val="13"/>
                <w:color w:val="auto"/>
                <w:w w:val="92"/>
              </w:rPr>
              <w:t>Distribution</w:t>
            </w:r>
          </w:p>
        </w:tc>
        <w:tc>
          <w:tcPr>
            <w:tcW w:w="9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143,183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14,318,325</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9,599,721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Superior Digital Displays Holdings, Inc.</w:t>
            </w:r>
          </w:p>
        </w:tc>
        <w:tc>
          <w:tcPr>
            <w:tcW w:w="78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rPr>
              <w:t>—</w:t>
            </w:r>
          </w:p>
        </w:tc>
        <w:tc>
          <w:tcPr>
            <w:tcW w:w="1560" w:type="dxa"/>
            <w:vAlign w:val="bottom"/>
            <w:gridSpan w:val="2"/>
            <w:shd w:val="clear" w:color="auto" w:fill="CCEEFF"/>
          </w:tcPr>
          <w:p>
            <w:pPr>
              <w:jc w:val="center"/>
              <w:ind w:right="280"/>
              <w:spacing w:after="0" w:line="135" w:lineRule="exact"/>
              <w:rPr>
                <w:sz w:val="20"/>
                <w:szCs w:val="20"/>
                <w:color w:val="auto"/>
              </w:rPr>
            </w:pPr>
            <w:r>
              <w:rPr>
                <w:rFonts w:ascii="Arial" w:cs="Arial" w:eastAsia="Arial" w:hAnsi="Arial"/>
                <w:sz w:val="13"/>
                <w:szCs w:val="13"/>
                <w:color w:val="auto"/>
                <w:w w:val="90"/>
              </w:rPr>
              <w:t>Media</w:t>
            </w:r>
          </w:p>
        </w:tc>
        <w:tc>
          <w:tcPr>
            <w:tcW w:w="9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15.00%</w:t>
            </w:r>
          </w:p>
        </w:tc>
        <w:tc>
          <w:tcPr>
            <w:tcW w:w="10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224,282</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10,600,000</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404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Preferred Equity</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24,918,325</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9,599,721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 xml:space="preserve">Common Equity—0.0% </w:t>
            </w:r>
            <w:r>
              <w:rPr>
                <w:rFonts w:ascii="Arial" w:cs="Arial" w:eastAsia="Arial" w:hAnsi="Arial"/>
                <w:sz w:val="10"/>
                <w:szCs w:val="10"/>
                <w:b w:val="1"/>
                <w:bCs w:val="1"/>
                <w:color w:val="auto"/>
              </w:rPr>
              <w:t>(6)</w:t>
            </w: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40" w:type="dxa"/>
            <w:vAlign w:val="bottom"/>
            <w:gridSpan w:val="2"/>
          </w:tcPr>
          <w:p>
            <w:pPr>
              <w:spacing w:after="0" w:line="135" w:lineRule="exact"/>
              <w:rPr>
                <w:sz w:val="20"/>
                <w:szCs w:val="20"/>
                <w:color w:val="auto"/>
              </w:rPr>
            </w:pPr>
            <w:r>
              <w:rPr>
                <w:rFonts w:ascii="Arial" w:cs="Arial" w:eastAsia="Arial" w:hAnsi="Arial"/>
                <w:sz w:val="13"/>
                <w:szCs w:val="13"/>
                <w:color w:val="auto"/>
              </w:rPr>
              <w:t>MidOcean JF Holdings Corp.</w:t>
            </w:r>
          </w:p>
        </w:tc>
        <w:tc>
          <w:tcPr>
            <w:tcW w:w="78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rPr>
              <w:t>—</w:t>
            </w:r>
          </w:p>
        </w:tc>
        <w:tc>
          <w:tcPr>
            <w:tcW w:w="1560" w:type="dxa"/>
            <w:vAlign w:val="bottom"/>
            <w:gridSpan w:val="2"/>
          </w:tcPr>
          <w:p>
            <w:pPr>
              <w:jc w:val="center"/>
              <w:ind w:right="280"/>
              <w:spacing w:after="0" w:line="135" w:lineRule="exact"/>
              <w:rPr>
                <w:sz w:val="20"/>
                <w:szCs w:val="20"/>
                <w:color w:val="auto"/>
              </w:rPr>
            </w:pPr>
            <w:r>
              <w:rPr>
                <w:rFonts w:ascii="Arial" w:cs="Arial" w:eastAsia="Arial" w:hAnsi="Arial"/>
                <w:sz w:val="13"/>
                <w:szCs w:val="13"/>
                <w:color w:val="auto"/>
                <w:w w:val="92"/>
              </w:rPr>
              <w:t>Distribution</w:t>
            </w:r>
          </w:p>
        </w:tc>
        <w:tc>
          <w:tcPr>
            <w:tcW w:w="9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65,933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24,761,831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0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RAM Energy Holdings LLC</w:t>
            </w:r>
          </w:p>
        </w:tc>
        <w:tc>
          <w:tcPr>
            <w:tcW w:w="780" w:type="dxa"/>
            <w:vAlign w:val="bottom"/>
            <w:gridSpan w:val="2"/>
            <w:shd w:val="clear" w:color="auto" w:fill="CCEEFF"/>
          </w:tcPr>
          <w:p>
            <w:pPr>
              <w:jc w:val="center"/>
              <w:ind w:right="200"/>
              <w:spacing w:after="0" w:line="135" w:lineRule="exact"/>
              <w:rPr>
                <w:sz w:val="20"/>
                <w:szCs w:val="20"/>
                <w:color w:val="auto"/>
              </w:rPr>
            </w:pPr>
            <w:r>
              <w:rPr>
                <w:rFonts w:ascii="Arial" w:cs="Arial" w:eastAsia="Arial" w:hAnsi="Arial"/>
                <w:sz w:val="13"/>
                <w:szCs w:val="13"/>
                <w:color w:val="auto"/>
              </w:rPr>
              <w:t>—</w:t>
            </w:r>
          </w:p>
        </w:tc>
        <w:tc>
          <w:tcPr>
            <w:tcW w:w="1560" w:type="dxa"/>
            <w:vAlign w:val="bottom"/>
            <w:gridSpan w:val="2"/>
            <w:shd w:val="clear" w:color="auto" w:fill="CCEEFF"/>
          </w:tcPr>
          <w:p>
            <w:pPr>
              <w:jc w:val="center"/>
              <w:ind w:right="300"/>
              <w:spacing w:after="0" w:line="135" w:lineRule="exact"/>
              <w:rPr>
                <w:sz w:val="20"/>
                <w:szCs w:val="20"/>
                <w:color w:val="auto"/>
              </w:rPr>
            </w:pPr>
            <w:r>
              <w:rPr>
                <w:rFonts w:ascii="Arial" w:cs="Arial" w:eastAsia="Arial" w:hAnsi="Arial"/>
                <w:sz w:val="13"/>
                <w:szCs w:val="13"/>
                <w:color w:val="auto"/>
                <w:w w:val="91"/>
              </w:rPr>
              <w:t>Energy and Utilities</w:t>
            </w:r>
          </w:p>
        </w:tc>
        <w:tc>
          <w:tcPr>
            <w:tcW w:w="98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23,141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20,824,388</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4040" w:type="dxa"/>
            <w:vAlign w:val="bottom"/>
            <w:gridSpan w:val="2"/>
          </w:tcPr>
          <w:p>
            <w:pPr>
              <w:spacing w:after="0" w:line="135" w:lineRule="exact"/>
              <w:rPr>
                <w:sz w:val="20"/>
                <w:szCs w:val="20"/>
                <w:color w:val="auto"/>
              </w:rPr>
            </w:pPr>
            <w:r>
              <w:rPr>
                <w:rFonts w:ascii="Arial" w:cs="Arial" w:eastAsia="Arial" w:hAnsi="Arial"/>
                <w:sz w:val="13"/>
                <w:szCs w:val="13"/>
                <w:color w:val="auto"/>
              </w:rPr>
              <w:t>Superior Digital Displays Holdings, Inc.</w:t>
            </w:r>
          </w:p>
        </w:tc>
        <w:tc>
          <w:tcPr>
            <w:tcW w:w="780" w:type="dxa"/>
            <w:vAlign w:val="bottom"/>
            <w:gridSpan w:val="2"/>
          </w:tcPr>
          <w:p>
            <w:pPr>
              <w:jc w:val="center"/>
              <w:ind w:right="200"/>
              <w:spacing w:after="0" w:line="135" w:lineRule="exact"/>
              <w:rPr>
                <w:sz w:val="20"/>
                <w:szCs w:val="20"/>
                <w:color w:val="auto"/>
              </w:rPr>
            </w:pPr>
            <w:r>
              <w:rPr>
                <w:rFonts w:ascii="Arial" w:cs="Arial" w:eastAsia="Arial" w:hAnsi="Arial"/>
                <w:sz w:val="13"/>
                <w:szCs w:val="13"/>
                <w:color w:val="auto"/>
              </w:rPr>
              <w:t>—</w:t>
            </w:r>
          </w:p>
        </w:tc>
        <w:tc>
          <w:tcPr>
            <w:tcW w:w="1560" w:type="dxa"/>
            <w:vAlign w:val="bottom"/>
            <w:gridSpan w:val="2"/>
          </w:tcPr>
          <w:p>
            <w:pPr>
              <w:jc w:val="center"/>
              <w:ind w:right="280"/>
              <w:spacing w:after="0" w:line="135" w:lineRule="exact"/>
              <w:rPr>
                <w:sz w:val="20"/>
                <w:szCs w:val="20"/>
                <w:color w:val="auto"/>
              </w:rPr>
            </w:pPr>
            <w:r>
              <w:rPr>
                <w:rFonts w:ascii="Arial" w:cs="Arial" w:eastAsia="Arial" w:hAnsi="Arial"/>
                <w:sz w:val="13"/>
                <w:szCs w:val="13"/>
                <w:color w:val="auto"/>
                <w:w w:val="90"/>
              </w:rPr>
              <w:t>Media</w:t>
            </w:r>
          </w:p>
        </w:tc>
        <w:tc>
          <w:tcPr>
            <w:tcW w:w="98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11,100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2,211,000</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0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Common Equity</w:t>
            </w: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47,797,219</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404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Investments in Controlled, Affiliated Portfolio Companies</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6"/>
              </w:rPr>
              <w:t>189,639,082</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6"/>
              </w:rPr>
              <w:t>112,516,291</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Investments—204.7%</w:t>
            </w: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w w:val="84"/>
              </w:rPr>
              <w:t>1,400,462,641</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4"/>
              </w:rPr>
              <w:t>1,325,543,779</w:t>
            </w:r>
          </w:p>
        </w:tc>
        <w:tc>
          <w:tcPr>
            <w:tcW w:w="0" w:type="dxa"/>
            <w:vAlign w:val="bottom"/>
          </w:tcPr>
          <w:p>
            <w:pPr>
              <w:spacing w:after="0"/>
              <w:rPr>
                <w:sz w:val="1"/>
                <w:szCs w:val="1"/>
                <w:color w:val="auto"/>
              </w:rPr>
            </w:pPr>
          </w:p>
        </w:tc>
      </w:tr>
      <w:tr>
        <w:trPr>
          <w:trHeight w:val="142"/>
        </w:trPr>
        <w:tc>
          <w:tcPr>
            <w:tcW w:w="404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Cash and Cash Equivalents—7.0%</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BlackRock Federal FD Instl 30</w:t>
            </w: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9,893,987</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9,893,987</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40" w:type="dxa"/>
            <w:vAlign w:val="bottom"/>
            <w:gridSpan w:val="2"/>
          </w:tcPr>
          <w:p>
            <w:pPr>
              <w:spacing w:after="0" w:line="135" w:lineRule="exact"/>
              <w:rPr>
                <w:sz w:val="20"/>
                <w:szCs w:val="20"/>
                <w:color w:val="auto"/>
              </w:rPr>
            </w:pPr>
            <w:r>
              <w:rPr>
                <w:rFonts w:ascii="Arial" w:cs="Arial" w:eastAsia="Arial" w:hAnsi="Arial"/>
                <w:sz w:val="13"/>
                <w:szCs w:val="13"/>
                <w:color w:val="auto"/>
              </w:rPr>
              <w:t>BNY Mellon Cash Reserve and Cash</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right"/>
              <w:ind w:right="260"/>
              <w:spacing w:after="0" w:line="135" w:lineRule="exact"/>
              <w:rPr>
                <w:sz w:val="20"/>
                <w:szCs w:val="20"/>
                <w:color w:val="auto"/>
              </w:rPr>
            </w:pPr>
            <w:r>
              <w:rPr>
                <w:rFonts w:ascii="Arial" w:cs="Arial" w:eastAsia="Arial" w:hAnsi="Arial"/>
                <w:sz w:val="13"/>
                <w:szCs w:val="13"/>
                <w:color w:val="auto"/>
              </w:rPr>
              <w:t>35,441,238</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3"/>
          </w:tcPr>
          <w:p>
            <w:pPr>
              <w:jc w:val="right"/>
              <w:ind w:right="80"/>
              <w:spacing w:after="0" w:line="135" w:lineRule="exact"/>
              <w:rPr>
                <w:sz w:val="20"/>
                <w:szCs w:val="20"/>
                <w:color w:val="auto"/>
              </w:rPr>
            </w:pPr>
            <w:r>
              <w:rPr>
                <w:rFonts w:ascii="Arial" w:cs="Arial" w:eastAsia="Arial" w:hAnsi="Arial"/>
                <w:sz w:val="13"/>
                <w:szCs w:val="13"/>
                <w:color w:val="auto"/>
              </w:rPr>
              <w:t>35,446,589</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760" w:type="dxa"/>
            <w:vAlign w:val="bottom"/>
          </w:tcPr>
          <w:p>
            <w:pPr>
              <w:spacing w:after="0"/>
              <w:rPr>
                <w:sz w:val="2"/>
                <w:szCs w:val="2"/>
                <w:color w:val="auto"/>
              </w:rPr>
            </w:pPr>
          </w:p>
        </w:tc>
        <w:tc>
          <w:tcPr>
            <w:tcW w:w="3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40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Cash and Cash Equivalents</w:t>
            </w: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45,335,225</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45,340,576</w:t>
            </w:r>
          </w:p>
        </w:tc>
        <w:tc>
          <w:tcPr>
            <w:tcW w:w="0" w:type="dxa"/>
            <w:vAlign w:val="bottom"/>
          </w:tcPr>
          <w:p>
            <w:pPr>
              <w:spacing w:after="0"/>
              <w:rPr>
                <w:sz w:val="1"/>
                <w:szCs w:val="1"/>
                <w:color w:val="auto"/>
              </w:rPr>
            </w:pPr>
          </w:p>
        </w:tc>
      </w:tr>
      <w:tr>
        <w:trPr>
          <w:trHeight w:val="142"/>
        </w:trPr>
        <w:tc>
          <w:tcPr>
            <w:tcW w:w="404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Investments and Cash Equivalents—211.7%</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u w:val="single" w:color="auto"/>
                <w:color w:val="auto"/>
                <w:w w:val="82"/>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4"/>
              </w:rPr>
              <w:t>1,445,797,866</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u w:val="single" w:color="auto"/>
                <w:color w:val="auto"/>
                <w:w w:val="70"/>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4"/>
              </w:rPr>
              <w:t>1,370,884,355</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04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Liabilities in Excess of Other Assets—(111.7%)</w:t>
            </w:r>
          </w:p>
        </w:tc>
        <w:tc>
          <w:tcPr>
            <w:tcW w:w="5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0" w:type="dxa"/>
            <w:vAlign w:val="bottom"/>
            <w:gridSpan w:val="3"/>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w w:val="91"/>
              </w:rPr>
              <w:t>(723,365,406)</w:t>
            </w:r>
          </w:p>
        </w:tc>
        <w:tc>
          <w:tcPr>
            <w:tcW w:w="0" w:type="dxa"/>
            <w:vAlign w:val="bottom"/>
          </w:tcPr>
          <w:p>
            <w:pPr>
              <w:spacing w:after="0"/>
              <w:rPr>
                <w:sz w:val="1"/>
                <w:szCs w:val="1"/>
                <w:color w:val="auto"/>
              </w:rPr>
            </w:pPr>
          </w:p>
        </w:tc>
      </w:tr>
      <w:tr>
        <w:trPr>
          <w:trHeight w:val="135"/>
        </w:trPr>
        <w:tc>
          <w:tcPr>
            <w:tcW w:w="404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rPr>
              <w:t>Net Assets—100.0%</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gridSpan w:val="2"/>
          </w:tcPr>
          <w:p>
            <w:pPr>
              <w:jc w:val="right"/>
              <w:ind w:right="20"/>
              <w:spacing w:after="0" w:line="135" w:lineRule="exact"/>
              <w:rPr>
                <w:sz w:val="20"/>
                <w:szCs w:val="20"/>
                <w:color w:val="auto"/>
              </w:rPr>
            </w:pPr>
            <w:r>
              <w:rPr>
                <w:rFonts w:ascii="Arial" w:cs="Arial" w:eastAsia="Arial" w:hAnsi="Arial"/>
                <w:sz w:val="13"/>
                <w:szCs w:val="13"/>
                <w:color w:val="auto"/>
                <w:w w:val="96"/>
              </w:rPr>
              <w:t>647,518,949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8516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76" w:lineRule="exact"/>
        <w:rPr>
          <w:sz w:val="20"/>
          <w:szCs w:val="20"/>
          <w:color w:val="auto"/>
        </w:rPr>
      </w:pPr>
    </w:p>
    <w:p>
      <w:pPr>
        <w:ind w:left="340" w:right="40" w:hanging="332"/>
        <w:spacing w:after="0" w:line="243"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340" w:right="4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ind w:left="34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340" w:right="22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London Interbank Offered Rate, or LIBOR or “L,” or Prime rate, or “P.” All securities are subject to a LIBOR or Prime rate floor where a spread is provided, unless noted. The spread provided includes payment-in-kind, or PIK, interest and other fee rates, if any.</w:t>
      </w:r>
    </w:p>
    <w:p>
      <w:pPr>
        <w:ind w:left="340" w:right="40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ind w:left="34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34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ind w:left="340" w:hanging="332"/>
        <w:spacing w:after="0"/>
        <w:tabs>
          <w:tab w:leader="none" w:pos="340" w:val="left"/>
        </w:tabs>
        <w:numPr>
          <w:ilvl w:val="0"/>
          <w:numId w:val="3"/>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34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U.S.</w:t>
      </w:r>
    </w:p>
    <w:p>
      <w:pPr>
        <w:ind w:left="34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Investment is held through our Taxable Subsidiaries (See Note 1).</w:t>
      </w:r>
    </w:p>
    <w:p>
      <w:pPr>
        <w:ind w:left="340" w:hanging="332"/>
        <w:spacing w:after="0" w:line="234"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Par amount is denominated in British Pounds (£) or in Euros (€) as denoted.</w:t>
      </w:r>
    </w:p>
    <w:p>
      <w:pPr>
        <w:ind w:left="340" w:right="60" w:hanging="332"/>
        <w:spacing w:after="0" w:line="237"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ectPr>
          <w:pgSz w:w="11900" w:h="16838" w:orient="portrait"/>
          <w:cols w:equalWidth="0" w:num="1">
            <w:col w:w="11240"/>
          </w:cols>
          <w:pgMar w:left="320" w:top="459"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00" w:type="dxa"/>
            <w:vAlign w:val="bottom"/>
          </w:tcPr>
          <w:p>
            <w:pPr>
              <w:spacing w:after="0"/>
              <w:rPr>
                <w:sz w:val="13"/>
                <w:szCs w:val="13"/>
                <w:color w:val="auto"/>
              </w:rPr>
            </w:pPr>
          </w:p>
        </w:tc>
        <w:tc>
          <w:tcPr>
            <w:tcW w:w="940" w:type="dxa"/>
            <w:vAlign w:val="bottom"/>
            <w:vMerge w:val="restart"/>
          </w:tcPr>
          <w:p>
            <w:pPr>
              <w:ind w:left="240"/>
              <w:spacing w:after="0"/>
              <w:rPr>
                <w:sz w:val="20"/>
                <w:szCs w:val="20"/>
                <w:color w:val="auto"/>
              </w:rPr>
            </w:pPr>
            <w:r>
              <w:rPr>
                <w:rFonts w:ascii="Arial" w:cs="Arial" w:eastAsia="Arial" w:hAnsi="Arial"/>
                <w:sz w:val="13"/>
                <w:szCs w:val="13"/>
                <w:b w:val="1"/>
                <w:bCs w:val="1"/>
                <w:color w:val="auto"/>
              </w:rPr>
              <w:t>Maturity /</w:t>
            </w:r>
          </w:p>
        </w:tc>
        <w:tc>
          <w:tcPr>
            <w:tcW w:w="29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4"/>
              </w:rPr>
              <w:t>Basis Point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9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2900" w:type="dxa"/>
            <w:vAlign w:val="bottom"/>
          </w:tcPr>
          <w:p>
            <w:pPr>
              <w:spacing w:after="0"/>
              <w:rPr>
                <w:sz w:val="10"/>
                <w:szCs w:val="10"/>
                <w:color w:val="auto"/>
              </w:rPr>
            </w:pPr>
          </w:p>
        </w:tc>
        <w:tc>
          <w:tcPr>
            <w:tcW w:w="920" w:type="dxa"/>
            <w:vAlign w:val="bottom"/>
          </w:tcPr>
          <w:p>
            <w:pPr>
              <w:jc w:val="right"/>
              <w:ind w:right="237"/>
              <w:spacing w:after="0" w:line="126" w:lineRule="exact"/>
              <w:rPr>
                <w:sz w:val="20"/>
                <w:szCs w:val="20"/>
                <w:color w:val="auto"/>
              </w:rPr>
            </w:pPr>
            <w:r>
              <w:rPr>
                <w:rFonts w:ascii="Arial" w:cs="Arial" w:eastAsia="Arial" w:hAnsi="Arial"/>
                <w:sz w:val="13"/>
                <w:szCs w:val="13"/>
                <w:b w:val="1"/>
                <w:bCs w:val="1"/>
                <w:color w:val="auto"/>
              </w:rPr>
              <w:t>Current</w:t>
            </w:r>
          </w:p>
        </w:tc>
        <w:tc>
          <w:tcPr>
            <w:tcW w:w="1040" w:type="dxa"/>
            <w:vAlign w:val="bottom"/>
            <w:gridSpan w:val="2"/>
          </w:tcPr>
          <w:p>
            <w:pPr>
              <w:jc w:val="center"/>
              <w:ind w:right="120"/>
              <w:spacing w:after="0" w:line="126" w:lineRule="exact"/>
              <w:rPr>
                <w:sz w:val="20"/>
                <w:szCs w:val="20"/>
                <w:color w:val="auto"/>
              </w:rPr>
            </w:pPr>
            <w:r>
              <w:rPr>
                <w:rFonts w:ascii="Arial" w:cs="Arial" w:eastAsia="Arial" w:hAnsi="Arial"/>
                <w:sz w:val="13"/>
                <w:szCs w:val="13"/>
                <w:b w:val="1"/>
                <w:bCs w:val="1"/>
                <w:color w:val="auto"/>
                <w:w w:val="86"/>
              </w:rPr>
              <w:t>Spread Above</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280"/>
              <w:spacing w:after="0" w:line="126" w:lineRule="exact"/>
              <w:rPr>
                <w:sz w:val="20"/>
                <w:szCs w:val="20"/>
                <w:color w:val="auto"/>
              </w:rPr>
            </w:pPr>
            <w:r>
              <w:rPr>
                <w:rFonts w:ascii="Arial" w:cs="Arial" w:eastAsia="Arial" w:hAnsi="Arial"/>
                <w:sz w:val="13"/>
                <w:szCs w:val="13"/>
                <w:b w:val="1"/>
                <w:bCs w:val="1"/>
                <w:color w:val="auto"/>
              </w:rPr>
              <w:t>Par /</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900" w:type="dxa"/>
            <w:vAlign w:val="bottom"/>
          </w:tcPr>
          <w:p>
            <w:pPr>
              <w:spacing w:after="0"/>
              <w:rPr>
                <w:sz w:val="20"/>
                <w:szCs w:val="20"/>
                <w:color w:val="auto"/>
              </w:rPr>
            </w:pPr>
            <w:r>
              <w:rPr>
                <w:rFonts w:ascii="Arial" w:cs="Arial" w:eastAsia="Arial" w:hAnsi="Arial"/>
                <w:sz w:val="13"/>
                <w:szCs w:val="13"/>
                <w:b w:val="1"/>
                <w:bCs w:val="1"/>
                <w:color w:val="auto"/>
              </w:rPr>
              <w:t>Issuer Name</w:t>
            </w:r>
          </w:p>
        </w:tc>
        <w:tc>
          <w:tcPr>
            <w:tcW w:w="940" w:type="dxa"/>
            <w:vAlign w:val="bottom"/>
          </w:tcPr>
          <w:p>
            <w:pPr>
              <w:ind w:left="220"/>
              <w:spacing w:after="0"/>
              <w:rPr>
                <w:sz w:val="20"/>
                <w:szCs w:val="20"/>
                <w:color w:val="auto"/>
              </w:rPr>
            </w:pPr>
            <w:r>
              <w:rPr>
                <w:rFonts w:ascii="Arial" w:cs="Arial" w:eastAsia="Arial" w:hAnsi="Arial"/>
                <w:sz w:val="13"/>
                <w:szCs w:val="13"/>
                <w:b w:val="1"/>
                <w:bCs w:val="1"/>
                <w:color w:val="auto"/>
              </w:rPr>
              <w:t>Expiration</w:t>
            </w:r>
          </w:p>
        </w:tc>
        <w:tc>
          <w:tcPr>
            <w:tcW w:w="2900" w:type="dxa"/>
            <w:vAlign w:val="bottom"/>
          </w:tcPr>
          <w:p>
            <w:pPr>
              <w:jc w:val="center"/>
              <w:spacing w:after="0"/>
              <w:rPr>
                <w:sz w:val="20"/>
                <w:szCs w:val="20"/>
                <w:color w:val="auto"/>
              </w:rPr>
            </w:pPr>
            <w:r>
              <w:rPr>
                <w:rFonts w:ascii="Arial" w:cs="Arial" w:eastAsia="Arial" w:hAnsi="Arial"/>
                <w:sz w:val="13"/>
                <w:szCs w:val="13"/>
                <w:b w:val="1"/>
                <w:bCs w:val="1"/>
                <w:color w:val="auto"/>
                <w:w w:val="89"/>
              </w:rPr>
              <w:t>Industry</w:t>
            </w:r>
          </w:p>
        </w:tc>
        <w:tc>
          <w:tcPr>
            <w:tcW w:w="920" w:type="dxa"/>
            <w:vAlign w:val="bottom"/>
          </w:tcPr>
          <w:p>
            <w:pPr>
              <w:jc w:val="right"/>
              <w:ind w:right="237"/>
              <w:spacing w:after="0"/>
              <w:rPr>
                <w:sz w:val="20"/>
                <w:szCs w:val="20"/>
                <w:color w:val="auto"/>
              </w:rPr>
            </w:pPr>
            <w:r>
              <w:rPr>
                <w:rFonts w:ascii="Arial" w:cs="Arial" w:eastAsia="Arial" w:hAnsi="Arial"/>
                <w:sz w:val="13"/>
                <w:szCs w:val="13"/>
                <w:b w:val="1"/>
                <w:bCs w:val="1"/>
                <w:color w:val="auto"/>
              </w:rPr>
              <w:t>Coupon</w:t>
            </w:r>
          </w:p>
        </w:tc>
        <w:tc>
          <w:tcPr>
            <w:tcW w:w="10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6"/>
              </w:rPr>
              <w:t xml:space="preserve">Index </w:t>
            </w:r>
            <w:r>
              <w:rPr>
                <w:rFonts w:ascii="Arial" w:cs="Arial" w:eastAsia="Arial" w:hAnsi="Arial"/>
                <w:sz w:val="10"/>
                <w:szCs w:val="10"/>
                <w:b w:val="1"/>
                <w:bCs w:val="1"/>
                <w:color w:val="auto"/>
                <w:w w:val="96"/>
              </w:rPr>
              <w:t>(4)</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92"/>
              </w:rPr>
              <w:t>Shares</w:t>
            </w:r>
          </w:p>
        </w:tc>
        <w:tc>
          <w:tcPr>
            <w:tcW w:w="140" w:type="dxa"/>
            <w:vAlign w:val="bottom"/>
          </w:tcPr>
          <w:p>
            <w:pPr>
              <w:spacing w:after="0"/>
              <w:rPr>
                <w:sz w:val="14"/>
                <w:szCs w:val="14"/>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Cost</w:t>
            </w:r>
          </w:p>
        </w:tc>
        <w:tc>
          <w:tcPr>
            <w:tcW w:w="780" w:type="dxa"/>
            <w:vAlign w:val="bottom"/>
            <w:gridSpan w:val="3"/>
          </w:tcPr>
          <w:p>
            <w:pPr>
              <w:spacing w:after="0"/>
              <w:rPr>
                <w:sz w:val="20"/>
                <w:szCs w:val="20"/>
                <w:color w:val="auto"/>
              </w:rPr>
            </w:pPr>
            <w:r>
              <w:rPr>
                <w:rFonts w:ascii="Arial" w:cs="Arial" w:eastAsia="Arial" w:hAnsi="Arial"/>
                <w:sz w:val="13"/>
                <w:szCs w:val="13"/>
                <w:b w:val="1"/>
                <w:bCs w:val="1"/>
                <w:color w:val="auto"/>
                <w:w w:val="97"/>
              </w:rPr>
              <w:t xml:space="preserve">Fair Value </w:t>
            </w:r>
            <w:r>
              <w:rPr>
                <w:rFonts w:ascii="Arial" w:cs="Arial" w:eastAsia="Arial" w:hAnsi="Arial"/>
                <w:sz w:val="10"/>
                <w:szCs w:val="10"/>
                <w:b w:val="1"/>
                <w:bCs w:val="1"/>
                <w:color w:val="auto"/>
                <w:w w:val="97"/>
              </w:rPr>
              <w:t>(3)</w:t>
            </w:r>
          </w:p>
        </w:tc>
        <w:tc>
          <w:tcPr>
            <w:tcW w:w="0" w:type="dxa"/>
            <w:vAlign w:val="bottom"/>
          </w:tcPr>
          <w:p>
            <w:pPr>
              <w:spacing w:after="0"/>
              <w:rPr>
                <w:sz w:val="1"/>
                <w:szCs w:val="1"/>
                <w:color w:val="auto"/>
              </w:rPr>
            </w:pPr>
          </w:p>
        </w:tc>
      </w:tr>
      <w:tr>
        <w:trPr>
          <w:trHeight w:val="128"/>
        </w:trPr>
        <w:tc>
          <w:tcPr>
            <w:tcW w:w="6740" w:type="dxa"/>
            <w:vAlign w:val="bottom"/>
            <w:tcBorders>
              <w:top w:val="single" w:sz="8" w:color="auto"/>
            </w:tcBorders>
            <w:gridSpan w:val="3"/>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 xml:space="preserve">Investments in Non-Controlled, Non-Affiliated Portfolio Companies—126.4% </w:t>
            </w:r>
            <w:r>
              <w:rPr>
                <w:rFonts w:ascii="Arial" w:cs="Arial" w:eastAsia="Arial" w:hAnsi="Arial"/>
                <w:sz w:val="10"/>
                <w:szCs w:val="10"/>
                <w:b w:val="1"/>
                <w:bCs w:val="1"/>
                <w:color w:val="auto"/>
              </w:rPr>
              <w:t>(1), (2)</w:t>
            </w:r>
          </w:p>
        </w:tc>
        <w:tc>
          <w:tcPr>
            <w:tcW w:w="92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right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00" w:type="dxa"/>
            <w:vAlign w:val="bottom"/>
          </w:tcPr>
          <w:p>
            <w:pPr>
              <w:spacing w:after="0" w:line="135" w:lineRule="exact"/>
              <w:rPr>
                <w:sz w:val="20"/>
                <w:szCs w:val="20"/>
                <w:color w:val="auto"/>
              </w:rPr>
            </w:pPr>
            <w:r>
              <w:rPr>
                <w:rFonts w:ascii="Arial" w:cs="Arial" w:eastAsia="Arial" w:hAnsi="Arial"/>
                <w:sz w:val="13"/>
                <w:szCs w:val="13"/>
                <w:b w:val="1"/>
                <w:bCs w:val="1"/>
                <w:color w:val="auto"/>
              </w:rPr>
              <w:t>First Lien Secured Debt—38.7%</w:t>
            </w:r>
          </w:p>
        </w:tc>
        <w:tc>
          <w:tcPr>
            <w:tcW w:w="94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AP Gaming I, LLC</w:t>
            </w:r>
          </w:p>
        </w:tc>
        <w:tc>
          <w:tcPr>
            <w:tcW w:w="940" w:type="dxa"/>
            <w:vAlign w:val="bottom"/>
            <w:shd w:val="clear" w:color="auto" w:fill="CCEEFF"/>
          </w:tcPr>
          <w:p>
            <w:pPr>
              <w:jc w:val="center"/>
              <w:ind w:left="17"/>
              <w:spacing w:after="0" w:line="135" w:lineRule="exact"/>
              <w:rPr>
                <w:sz w:val="20"/>
                <w:szCs w:val="20"/>
                <w:color w:val="auto"/>
              </w:rPr>
            </w:pPr>
            <w:r>
              <w:rPr>
                <w:rFonts w:ascii="Arial" w:cs="Arial" w:eastAsia="Arial" w:hAnsi="Arial"/>
                <w:sz w:val="13"/>
                <w:szCs w:val="13"/>
                <w:color w:val="auto"/>
                <w:w w:val="89"/>
              </w:rPr>
              <w:t>12/21/2020</w:t>
            </w:r>
          </w:p>
        </w:tc>
        <w:tc>
          <w:tcPr>
            <w:tcW w:w="2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Hotels, Motels, Inns and Gaming</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9.25%</w:t>
            </w:r>
          </w:p>
        </w:tc>
        <w:tc>
          <w:tcPr>
            <w:tcW w:w="10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L+825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82"/>
              </w:rPr>
              <w:t>23,333,361</w:t>
            </w:r>
          </w:p>
        </w:tc>
        <w:tc>
          <w:tcPr>
            <w:tcW w:w="14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95"/>
              </w:rPr>
              <w:t>23,071,460</w:t>
            </w:r>
          </w:p>
        </w:tc>
        <w:tc>
          <w:tcPr>
            <w:tcW w:w="8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5"/>
              </w:rPr>
              <w:t>22,210,559</w:t>
            </w:r>
          </w:p>
        </w:tc>
        <w:tc>
          <w:tcPr>
            <w:tcW w:w="0" w:type="dxa"/>
            <w:vAlign w:val="bottom"/>
          </w:tcPr>
          <w:p>
            <w:pPr>
              <w:spacing w:after="0"/>
              <w:rPr>
                <w:sz w:val="1"/>
                <w:szCs w:val="1"/>
                <w:color w:val="auto"/>
              </w:rPr>
            </w:pPr>
          </w:p>
        </w:tc>
      </w:tr>
      <w:tr>
        <w:trPr>
          <w:trHeight w:val="135"/>
        </w:trPr>
        <w:tc>
          <w:tcPr>
            <w:tcW w:w="2900" w:type="dxa"/>
            <w:vAlign w:val="bottom"/>
          </w:tcPr>
          <w:p>
            <w:pPr>
              <w:spacing w:after="0" w:line="135" w:lineRule="exact"/>
              <w:rPr>
                <w:sz w:val="20"/>
                <w:szCs w:val="20"/>
                <w:color w:val="auto"/>
              </w:rPr>
            </w:pPr>
            <w:r>
              <w:rPr>
                <w:rFonts w:ascii="Arial" w:cs="Arial" w:eastAsia="Arial" w:hAnsi="Arial"/>
                <w:sz w:val="13"/>
                <w:szCs w:val="13"/>
                <w:color w:val="auto"/>
              </w:rPr>
              <w:t>Broder Bros., Co., Tranche A</w:t>
            </w:r>
          </w:p>
        </w:tc>
        <w:tc>
          <w:tcPr>
            <w:tcW w:w="940" w:type="dxa"/>
            <w:vAlign w:val="bottom"/>
          </w:tcPr>
          <w:p>
            <w:pPr>
              <w:jc w:val="center"/>
              <w:ind w:left="17"/>
              <w:spacing w:after="0" w:line="135" w:lineRule="exact"/>
              <w:rPr>
                <w:sz w:val="20"/>
                <w:szCs w:val="20"/>
                <w:color w:val="auto"/>
              </w:rPr>
            </w:pPr>
            <w:r>
              <w:rPr>
                <w:rFonts w:ascii="Arial" w:cs="Arial" w:eastAsia="Arial" w:hAnsi="Arial"/>
                <w:sz w:val="13"/>
                <w:szCs w:val="13"/>
                <w:color w:val="auto"/>
                <w:w w:val="89"/>
              </w:rPr>
              <w:t>06/03/2021</w:t>
            </w:r>
          </w:p>
        </w:tc>
        <w:tc>
          <w:tcPr>
            <w:tcW w:w="2900" w:type="dxa"/>
            <w:vAlign w:val="bottom"/>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7.00%</w:t>
            </w: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L+575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3"/>
              </w:rPr>
              <w:t>9,150,000</w:t>
            </w:r>
          </w:p>
        </w:tc>
        <w:tc>
          <w:tcPr>
            <w:tcW w:w="14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8,989,610</w:t>
            </w:r>
          </w:p>
        </w:tc>
        <w:tc>
          <w:tcPr>
            <w:tcW w:w="8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9,085,577</w:t>
            </w:r>
          </w:p>
        </w:tc>
        <w:tc>
          <w:tcPr>
            <w:tcW w:w="0" w:type="dxa"/>
            <w:vAlign w:val="bottom"/>
          </w:tcPr>
          <w:p>
            <w:pPr>
              <w:spacing w:after="0"/>
              <w:rPr>
                <w:sz w:val="1"/>
                <w:szCs w:val="1"/>
                <w:color w:val="auto"/>
              </w:rPr>
            </w:pPr>
          </w:p>
        </w:tc>
      </w:tr>
      <w:tr>
        <w:trPr>
          <w:trHeight w:val="135"/>
        </w:trPr>
        <w:tc>
          <w:tcPr>
            <w:tcW w:w="29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Broder Bros., Co., Tranche B</w:t>
            </w:r>
          </w:p>
        </w:tc>
        <w:tc>
          <w:tcPr>
            <w:tcW w:w="940" w:type="dxa"/>
            <w:vAlign w:val="bottom"/>
            <w:shd w:val="clear" w:color="auto" w:fill="CCEEFF"/>
          </w:tcPr>
          <w:p>
            <w:pPr>
              <w:jc w:val="center"/>
              <w:ind w:left="17"/>
              <w:spacing w:after="0" w:line="135" w:lineRule="exact"/>
              <w:rPr>
                <w:sz w:val="20"/>
                <w:szCs w:val="20"/>
                <w:color w:val="auto"/>
              </w:rPr>
            </w:pPr>
            <w:r>
              <w:rPr>
                <w:rFonts w:ascii="Arial" w:cs="Arial" w:eastAsia="Arial" w:hAnsi="Arial"/>
                <w:sz w:val="13"/>
                <w:szCs w:val="13"/>
                <w:color w:val="auto"/>
                <w:w w:val="89"/>
              </w:rPr>
              <w:t>06/03/2021</w:t>
            </w:r>
          </w:p>
        </w:tc>
        <w:tc>
          <w:tcPr>
            <w:tcW w:w="2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13.50%</w:t>
            </w:r>
          </w:p>
        </w:tc>
        <w:tc>
          <w:tcPr>
            <w:tcW w:w="10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L+1,225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3"/>
              </w:rPr>
              <w:t>9,225,000</w:t>
            </w:r>
          </w:p>
        </w:tc>
        <w:tc>
          <w:tcPr>
            <w:tcW w:w="140" w:type="dxa"/>
            <w:vAlign w:val="bottom"/>
            <w:tcBorders>
              <w:right w:val="single" w:sz="8" w:color="CCEEFF"/>
            </w:tcBorders>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9,058,699</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9,160,048</w:t>
            </w:r>
          </w:p>
        </w:tc>
        <w:tc>
          <w:tcPr>
            <w:tcW w:w="0" w:type="dxa"/>
            <w:vAlign w:val="bottom"/>
          </w:tcPr>
          <w:p>
            <w:pPr>
              <w:spacing w:after="0"/>
              <w:rPr>
                <w:sz w:val="1"/>
                <w:szCs w:val="1"/>
                <w:color w:val="auto"/>
              </w:rPr>
            </w:pPr>
          </w:p>
        </w:tc>
      </w:tr>
      <w:tr>
        <w:trPr>
          <w:trHeight w:val="135"/>
        </w:trPr>
        <w:tc>
          <w:tcPr>
            <w:tcW w:w="2900" w:type="dxa"/>
            <w:vAlign w:val="bottom"/>
          </w:tcPr>
          <w:p>
            <w:pPr>
              <w:spacing w:after="0" w:line="135" w:lineRule="exact"/>
              <w:rPr>
                <w:sz w:val="20"/>
                <w:szCs w:val="20"/>
                <w:color w:val="auto"/>
              </w:rPr>
            </w:pPr>
            <w:r>
              <w:rPr>
                <w:rFonts w:ascii="Arial" w:cs="Arial" w:eastAsia="Arial" w:hAnsi="Arial"/>
                <w:sz w:val="13"/>
                <w:szCs w:val="13"/>
                <w:color w:val="auto"/>
              </w:rPr>
              <w:t>Hollander Sleep Products, LLC</w:t>
            </w:r>
          </w:p>
        </w:tc>
        <w:tc>
          <w:tcPr>
            <w:tcW w:w="940" w:type="dxa"/>
            <w:vAlign w:val="bottom"/>
          </w:tcPr>
          <w:p>
            <w:pPr>
              <w:jc w:val="center"/>
              <w:ind w:left="17"/>
              <w:spacing w:after="0" w:line="135" w:lineRule="exact"/>
              <w:rPr>
                <w:sz w:val="20"/>
                <w:szCs w:val="20"/>
                <w:color w:val="auto"/>
              </w:rPr>
            </w:pPr>
            <w:r>
              <w:rPr>
                <w:rFonts w:ascii="Arial" w:cs="Arial" w:eastAsia="Arial" w:hAnsi="Arial"/>
                <w:sz w:val="13"/>
                <w:szCs w:val="13"/>
                <w:color w:val="auto"/>
                <w:w w:val="89"/>
              </w:rPr>
              <w:t>10/21/2020</w:t>
            </w:r>
          </w:p>
        </w:tc>
        <w:tc>
          <w:tcPr>
            <w:tcW w:w="2900" w:type="dxa"/>
            <w:vAlign w:val="bottom"/>
          </w:tcPr>
          <w:p>
            <w:pPr>
              <w:jc w:val="center"/>
              <w:spacing w:after="0" w:line="135" w:lineRule="exact"/>
              <w:rPr>
                <w:sz w:val="20"/>
                <w:szCs w:val="20"/>
                <w:color w:val="auto"/>
              </w:rPr>
            </w:pPr>
            <w:r>
              <w:rPr>
                <w:rFonts w:ascii="Arial" w:cs="Arial" w:eastAsia="Arial" w:hAnsi="Arial"/>
                <w:sz w:val="13"/>
                <w:szCs w:val="13"/>
                <w:color w:val="auto"/>
                <w:w w:val="85"/>
              </w:rPr>
              <w:t>Consumer Products</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9.00%</w:t>
            </w: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L+800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3"/>
              </w:rPr>
              <w:t>4,372,074</w:t>
            </w:r>
          </w:p>
        </w:tc>
        <w:tc>
          <w:tcPr>
            <w:tcW w:w="14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4,323,938</w:t>
            </w:r>
          </w:p>
        </w:tc>
        <w:tc>
          <w:tcPr>
            <w:tcW w:w="8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4,284,632</w:t>
            </w:r>
          </w:p>
        </w:tc>
        <w:tc>
          <w:tcPr>
            <w:tcW w:w="0" w:type="dxa"/>
            <w:vAlign w:val="bottom"/>
          </w:tcPr>
          <w:p>
            <w:pPr>
              <w:spacing w:after="0"/>
              <w:rPr>
                <w:sz w:val="1"/>
                <w:szCs w:val="1"/>
                <w:color w:val="auto"/>
              </w:rPr>
            </w:pPr>
          </w:p>
        </w:tc>
      </w:tr>
      <w:tr>
        <w:trPr>
          <w:trHeight w:val="135"/>
        </w:trPr>
        <w:tc>
          <w:tcPr>
            <w:tcW w:w="29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Interior Specialists, Inc.</w:t>
            </w:r>
          </w:p>
        </w:tc>
        <w:tc>
          <w:tcPr>
            <w:tcW w:w="940" w:type="dxa"/>
            <w:vAlign w:val="bottom"/>
            <w:shd w:val="clear" w:color="auto" w:fill="CCEEFF"/>
          </w:tcPr>
          <w:p>
            <w:pPr>
              <w:jc w:val="center"/>
              <w:ind w:left="17"/>
              <w:spacing w:after="0" w:line="135" w:lineRule="exact"/>
              <w:rPr>
                <w:sz w:val="20"/>
                <w:szCs w:val="20"/>
                <w:color w:val="auto"/>
              </w:rPr>
            </w:pPr>
            <w:r>
              <w:rPr>
                <w:rFonts w:ascii="Arial" w:cs="Arial" w:eastAsia="Arial" w:hAnsi="Arial"/>
                <w:sz w:val="13"/>
                <w:szCs w:val="13"/>
                <w:color w:val="auto"/>
                <w:w w:val="89"/>
              </w:rPr>
              <w:t>06/30/2020</w:t>
            </w:r>
          </w:p>
        </w:tc>
        <w:tc>
          <w:tcPr>
            <w:tcW w:w="2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Building Materials</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9.00%</w:t>
            </w:r>
          </w:p>
        </w:tc>
        <w:tc>
          <w:tcPr>
            <w:tcW w:w="10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L+800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82"/>
              </w:rPr>
              <w:t>24,985,195</w:t>
            </w:r>
          </w:p>
        </w:tc>
        <w:tc>
          <w:tcPr>
            <w:tcW w:w="140" w:type="dxa"/>
            <w:vAlign w:val="bottom"/>
            <w:tcBorders>
              <w:right w:val="single" w:sz="8" w:color="CCEEFF"/>
            </w:tcBorders>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95"/>
              </w:rPr>
              <w:t>24,786,989</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5"/>
              </w:rPr>
              <w:t>24,985,195</w:t>
            </w:r>
          </w:p>
        </w:tc>
        <w:tc>
          <w:tcPr>
            <w:tcW w:w="0" w:type="dxa"/>
            <w:vAlign w:val="bottom"/>
          </w:tcPr>
          <w:p>
            <w:pPr>
              <w:spacing w:after="0"/>
              <w:rPr>
                <w:sz w:val="1"/>
                <w:szCs w:val="1"/>
                <w:color w:val="auto"/>
              </w:rPr>
            </w:pPr>
          </w:p>
        </w:tc>
      </w:tr>
      <w:tr>
        <w:trPr>
          <w:trHeight w:val="135"/>
        </w:trPr>
        <w:tc>
          <w:tcPr>
            <w:tcW w:w="2900" w:type="dxa"/>
            <w:vAlign w:val="bottom"/>
          </w:tcPr>
          <w:p>
            <w:pPr>
              <w:spacing w:after="0" w:line="135" w:lineRule="exact"/>
              <w:rPr>
                <w:sz w:val="20"/>
                <w:szCs w:val="20"/>
                <w:color w:val="auto"/>
              </w:rPr>
            </w:pPr>
            <w:r>
              <w:rPr>
                <w:rFonts w:ascii="Arial" w:cs="Arial" w:eastAsia="Arial" w:hAnsi="Arial"/>
                <w:sz w:val="13"/>
                <w:szCs w:val="13"/>
                <w:color w:val="auto"/>
              </w:rPr>
              <w:t>K2 Pure Solutions NoCal, L.P.</w:t>
            </w:r>
          </w:p>
        </w:tc>
        <w:tc>
          <w:tcPr>
            <w:tcW w:w="940" w:type="dxa"/>
            <w:vAlign w:val="bottom"/>
          </w:tcPr>
          <w:p>
            <w:pPr>
              <w:jc w:val="center"/>
              <w:ind w:left="17"/>
              <w:spacing w:after="0" w:line="135" w:lineRule="exact"/>
              <w:rPr>
                <w:sz w:val="20"/>
                <w:szCs w:val="20"/>
                <w:color w:val="auto"/>
              </w:rPr>
            </w:pPr>
            <w:r>
              <w:rPr>
                <w:rFonts w:ascii="Arial" w:cs="Arial" w:eastAsia="Arial" w:hAnsi="Arial"/>
                <w:sz w:val="13"/>
                <w:szCs w:val="13"/>
                <w:color w:val="auto"/>
                <w:w w:val="89"/>
              </w:rPr>
              <w:t>02/19/2021</w:t>
            </w:r>
          </w:p>
        </w:tc>
        <w:tc>
          <w:tcPr>
            <w:tcW w:w="2900" w:type="dxa"/>
            <w:vAlign w:val="bottom"/>
          </w:tcPr>
          <w:p>
            <w:pPr>
              <w:jc w:val="center"/>
              <w:spacing w:after="0" w:line="135" w:lineRule="exact"/>
              <w:rPr>
                <w:sz w:val="20"/>
                <w:szCs w:val="20"/>
                <w:color w:val="auto"/>
              </w:rPr>
            </w:pPr>
            <w:r>
              <w:rPr>
                <w:rFonts w:ascii="Arial" w:cs="Arial" w:eastAsia="Arial" w:hAnsi="Arial"/>
                <w:sz w:val="13"/>
                <w:szCs w:val="13"/>
                <w:color w:val="auto"/>
                <w:w w:val="86"/>
              </w:rPr>
              <w:t>Chemicals, Plastics and Rubber</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10.00%</w:t>
            </w: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L+900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82"/>
              </w:rPr>
              <w:t>14,522,529</w:t>
            </w:r>
          </w:p>
        </w:tc>
        <w:tc>
          <w:tcPr>
            <w:tcW w:w="14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5"/>
              </w:rPr>
              <w:t>14,273,869</w:t>
            </w:r>
          </w:p>
        </w:tc>
        <w:tc>
          <w:tcPr>
            <w:tcW w:w="8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5"/>
              </w:rPr>
              <w:t>14,244,486</w:t>
            </w:r>
          </w:p>
        </w:tc>
        <w:tc>
          <w:tcPr>
            <w:tcW w:w="0" w:type="dxa"/>
            <w:vAlign w:val="bottom"/>
          </w:tcPr>
          <w:p>
            <w:pPr>
              <w:spacing w:after="0"/>
              <w:rPr>
                <w:sz w:val="1"/>
                <w:szCs w:val="1"/>
                <w:color w:val="auto"/>
              </w:rPr>
            </w:pPr>
          </w:p>
        </w:tc>
      </w:tr>
      <w:tr>
        <w:trPr>
          <w:trHeight w:val="135"/>
        </w:trPr>
        <w:tc>
          <w:tcPr>
            <w:tcW w:w="29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LSF9 Atlantis Holdings, LLC</w:t>
            </w:r>
          </w:p>
        </w:tc>
        <w:tc>
          <w:tcPr>
            <w:tcW w:w="940" w:type="dxa"/>
            <w:vAlign w:val="bottom"/>
            <w:shd w:val="clear" w:color="auto" w:fill="CCEEFF"/>
          </w:tcPr>
          <w:p>
            <w:pPr>
              <w:jc w:val="center"/>
              <w:ind w:left="17"/>
              <w:spacing w:after="0" w:line="135" w:lineRule="exact"/>
              <w:rPr>
                <w:sz w:val="20"/>
                <w:szCs w:val="20"/>
                <w:color w:val="auto"/>
              </w:rPr>
            </w:pPr>
            <w:r>
              <w:rPr>
                <w:rFonts w:ascii="Arial" w:cs="Arial" w:eastAsia="Arial" w:hAnsi="Arial"/>
                <w:sz w:val="13"/>
                <w:szCs w:val="13"/>
                <w:color w:val="auto"/>
                <w:w w:val="89"/>
              </w:rPr>
              <w:t>01/15/2021</w:t>
            </w:r>
          </w:p>
        </w:tc>
        <w:tc>
          <w:tcPr>
            <w:tcW w:w="2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0"/>
              </w:rPr>
              <w:t>Retail</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10.00%</w:t>
            </w:r>
          </w:p>
        </w:tc>
        <w:tc>
          <w:tcPr>
            <w:tcW w:w="10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L+900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82"/>
              </w:rPr>
              <w:t>38,391,045</w:t>
            </w:r>
          </w:p>
        </w:tc>
        <w:tc>
          <w:tcPr>
            <w:tcW w:w="140" w:type="dxa"/>
            <w:vAlign w:val="bottom"/>
            <w:tcBorders>
              <w:right w:val="single" w:sz="8" w:color="CCEEFF"/>
            </w:tcBorders>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95"/>
              </w:rPr>
              <w:t>37,888,445</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5"/>
              </w:rPr>
              <w:t>38,391,045</w:t>
            </w:r>
          </w:p>
        </w:tc>
        <w:tc>
          <w:tcPr>
            <w:tcW w:w="0" w:type="dxa"/>
            <w:vAlign w:val="bottom"/>
          </w:tcPr>
          <w:p>
            <w:pPr>
              <w:spacing w:after="0"/>
              <w:rPr>
                <w:sz w:val="1"/>
                <w:szCs w:val="1"/>
                <w:color w:val="auto"/>
              </w:rPr>
            </w:pPr>
          </w:p>
        </w:tc>
      </w:tr>
      <w:tr>
        <w:trPr>
          <w:trHeight w:val="135"/>
        </w:trPr>
        <w:tc>
          <w:tcPr>
            <w:tcW w:w="2900" w:type="dxa"/>
            <w:vAlign w:val="bottom"/>
          </w:tcPr>
          <w:p>
            <w:pPr>
              <w:spacing w:after="0" w:line="135" w:lineRule="exact"/>
              <w:rPr>
                <w:sz w:val="20"/>
                <w:szCs w:val="20"/>
                <w:color w:val="auto"/>
              </w:rPr>
            </w:pPr>
            <w:r>
              <w:rPr>
                <w:rFonts w:ascii="Arial" w:cs="Arial" w:eastAsia="Arial" w:hAnsi="Arial"/>
                <w:sz w:val="13"/>
                <w:szCs w:val="13"/>
                <w:color w:val="auto"/>
              </w:rPr>
              <w:t xml:space="preserve">Prince Mineral Holding Corp. </w:t>
            </w:r>
            <w:r>
              <w:rPr>
                <w:rFonts w:ascii="Arial" w:cs="Arial" w:eastAsia="Arial" w:hAnsi="Arial"/>
                <w:sz w:val="10"/>
                <w:szCs w:val="10"/>
                <w:color w:val="auto"/>
              </w:rPr>
              <w:t>(5)</w:t>
            </w:r>
          </w:p>
        </w:tc>
        <w:tc>
          <w:tcPr>
            <w:tcW w:w="940" w:type="dxa"/>
            <w:vAlign w:val="bottom"/>
          </w:tcPr>
          <w:p>
            <w:pPr>
              <w:jc w:val="center"/>
              <w:ind w:left="17"/>
              <w:spacing w:after="0" w:line="135" w:lineRule="exact"/>
              <w:rPr>
                <w:sz w:val="20"/>
                <w:szCs w:val="20"/>
                <w:color w:val="auto"/>
              </w:rPr>
            </w:pPr>
            <w:r>
              <w:rPr>
                <w:rFonts w:ascii="Arial" w:cs="Arial" w:eastAsia="Arial" w:hAnsi="Arial"/>
                <w:sz w:val="13"/>
                <w:szCs w:val="13"/>
                <w:color w:val="auto"/>
                <w:w w:val="89"/>
              </w:rPr>
              <w:t>12/16/2019</w:t>
            </w:r>
          </w:p>
        </w:tc>
        <w:tc>
          <w:tcPr>
            <w:tcW w:w="2900" w:type="dxa"/>
            <w:vAlign w:val="bottom"/>
          </w:tcPr>
          <w:p>
            <w:pPr>
              <w:jc w:val="center"/>
              <w:spacing w:after="0" w:line="135" w:lineRule="exact"/>
              <w:rPr>
                <w:sz w:val="20"/>
                <w:szCs w:val="20"/>
                <w:color w:val="auto"/>
              </w:rPr>
            </w:pPr>
            <w:r>
              <w:rPr>
                <w:rFonts w:ascii="Arial" w:cs="Arial" w:eastAsia="Arial" w:hAnsi="Arial"/>
                <w:sz w:val="13"/>
                <w:szCs w:val="13"/>
                <w:color w:val="auto"/>
                <w:w w:val="88"/>
              </w:rPr>
              <w:t>Mining, Steel, Iron and Non-Precious Metals</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11.50%</w:t>
            </w: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82"/>
              </w:rPr>
              <w:t>14,250,000</w:t>
            </w:r>
          </w:p>
        </w:tc>
        <w:tc>
          <w:tcPr>
            <w:tcW w:w="14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5"/>
              </w:rPr>
              <w:t>14,156,176</w:t>
            </w:r>
          </w:p>
        </w:tc>
        <w:tc>
          <w:tcPr>
            <w:tcW w:w="8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5"/>
              </w:rPr>
              <w:t>13,359,375</w:t>
            </w:r>
          </w:p>
        </w:tc>
        <w:tc>
          <w:tcPr>
            <w:tcW w:w="0" w:type="dxa"/>
            <w:vAlign w:val="bottom"/>
          </w:tcPr>
          <w:p>
            <w:pPr>
              <w:spacing w:after="0"/>
              <w:rPr>
                <w:sz w:val="1"/>
                <w:szCs w:val="1"/>
                <w:color w:val="auto"/>
              </w:rPr>
            </w:pPr>
          </w:p>
        </w:tc>
      </w:tr>
      <w:tr>
        <w:trPr>
          <w:trHeight w:val="135"/>
        </w:trPr>
        <w:tc>
          <w:tcPr>
            <w:tcW w:w="29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Robertshaw US Holding Corp.</w:t>
            </w:r>
          </w:p>
        </w:tc>
        <w:tc>
          <w:tcPr>
            <w:tcW w:w="940" w:type="dxa"/>
            <w:vAlign w:val="bottom"/>
            <w:shd w:val="clear" w:color="auto" w:fill="CCEEFF"/>
          </w:tcPr>
          <w:p>
            <w:pPr>
              <w:jc w:val="center"/>
              <w:ind w:left="17"/>
              <w:spacing w:after="0" w:line="135" w:lineRule="exact"/>
              <w:rPr>
                <w:sz w:val="20"/>
                <w:szCs w:val="20"/>
                <w:color w:val="auto"/>
              </w:rPr>
            </w:pPr>
            <w:r>
              <w:rPr>
                <w:rFonts w:ascii="Arial" w:cs="Arial" w:eastAsia="Arial" w:hAnsi="Arial"/>
                <w:sz w:val="13"/>
                <w:szCs w:val="13"/>
                <w:color w:val="auto"/>
                <w:w w:val="89"/>
              </w:rPr>
              <w:t>06/18/2019</w:t>
            </w:r>
          </w:p>
        </w:tc>
        <w:tc>
          <w:tcPr>
            <w:tcW w:w="2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91"/>
              </w:rPr>
              <w:t>Electronics</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8.50%</w:t>
            </w:r>
          </w:p>
        </w:tc>
        <w:tc>
          <w:tcPr>
            <w:tcW w:w="10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L+700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82"/>
              </w:rPr>
              <w:t>15,948,113</w:t>
            </w:r>
          </w:p>
        </w:tc>
        <w:tc>
          <w:tcPr>
            <w:tcW w:w="140" w:type="dxa"/>
            <w:vAlign w:val="bottom"/>
            <w:tcBorders>
              <w:right w:val="single" w:sz="8" w:color="CCEEFF"/>
            </w:tcBorders>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95"/>
              </w:rPr>
              <w:t>15,875,684</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5"/>
              </w:rPr>
              <w:t>15,970,121</w:t>
            </w:r>
          </w:p>
        </w:tc>
        <w:tc>
          <w:tcPr>
            <w:tcW w:w="0" w:type="dxa"/>
            <w:vAlign w:val="bottom"/>
          </w:tcPr>
          <w:p>
            <w:pPr>
              <w:spacing w:after="0"/>
              <w:rPr>
                <w:sz w:val="1"/>
                <w:szCs w:val="1"/>
                <w:color w:val="auto"/>
              </w:rPr>
            </w:pPr>
          </w:p>
        </w:tc>
      </w:tr>
      <w:tr>
        <w:trPr>
          <w:trHeight w:val="135"/>
        </w:trPr>
        <w:tc>
          <w:tcPr>
            <w:tcW w:w="2900" w:type="dxa"/>
            <w:vAlign w:val="bottom"/>
          </w:tcPr>
          <w:p>
            <w:pPr>
              <w:spacing w:after="0" w:line="135" w:lineRule="exact"/>
              <w:rPr>
                <w:sz w:val="20"/>
                <w:szCs w:val="20"/>
                <w:color w:val="auto"/>
              </w:rPr>
            </w:pPr>
            <w:r>
              <w:rPr>
                <w:rFonts w:ascii="Arial" w:cs="Arial" w:eastAsia="Arial" w:hAnsi="Arial"/>
                <w:sz w:val="13"/>
                <w:szCs w:val="13"/>
                <w:color w:val="auto"/>
              </w:rPr>
              <w:t>Sotera Defense Solutions, Inc.</w:t>
            </w:r>
          </w:p>
        </w:tc>
        <w:tc>
          <w:tcPr>
            <w:tcW w:w="940" w:type="dxa"/>
            <w:vAlign w:val="bottom"/>
          </w:tcPr>
          <w:p>
            <w:pPr>
              <w:jc w:val="center"/>
              <w:ind w:left="17"/>
              <w:spacing w:after="0" w:line="135" w:lineRule="exact"/>
              <w:rPr>
                <w:sz w:val="20"/>
                <w:szCs w:val="20"/>
                <w:color w:val="auto"/>
              </w:rPr>
            </w:pPr>
            <w:r>
              <w:rPr>
                <w:rFonts w:ascii="Arial" w:cs="Arial" w:eastAsia="Arial" w:hAnsi="Arial"/>
                <w:sz w:val="13"/>
                <w:szCs w:val="13"/>
                <w:color w:val="auto"/>
                <w:w w:val="89"/>
              </w:rPr>
              <w:t>04/21/2017</w:t>
            </w:r>
          </w:p>
        </w:tc>
        <w:tc>
          <w:tcPr>
            <w:tcW w:w="2900" w:type="dxa"/>
            <w:vAlign w:val="bottom"/>
          </w:tcPr>
          <w:p>
            <w:pPr>
              <w:jc w:val="center"/>
              <w:spacing w:after="0" w:line="135" w:lineRule="exact"/>
              <w:rPr>
                <w:sz w:val="20"/>
                <w:szCs w:val="20"/>
                <w:color w:val="auto"/>
              </w:rPr>
            </w:pPr>
            <w:r>
              <w:rPr>
                <w:rFonts w:ascii="Arial" w:cs="Arial" w:eastAsia="Arial" w:hAnsi="Arial"/>
                <w:sz w:val="13"/>
                <w:szCs w:val="13"/>
                <w:color w:val="auto"/>
                <w:w w:val="84"/>
              </w:rPr>
              <w:t>Aerospace and Defense</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9.00%</w:t>
            </w: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L+750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82"/>
              </w:rPr>
              <w:t>18,306,549</w:t>
            </w:r>
          </w:p>
        </w:tc>
        <w:tc>
          <w:tcPr>
            <w:tcW w:w="14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5"/>
              </w:rPr>
              <w:t>18,075,370</w:t>
            </w:r>
          </w:p>
        </w:tc>
        <w:tc>
          <w:tcPr>
            <w:tcW w:w="8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5"/>
              </w:rPr>
              <w:t>18,215,016</w:t>
            </w:r>
          </w:p>
        </w:tc>
        <w:tc>
          <w:tcPr>
            <w:tcW w:w="0" w:type="dxa"/>
            <w:vAlign w:val="bottom"/>
          </w:tcPr>
          <w:p>
            <w:pPr>
              <w:spacing w:after="0"/>
              <w:rPr>
                <w:sz w:val="1"/>
                <w:szCs w:val="1"/>
                <w:color w:val="auto"/>
              </w:rPr>
            </w:pPr>
          </w:p>
        </w:tc>
      </w:tr>
      <w:tr>
        <w:trPr>
          <w:trHeight w:val="135"/>
        </w:trPr>
        <w:tc>
          <w:tcPr>
            <w:tcW w:w="29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Triad Manufacturing, Inc.</w:t>
            </w:r>
          </w:p>
        </w:tc>
        <w:tc>
          <w:tcPr>
            <w:tcW w:w="940" w:type="dxa"/>
            <w:vAlign w:val="bottom"/>
            <w:shd w:val="clear" w:color="auto" w:fill="CCEEFF"/>
          </w:tcPr>
          <w:p>
            <w:pPr>
              <w:jc w:val="center"/>
              <w:ind w:left="17"/>
              <w:spacing w:after="0" w:line="135" w:lineRule="exact"/>
              <w:rPr>
                <w:sz w:val="20"/>
                <w:szCs w:val="20"/>
                <w:color w:val="auto"/>
              </w:rPr>
            </w:pPr>
            <w:r>
              <w:rPr>
                <w:rFonts w:ascii="Arial" w:cs="Arial" w:eastAsia="Arial" w:hAnsi="Arial"/>
                <w:sz w:val="13"/>
                <w:szCs w:val="13"/>
                <w:color w:val="auto"/>
                <w:w w:val="89"/>
              </w:rPr>
              <w:t>12/28/2020</w:t>
            </w:r>
          </w:p>
        </w:tc>
        <w:tc>
          <w:tcPr>
            <w:tcW w:w="2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Manufacturing / Basic Industries</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11.27%</w:t>
            </w:r>
          </w:p>
        </w:tc>
        <w:tc>
          <w:tcPr>
            <w:tcW w:w="10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L+1,075</w:t>
            </w:r>
            <w:r>
              <w:rPr>
                <w:rFonts w:ascii="Arial" w:cs="Arial" w:eastAsia="Arial" w:hAnsi="Arial"/>
                <w:sz w:val="10"/>
                <w:szCs w:val="10"/>
                <w:color w:val="auto"/>
              </w:rPr>
              <w:t>(7)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82"/>
              </w:rPr>
              <w:t>28,859,421</w:t>
            </w:r>
          </w:p>
        </w:tc>
        <w:tc>
          <w:tcPr>
            <w:tcW w:w="140" w:type="dxa"/>
            <w:vAlign w:val="bottom"/>
            <w:tcBorders>
              <w:right w:val="single" w:sz="8" w:color="CCEEFF"/>
            </w:tcBorders>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95"/>
              </w:rPr>
              <w:t>28,349,720</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5"/>
              </w:rPr>
              <w:t>28,859,421</w:t>
            </w:r>
          </w:p>
        </w:tc>
        <w:tc>
          <w:tcPr>
            <w:tcW w:w="0" w:type="dxa"/>
            <w:vAlign w:val="bottom"/>
          </w:tcPr>
          <w:p>
            <w:pPr>
              <w:spacing w:after="0"/>
              <w:rPr>
                <w:sz w:val="1"/>
                <w:szCs w:val="1"/>
                <w:color w:val="auto"/>
              </w:rPr>
            </w:pPr>
          </w:p>
        </w:tc>
      </w:tr>
      <w:tr>
        <w:trPr>
          <w:trHeight w:val="135"/>
        </w:trPr>
        <w:tc>
          <w:tcPr>
            <w:tcW w:w="2900" w:type="dxa"/>
            <w:vAlign w:val="bottom"/>
          </w:tcPr>
          <w:p>
            <w:pPr>
              <w:spacing w:after="0" w:line="135" w:lineRule="exact"/>
              <w:rPr>
                <w:sz w:val="20"/>
                <w:szCs w:val="20"/>
                <w:color w:val="auto"/>
              </w:rPr>
            </w:pPr>
            <w:r>
              <w:rPr>
                <w:rFonts w:ascii="Arial" w:cs="Arial" w:eastAsia="Arial" w:hAnsi="Arial"/>
                <w:sz w:val="13"/>
                <w:szCs w:val="13"/>
                <w:color w:val="auto"/>
              </w:rPr>
              <w:t xml:space="preserve">Trust Inns Limited </w:t>
            </w:r>
            <w:r>
              <w:rPr>
                <w:rFonts w:ascii="Arial" w:cs="Arial" w:eastAsia="Arial" w:hAnsi="Arial"/>
                <w:sz w:val="10"/>
                <w:szCs w:val="10"/>
                <w:color w:val="auto"/>
              </w:rPr>
              <w:t>(9), (11), (12)</w:t>
            </w:r>
          </w:p>
        </w:tc>
        <w:tc>
          <w:tcPr>
            <w:tcW w:w="940" w:type="dxa"/>
            <w:vAlign w:val="bottom"/>
          </w:tcPr>
          <w:p>
            <w:pPr>
              <w:jc w:val="center"/>
              <w:ind w:left="17"/>
              <w:spacing w:after="0" w:line="135" w:lineRule="exact"/>
              <w:rPr>
                <w:sz w:val="20"/>
                <w:szCs w:val="20"/>
                <w:color w:val="auto"/>
              </w:rPr>
            </w:pPr>
            <w:r>
              <w:rPr>
                <w:rFonts w:ascii="Arial" w:cs="Arial" w:eastAsia="Arial" w:hAnsi="Arial"/>
                <w:sz w:val="13"/>
                <w:szCs w:val="13"/>
                <w:color w:val="auto"/>
                <w:w w:val="89"/>
              </w:rPr>
              <w:t>02/12/2020</w:t>
            </w:r>
          </w:p>
        </w:tc>
        <w:tc>
          <w:tcPr>
            <w:tcW w:w="2900" w:type="dxa"/>
            <w:vAlign w:val="bottom"/>
          </w:tcPr>
          <w:p>
            <w:pPr>
              <w:jc w:val="center"/>
              <w:spacing w:after="0" w:line="135" w:lineRule="exact"/>
              <w:rPr>
                <w:sz w:val="20"/>
                <w:szCs w:val="20"/>
                <w:color w:val="auto"/>
              </w:rPr>
            </w:pPr>
            <w:r>
              <w:rPr>
                <w:rFonts w:ascii="Arial" w:cs="Arial" w:eastAsia="Arial" w:hAnsi="Arial"/>
                <w:sz w:val="13"/>
                <w:szCs w:val="13"/>
                <w:color w:val="auto"/>
                <w:w w:val="87"/>
              </w:rPr>
              <w:t>Buildings and Real Estate</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10.88%</w:t>
            </w:r>
          </w:p>
        </w:tc>
        <w:tc>
          <w:tcPr>
            <w:tcW w:w="10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L+1,050</w:t>
            </w:r>
            <w:r>
              <w:rPr>
                <w:rFonts w:ascii="Arial" w:cs="Arial" w:eastAsia="Arial" w:hAnsi="Arial"/>
                <w:sz w:val="10"/>
                <w:szCs w:val="10"/>
                <w:color w:val="auto"/>
              </w:rPr>
              <w:t>(7)</w:t>
            </w:r>
          </w:p>
        </w:tc>
        <w:tc>
          <w:tcPr>
            <w:tcW w:w="1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82"/>
              </w:rPr>
              <w:t>22,512,751</w:t>
            </w:r>
          </w:p>
        </w:tc>
        <w:tc>
          <w:tcPr>
            <w:tcW w:w="14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5"/>
              </w:rPr>
              <w:t>35,990,065</w:t>
            </w:r>
          </w:p>
        </w:tc>
        <w:tc>
          <w:tcPr>
            <w:tcW w:w="8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5"/>
              </w:rPr>
              <w:t>28,703,752</w:t>
            </w:r>
          </w:p>
        </w:tc>
        <w:tc>
          <w:tcPr>
            <w:tcW w:w="0" w:type="dxa"/>
            <w:vAlign w:val="bottom"/>
          </w:tcPr>
          <w:p>
            <w:pPr>
              <w:spacing w:after="0"/>
              <w:rPr>
                <w:sz w:val="1"/>
                <w:szCs w:val="1"/>
                <w:color w:val="auto"/>
              </w:rPr>
            </w:pPr>
          </w:p>
        </w:tc>
      </w:tr>
      <w:tr>
        <w:trPr>
          <w:trHeight w:val="135"/>
        </w:trPr>
        <w:tc>
          <w:tcPr>
            <w:tcW w:w="29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US Med Acquisition, Inc.</w:t>
            </w:r>
          </w:p>
        </w:tc>
        <w:tc>
          <w:tcPr>
            <w:tcW w:w="940" w:type="dxa"/>
            <w:vAlign w:val="bottom"/>
            <w:shd w:val="clear" w:color="auto" w:fill="CCEEFF"/>
          </w:tcPr>
          <w:p>
            <w:pPr>
              <w:jc w:val="center"/>
              <w:ind w:left="17"/>
              <w:spacing w:after="0" w:line="135" w:lineRule="exact"/>
              <w:rPr>
                <w:sz w:val="20"/>
                <w:szCs w:val="20"/>
                <w:color w:val="auto"/>
              </w:rPr>
            </w:pPr>
            <w:r>
              <w:rPr>
                <w:rFonts w:ascii="Arial" w:cs="Arial" w:eastAsia="Arial" w:hAnsi="Arial"/>
                <w:sz w:val="13"/>
                <w:szCs w:val="13"/>
                <w:color w:val="auto"/>
                <w:w w:val="89"/>
              </w:rPr>
              <w:t>08/13/2021</w:t>
            </w:r>
          </w:p>
        </w:tc>
        <w:tc>
          <w:tcPr>
            <w:tcW w:w="2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Healthcare, Education and Childcare</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10.00%</w:t>
            </w:r>
          </w:p>
        </w:tc>
        <w:tc>
          <w:tcPr>
            <w:tcW w:w="10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L+900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3"/>
              </w:rPr>
              <w:t>8,651,563</w:t>
            </w:r>
          </w:p>
        </w:tc>
        <w:tc>
          <w:tcPr>
            <w:tcW w:w="140" w:type="dxa"/>
            <w:vAlign w:val="bottom"/>
            <w:tcBorders>
              <w:right w:val="single" w:sz="8" w:color="CCEEFF"/>
            </w:tcBorders>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8,651,563</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8,651,563</w:t>
            </w:r>
          </w:p>
        </w:tc>
        <w:tc>
          <w:tcPr>
            <w:tcW w:w="0" w:type="dxa"/>
            <w:vAlign w:val="bottom"/>
          </w:tcPr>
          <w:p>
            <w:pPr>
              <w:spacing w:after="0"/>
              <w:rPr>
                <w:sz w:val="1"/>
                <w:szCs w:val="1"/>
                <w:color w:val="auto"/>
              </w:rPr>
            </w:pPr>
          </w:p>
        </w:tc>
      </w:tr>
      <w:tr>
        <w:trPr>
          <w:trHeight w:val="121"/>
        </w:trPr>
        <w:tc>
          <w:tcPr>
            <w:tcW w:w="2900" w:type="dxa"/>
            <w:vAlign w:val="bottom"/>
          </w:tcPr>
          <w:p>
            <w:pPr>
              <w:spacing w:after="0" w:line="121" w:lineRule="exact"/>
              <w:rPr>
                <w:sz w:val="20"/>
                <w:szCs w:val="20"/>
                <w:color w:val="auto"/>
              </w:rPr>
            </w:pPr>
            <w:r>
              <w:rPr>
                <w:rFonts w:ascii="Arial" w:cs="Arial" w:eastAsia="Arial" w:hAnsi="Arial"/>
                <w:sz w:val="13"/>
                <w:szCs w:val="13"/>
                <w:color w:val="auto"/>
              </w:rPr>
              <w:t>U.S. Well Services, LLC</w:t>
            </w:r>
          </w:p>
        </w:tc>
        <w:tc>
          <w:tcPr>
            <w:tcW w:w="940" w:type="dxa"/>
            <w:vAlign w:val="bottom"/>
          </w:tcPr>
          <w:p>
            <w:pPr>
              <w:jc w:val="center"/>
              <w:ind w:left="17"/>
              <w:spacing w:after="0" w:line="121" w:lineRule="exact"/>
              <w:rPr>
                <w:sz w:val="20"/>
                <w:szCs w:val="20"/>
                <w:color w:val="auto"/>
              </w:rPr>
            </w:pPr>
            <w:r>
              <w:rPr>
                <w:rFonts w:ascii="Arial" w:cs="Arial" w:eastAsia="Arial" w:hAnsi="Arial"/>
                <w:sz w:val="13"/>
                <w:szCs w:val="13"/>
                <w:color w:val="auto"/>
                <w:w w:val="89"/>
              </w:rPr>
              <w:t>05/02/2019</w:t>
            </w:r>
          </w:p>
        </w:tc>
        <w:tc>
          <w:tcPr>
            <w:tcW w:w="2900" w:type="dxa"/>
            <w:vAlign w:val="bottom"/>
          </w:tcPr>
          <w:p>
            <w:pPr>
              <w:jc w:val="center"/>
              <w:spacing w:after="0" w:line="121" w:lineRule="exact"/>
              <w:rPr>
                <w:sz w:val="20"/>
                <w:szCs w:val="20"/>
                <w:color w:val="auto"/>
              </w:rPr>
            </w:pPr>
            <w:r>
              <w:rPr>
                <w:rFonts w:ascii="Arial" w:cs="Arial" w:eastAsia="Arial" w:hAnsi="Arial"/>
                <w:sz w:val="13"/>
                <w:szCs w:val="13"/>
                <w:color w:val="auto"/>
                <w:w w:val="87"/>
              </w:rPr>
              <w:t>Oil and Gas</w:t>
            </w:r>
          </w:p>
        </w:tc>
        <w:tc>
          <w:tcPr>
            <w:tcW w:w="920" w:type="dxa"/>
            <w:vAlign w:val="bottom"/>
          </w:tcPr>
          <w:p>
            <w:pPr>
              <w:jc w:val="right"/>
              <w:ind w:right="37"/>
              <w:spacing w:after="0" w:line="121" w:lineRule="exact"/>
              <w:rPr>
                <w:sz w:val="20"/>
                <w:szCs w:val="20"/>
                <w:color w:val="auto"/>
              </w:rPr>
            </w:pPr>
            <w:r>
              <w:rPr>
                <w:rFonts w:ascii="Arial" w:cs="Arial" w:eastAsia="Arial" w:hAnsi="Arial"/>
                <w:sz w:val="13"/>
                <w:szCs w:val="13"/>
                <w:color w:val="auto"/>
              </w:rPr>
              <w:t>14.02%</w:t>
            </w:r>
          </w:p>
        </w:tc>
        <w:tc>
          <w:tcPr>
            <w:tcW w:w="104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L+1,350</w:t>
            </w:r>
            <w:r>
              <w:rPr>
                <w:rFonts w:ascii="Arial" w:cs="Arial" w:eastAsia="Arial" w:hAnsi="Arial"/>
                <w:sz w:val="10"/>
                <w:szCs w:val="10"/>
                <w:color w:val="auto"/>
              </w:rPr>
              <w:t>(7)</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00"/>
              <w:spacing w:after="0" w:line="121" w:lineRule="exact"/>
              <w:rPr>
                <w:sz w:val="20"/>
                <w:szCs w:val="20"/>
                <w:color w:val="auto"/>
              </w:rPr>
            </w:pPr>
            <w:r>
              <w:rPr>
                <w:rFonts w:ascii="Arial" w:cs="Arial" w:eastAsia="Arial" w:hAnsi="Arial"/>
                <w:sz w:val="13"/>
                <w:szCs w:val="13"/>
                <w:color w:val="auto"/>
                <w:w w:val="82"/>
              </w:rPr>
              <w:t>14,988,321</w:t>
            </w:r>
          </w:p>
        </w:tc>
        <w:tc>
          <w:tcPr>
            <w:tcW w:w="140" w:type="dxa"/>
            <w:vAlign w:val="bottom"/>
          </w:tcPr>
          <w:p>
            <w:pPr>
              <w:spacing w:after="0"/>
              <w:rPr>
                <w:sz w:val="10"/>
                <w:szCs w:val="10"/>
                <w:color w:val="auto"/>
              </w:rPr>
            </w:pPr>
          </w:p>
        </w:tc>
        <w:tc>
          <w:tcPr>
            <w:tcW w:w="82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w w:val="95"/>
              </w:rPr>
              <w:t>14,796,715</w:t>
            </w:r>
          </w:p>
        </w:tc>
        <w:tc>
          <w:tcPr>
            <w:tcW w:w="80" w:type="dxa"/>
            <w:vAlign w:val="bottom"/>
          </w:tcPr>
          <w:p>
            <w:pPr>
              <w:spacing w:after="0"/>
              <w:rPr>
                <w:sz w:val="10"/>
                <w:szCs w:val="10"/>
                <w:color w:val="auto"/>
              </w:rPr>
            </w:pPr>
          </w:p>
        </w:tc>
        <w:tc>
          <w:tcPr>
            <w:tcW w:w="70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w w:val="95"/>
              </w:rPr>
              <w:t>12,912,527</w:t>
            </w:r>
          </w:p>
        </w:tc>
        <w:tc>
          <w:tcPr>
            <w:tcW w:w="0" w:type="dxa"/>
            <w:vAlign w:val="bottom"/>
          </w:tcPr>
          <w:p>
            <w:pPr>
              <w:spacing w:after="0"/>
              <w:rPr>
                <w:sz w:val="1"/>
                <w:szCs w:val="1"/>
                <w:color w:val="auto"/>
              </w:rPr>
            </w:pPr>
          </w:p>
        </w:tc>
      </w:tr>
      <w:tr>
        <w:trPr>
          <w:trHeight w:val="170"/>
        </w:trPr>
        <w:tc>
          <w:tcPr>
            <w:tcW w:w="2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(PIK 14.02%)</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9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First Lien Secured Debt</w:t>
            </w:r>
          </w:p>
        </w:tc>
        <w:tc>
          <w:tcPr>
            <w:tcW w:w="940" w:type="dxa"/>
            <w:vAlign w:val="bottom"/>
            <w:shd w:val="clear" w:color="auto" w:fill="CCEEFF"/>
          </w:tcPr>
          <w:p>
            <w:pPr>
              <w:spacing w:after="0"/>
              <w:rPr>
                <w:sz w:val="11"/>
                <w:szCs w:val="11"/>
                <w:color w:val="auto"/>
              </w:rPr>
            </w:pPr>
          </w:p>
        </w:tc>
        <w:tc>
          <w:tcPr>
            <w:tcW w:w="29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85"/>
              </w:rPr>
              <w:t>258,288,303</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5"/>
              </w:rPr>
              <w:t>249,033,317</w:t>
            </w:r>
          </w:p>
        </w:tc>
        <w:tc>
          <w:tcPr>
            <w:tcW w:w="0" w:type="dxa"/>
            <w:vAlign w:val="bottom"/>
          </w:tcPr>
          <w:p>
            <w:pPr>
              <w:spacing w:after="0"/>
              <w:rPr>
                <w:sz w:val="1"/>
                <w:szCs w:val="1"/>
                <w:color w:val="auto"/>
              </w:rPr>
            </w:pPr>
          </w:p>
        </w:tc>
      </w:tr>
      <w:tr>
        <w:trPr>
          <w:trHeight w:val="142"/>
        </w:trPr>
        <w:tc>
          <w:tcPr>
            <w:tcW w:w="2900" w:type="dxa"/>
            <w:vAlign w:val="bottom"/>
          </w:tcPr>
          <w:p>
            <w:pPr>
              <w:spacing w:after="0" w:line="142" w:lineRule="exact"/>
              <w:rPr>
                <w:sz w:val="20"/>
                <w:szCs w:val="20"/>
                <w:color w:val="auto"/>
              </w:rPr>
            </w:pPr>
            <w:r>
              <w:rPr>
                <w:rFonts w:ascii="Arial" w:cs="Arial" w:eastAsia="Arial" w:hAnsi="Arial"/>
                <w:sz w:val="13"/>
                <w:szCs w:val="13"/>
                <w:b w:val="1"/>
                <w:bCs w:val="1"/>
                <w:color w:val="auto"/>
              </w:rPr>
              <w:t>Second Lien Secured Debt—61.0%</w:t>
            </w:r>
          </w:p>
        </w:tc>
        <w:tc>
          <w:tcPr>
            <w:tcW w:w="9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9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American Gilsonite Company </w:t>
            </w:r>
            <w:r>
              <w:rPr>
                <w:rFonts w:ascii="Arial" w:cs="Arial" w:eastAsia="Arial" w:hAnsi="Arial"/>
                <w:sz w:val="10"/>
                <w:szCs w:val="10"/>
                <w:color w:val="auto"/>
              </w:rPr>
              <w:t>(5)</w:t>
            </w:r>
          </w:p>
        </w:tc>
        <w:tc>
          <w:tcPr>
            <w:tcW w:w="940" w:type="dxa"/>
            <w:vAlign w:val="bottom"/>
            <w:shd w:val="clear" w:color="auto" w:fill="CCEEFF"/>
          </w:tcPr>
          <w:p>
            <w:pPr>
              <w:jc w:val="center"/>
              <w:ind w:left="17"/>
              <w:spacing w:after="0" w:line="121" w:lineRule="exact"/>
              <w:rPr>
                <w:sz w:val="20"/>
                <w:szCs w:val="20"/>
                <w:color w:val="auto"/>
              </w:rPr>
            </w:pPr>
            <w:r>
              <w:rPr>
                <w:rFonts w:ascii="Arial" w:cs="Arial" w:eastAsia="Arial" w:hAnsi="Arial"/>
                <w:sz w:val="13"/>
                <w:szCs w:val="13"/>
                <w:color w:val="auto"/>
                <w:w w:val="89"/>
              </w:rPr>
              <w:t>09/01/2017</w:t>
            </w:r>
          </w:p>
        </w:tc>
        <w:tc>
          <w:tcPr>
            <w:tcW w:w="2900" w:type="dxa"/>
            <w:vAlign w:val="bottom"/>
            <w:shd w:val="clear" w:color="auto" w:fill="CCEEFF"/>
          </w:tcPr>
          <w:p>
            <w:pPr>
              <w:jc w:val="center"/>
              <w:spacing w:after="0" w:line="121" w:lineRule="exact"/>
              <w:rPr>
                <w:sz w:val="20"/>
                <w:szCs w:val="20"/>
                <w:color w:val="auto"/>
              </w:rPr>
            </w:pPr>
            <w:r>
              <w:rPr>
                <w:rFonts w:ascii="Arial" w:cs="Arial" w:eastAsia="Arial" w:hAnsi="Arial"/>
                <w:sz w:val="13"/>
                <w:szCs w:val="13"/>
                <w:color w:val="auto"/>
                <w:w w:val="88"/>
              </w:rPr>
              <w:t>Diversified Natural Resources, Precious Metals and</w:t>
            </w:r>
          </w:p>
        </w:tc>
        <w:tc>
          <w:tcPr>
            <w:tcW w:w="920" w:type="dxa"/>
            <w:vAlign w:val="bottom"/>
            <w:shd w:val="clear" w:color="auto" w:fill="CCEEFF"/>
          </w:tcPr>
          <w:p>
            <w:pPr>
              <w:jc w:val="right"/>
              <w:ind w:right="17"/>
              <w:spacing w:after="0" w:line="121"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1040" w:type="dxa"/>
            <w:vAlign w:val="bottom"/>
            <w:gridSpan w:val="2"/>
            <w:shd w:val="clear" w:color="auto" w:fill="CCEEFF"/>
          </w:tcPr>
          <w:p>
            <w:pPr>
              <w:jc w:val="right"/>
              <w:ind w:right="200"/>
              <w:spacing w:after="0" w:line="121"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3"/>
                <w:szCs w:val="13"/>
                <w:color w:val="auto"/>
                <w:w w:val="82"/>
              </w:rPr>
              <w:t>25,400,000</w:t>
            </w:r>
          </w:p>
        </w:tc>
        <w:tc>
          <w:tcPr>
            <w:tcW w:w="140" w:type="dxa"/>
            <w:vAlign w:val="bottom"/>
            <w:tcBorders>
              <w:right w:val="single" w:sz="8" w:color="CCEEFF"/>
            </w:tcBorders>
            <w:shd w:val="clear" w:color="auto" w:fill="CCEEFF"/>
          </w:tcPr>
          <w:p>
            <w:pPr>
              <w:spacing w:after="0"/>
              <w:rPr>
                <w:sz w:val="10"/>
                <w:szCs w:val="10"/>
                <w:color w:val="auto"/>
              </w:rPr>
            </w:pPr>
          </w:p>
        </w:tc>
        <w:tc>
          <w:tcPr>
            <w:tcW w:w="82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w w:val="95"/>
              </w:rPr>
              <w:t>25,400,000</w:t>
            </w: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w w:val="95"/>
              </w:rPr>
              <w:t>17,780,000</w:t>
            </w:r>
          </w:p>
        </w:tc>
        <w:tc>
          <w:tcPr>
            <w:tcW w:w="0" w:type="dxa"/>
            <w:vAlign w:val="bottom"/>
          </w:tcPr>
          <w:p>
            <w:pPr>
              <w:spacing w:after="0"/>
              <w:rPr>
                <w:sz w:val="1"/>
                <w:szCs w:val="1"/>
                <w:color w:val="auto"/>
              </w:rPr>
            </w:pPr>
          </w:p>
        </w:tc>
      </w:tr>
      <w:tr>
        <w:trPr>
          <w:trHeight w:val="149"/>
        </w:trPr>
        <w:tc>
          <w:tcPr>
            <w:tcW w:w="29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9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Minerals</w:t>
            </w:r>
          </w:p>
        </w:tc>
        <w:tc>
          <w:tcPr>
            <w:tcW w:w="9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tcBorders>
              <w:right w:val="single" w:sz="8" w:color="CCEEFF"/>
            </w:tcBorders>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00" w:type="dxa"/>
            <w:vAlign w:val="bottom"/>
          </w:tcPr>
          <w:p>
            <w:pPr>
              <w:spacing w:after="0" w:line="135" w:lineRule="exact"/>
              <w:rPr>
                <w:sz w:val="20"/>
                <w:szCs w:val="20"/>
                <w:color w:val="auto"/>
              </w:rPr>
            </w:pPr>
            <w:r>
              <w:rPr>
                <w:rFonts w:ascii="Arial" w:cs="Arial" w:eastAsia="Arial" w:hAnsi="Arial"/>
                <w:sz w:val="13"/>
                <w:szCs w:val="13"/>
                <w:color w:val="auto"/>
              </w:rPr>
              <w:t xml:space="preserve">Balboa Capital Corporation </w:t>
            </w:r>
            <w:r>
              <w:rPr>
                <w:rFonts w:ascii="Arial" w:cs="Arial" w:eastAsia="Arial" w:hAnsi="Arial"/>
                <w:sz w:val="10"/>
                <w:szCs w:val="10"/>
                <w:color w:val="auto"/>
              </w:rPr>
              <w:t>(12)</w:t>
            </w:r>
          </w:p>
        </w:tc>
        <w:tc>
          <w:tcPr>
            <w:tcW w:w="940" w:type="dxa"/>
            <w:vAlign w:val="bottom"/>
          </w:tcPr>
          <w:p>
            <w:pPr>
              <w:jc w:val="center"/>
              <w:ind w:left="17"/>
              <w:spacing w:after="0" w:line="135" w:lineRule="exact"/>
              <w:rPr>
                <w:sz w:val="20"/>
                <w:szCs w:val="20"/>
                <w:color w:val="auto"/>
              </w:rPr>
            </w:pPr>
            <w:r>
              <w:rPr>
                <w:rFonts w:ascii="Arial" w:cs="Arial" w:eastAsia="Arial" w:hAnsi="Arial"/>
                <w:sz w:val="13"/>
                <w:szCs w:val="13"/>
                <w:color w:val="auto"/>
                <w:w w:val="89"/>
              </w:rPr>
              <w:t>03/04/2022</w:t>
            </w:r>
          </w:p>
        </w:tc>
        <w:tc>
          <w:tcPr>
            <w:tcW w:w="2900" w:type="dxa"/>
            <w:vAlign w:val="bottom"/>
          </w:tcPr>
          <w:p>
            <w:pPr>
              <w:jc w:val="center"/>
              <w:spacing w:after="0" w:line="135" w:lineRule="exact"/>
              <w:rPr>
                <w:sz w:val="20"/>
                <w:szCs w:val="20"/>
                <w:color w:val="auto"/>
              </w:rPr>
            </w:pPr>
            <w:r>
              <w:rPr>
                <w:rFonts w:ascii="Arial" w:cs="Arial" w:eastAsia="Arial" w:hAnsi="Arial"/>
                <w:sz w:val="13"/>
                <w:szCs w:val="13"/>
                <w:color w:val="auto"/>
                <w:w w:val="89"/>
              </w:rPr>
              <w:t>Financial Services</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13.75%</w:t>
            </w: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82"/>
              </w:rPr>
              <w:t>28,500,000</w:t>
            </w:r>
          </w:p>
        </w:tc>
        <w:tc>
          <w:tcPr>
            <w:tcW w:w="14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5"/>
              </w:rPr>
              <w:t>28,253,554</w:t>
            </w:r>
          </w:p>
        </w:tc>
        <w:tc>
          <w:tcPr>
            <w:tcW w:w="8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5"/>
              </w:rPr>
              <w:t>28,500,000</w:t>
            </w:r>
          </w:p>
        </w:tc>
        <w:tc>
          <w:tcPr>
            <w:tcW w:w="0" w:type="dxa"/>
            <w:vAlign w:val="bottom"/>
          </w:tcPr>
          <w:p>
            <w:pPr>
              <w:spacing w:after="0"/>
              <w:rPr>
                <w:sz w:val="1"/>
                <w:szCs w:val="1"/>
                <w:color w:val="auto"/>
              </w:rPr>
            </w:pPr>
          </w:p>
        </w:tc>
      </w:tr>
      <w:tr>
        <w:trPr>
          <w:trHeight w:val="135"/>
        </w:trPr>
        <w:tc>
          <w:tcPr>
            <w:tcW w:w="29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Bennu Oil &amp; Gas, LLC</w:t>
            </w:r>
          </w:p>
        </w:tc>
        <w:tc>
          <w:tcPr>
            <w:tcW w:w="940" w:type="dxa"/>
            <w:vAlign w:val="bottom"/>
            <w:shd w:val="clear" w:color="auto" w:fill="CCEEFF"/>
          </w:tcPr>
          <w:p>
            <w:pPr>
              <w:jc w:val="center"/>
              <w:ind w:left="17"/>
              <w:spacing w:after="0" w:line="135" w:lineRule="exact"/>
              <w:rPr>
                <w:sz w:val="20"/>
                <w:szCs w:val="20"/>
                <w:color w:val="auto"/>
              </w:rPr>
            </w:pPr>
            <w:r>
              <w:rPr>
                <w:rFonts w:ascii="Arial" w:cs="Arial" w:eastAsia="Arial" w:hAnsi="Arial"/>
                <w:sz w:val="13"/>
                <w:szCs w:val="13"/>
                <w:color w:val="auto"/>
                <w:w w:val="89"/>
              </w:rPr>
              <w:t>11/01/2018</w:t>
            </w:r>
          </w:p>
        </w:tc>
        <w:tc>
          <w:tcPr>
            <w:tcW w:w="2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7"/>
              </w:rPr>
              <w:t>Oil and Gas</w:t>
            </w:r>
          </w:p>
        </w:tc>
        <w:tc>
          <w:tcPr>
            <w:tcW w:w="9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10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82"/>
              </w:rPr>
              <w:t>26,979,281</w:t>
            </w:r>
          </w:p>
        </w:tc>
        <w:tc>
          <w:tcPr>
            <w:tcW w:w="140" w:type="dxa"/>
            <w:vAlign w:val="bottom"/>
            <w:tcBorders>
              <w:right w:val="single" w:sz="8" w:color="CCEEFF"/>
            </w:tcBorders>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95"/>
              </w:rPr>
              <w:t>25,422,260</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8,633,370</w:t>
            </w:r>
          </w:p>
        </w:tc>
        <w:tc>
          <w:tcPr>
            <w:tcW w:w="0" w:type="dxa"/>
            <w:vAlign w:val="bottom"/>
          </w:tcPr>
          <w:p>
            <w:pPr>
              <w:spacing w:after="0"/>
              <w:rPr>
                <w:sz w:val="1"/>
                <w:szCs w:val="1"/>
                <w:color w:val="auto"/>
              </w:rPr>
            </w:pPr>
          </w:p>
        </w:tc>
      </w:tr>
      <w:tr>
        <w:trPr>
          <w:trHeight w:val="135"/>
        </w:trPr>
        <w:tc>
          <w:tcPr>
            <w:tcW w:w="2900" w:type="dxa"/>
            <w:vAlign w:val="bottom"/>
          </w:tcPr>
          <w:p>
            <w:pPr>
              <w:spacing w:after="0" w:line="135" w:lineRule="exact"/>
              <w:rPr>
                <w:sz w:val="20"/>
                <w:szCs w:val="20"/>
                <w:color w:val="auto"/>
              </w:rPr>
            </w:pPr>
            <w:r>
              <w:rPr>
                <w:rFonts w:ascii="Arial" w:cs="Arial" w:eastAsia="Arial" w:hAnsi="Arial"/>
                <w:sz w:val="13"/>
                <w:szCs w:val="13"/>
                <w:color w:val="auto"/>
              </w:rPr>
              <w:t>Howard Berger Co. LLC</w:t>
            </w:r>
          </w:p>
        </w:tc>
        <w:tc>
          <w:tcPr>
            <w:tcW w:w="940" w:type="dxa"/>
            <w:vAlign w:val="bottom"/>
          </w:tcPr>
          <w:p>
            <w:pPr>
              <w:jc w:val="center"/>
              <w:ind w:left="17"/>
              <w:spacing w:after="0" w:line="135" w:lineRule="exact"/>
              <w:rPr>
                <w:sz w:val="20"/>
                <w:szCs w:val="20"/>
                <w:color w:val="auto"/>
              </w:rPr>
            </w:pPr>
            <w:r>
              <w:rPr>
                <w:rFonts w:ascii="Arial" w:cs="Arial" w:eastAsia="Arial" w:hAnsi="Arial"/>
                <w:sz w:val="13"/>
                <w:szCs w:val="13"/>
                <w:color w:val="auto"/>
                <w:w w:val="89"/>
              </w:rPr>
              <w:t>09/30/2020</w:t>
            </w:r>
          </w:p>
        </w:tc>
        <w:tc>
          <w:tcPr>
            <w:tcW w:w="2900" w:type="dxa"/>
            <w:vAlign w:val="bottom"/>
          </w:tcPr>
          <w:p>
            <w:pPr>
              <w:jc w:val="center"/>
              <w:spacing w:after="0" w:line="135" w:lineRule="exact"/>
              <w:rPr>
                <w:sz w:val="20"/>
                <w:szCs w:val="20"/>
                <w:color w:val="auto"/>
              </w:rPr>
            </w:pPr>
            <w:r>
              <w:rPr>
                <w:rFonts w:ascii="Arial" w:cs="Arial" w:eastAsia="Arial" w:hAnsi="Arial"/>
                <w:sz w:val="13"/>
                <w:szCs w:val="13"/>
                <w:color w:val="auto"/>
                <w:w w:val="95"/>
              </w:rPr>
              <w:t>Distribution</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11.00%</w:t>
            </w: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L+1,000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82"/>
              </w:rPr>
              <w:t>41,250,000</w:t>
            </w:r>
          </w:p>
        </w:tc>
        <w:tc>
          <w:tcPr>
            <w:tcW w:w="14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5"/>
              </w:rPr>
              <w:t>39,419,316</w:t>
            </w:r>
          </w:p>
        </w:tc>
        <w:tc>
          <w:tcPr>
            <w:tcW w:w="8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5"/>
              </w:rPr>
              <w:t>37,125,000</w:t>
            </w:r>
          </w:p>
        </w:tc>
        <w:tc>
          <w:tcPr>
            <w:tcW w:w="0" w:type="dxa"/>
            <w:vAlign w:val="bottom"/>
          </w:tcPr>
          <w:p>
            <w:pPr>
              <w:spacing w:after="0"/>
              <w:rPr>
                <w:sz w:val="1"/>
                <w:szCs w:val="1"/>
                <w:color w:val="auto"/>
              </w:rPr>
            </w:pPr>
          </w:p>
        </w:tc>
      </w:tr>
      <w:tr>
        <w:trPr>
          <w:trHeight w:val="135"/>
        </w:trPr>
        <w:tc>
          <w:tcPr>
            <w:tcW w:w="29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Intermediate Transportation 100, LLC </w:t>
            </w:r>
            <w:r>
              <w:rPr>
                <w:rFonts w:ascii="Arial" w:cs="Arial" w:eastAsia="Arial" w:hAnsi="Arial"/>
                <w:sz w:val="10"/>
                <w:szCs w:val="10"/>
                <w:color w:val="auto"/>
              </w:rPr>
              <w:t>(5)</w:t>
            </w:r>
          </w:p>
        </w:tc>
        <w:tc>
          <w:tcPr>
            <w:tcW w:w="940" w:type="dxa"/>
            <w:vAlign w:val="bottom"/>
            <w:shd w:val="clear" w:color="auto" w:fill="CCEEFF"/>
          </w:tcPr>
          <w:p>
            <w:pPr>
              <w:jc w:val="center"/>
              <w:ind w:left="17"/>
              <w:spacing w:after="0" w:line="135" w:lineRule="exact"/>
              <w:rPr>
                <w:sz w:val="20"/>
                <w:szCs w:val="20"/>
                <w:color w:val="auto"/>
              </w:rPr>
            </w:pPr>
            <w:r>
              <w:rPr>
                <w:rFonts w:ascii="Arial" w:cs="Arial" w:eastAsia="Arial" w:hAnsi="Arial"/>
                <w:sz w:val="13"/>
                <w:szCs w:val="13"/>
                <w:color w:val="auto"/>
                <w:w w:val="89"/>
              </w:rPr>
              <w:t>03/01/2017</w:t>
            </w:r>
          </w:p>
        </w:tc>
        <w:tc>
          <w:tcPr>
            <w:tcW w:w="2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Cargo Transport</w:t>
            </w:r>
          </w:p>
        </w:tc>
        <w:tc>
          <w:tcPr>
            <w:tcW w:w="92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10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3"/>
              </w:rPr>
              <w:t>4,887,760</w:t>
            </w:r>
          </w:p>
        </w:tc>
        <w:tc>
          <w:tcPr>
            <w:tcW w:w="140" w:type="dxa"/>
            <w:vAlign w:val="bottom"/>
            <w:tcBorders>
              <w:right w:val="single" w:sz="8" w:color="CCEEFF"/>
            </w:tcBorders>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3,739,797</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2,932,656</w:t>
            </w:r>
          </w:p>
        </w:tc>
        <w:tc>
          <w:tcPr>
            <w:tcW w:w="0" w:type="dxa"/>
            <w:vAlign w:val="bottom"/>
          </w:tcPr>
          <w:p>
            <w:pPr>
              <w:spacing w:after="0"/>
              <w:rPr>
                <w:sz w:val="1"/>
                <w:szCs w:val="1"/>
                <w:color w:val="auto"/>
              </w:rPr>
            </w:pPr>
          </w:p>
        </w:tc>
      </w:tr>
      <w:tr>
        <w:trPr>
          <w:trHeight w:val="135"/>
        </w:trPr>
        <w:tc>
          <w:tcPr>
            <w:tcW w:w="2900" w:type="dxa"/>
            <w:vAlign w:val="bottom"/>
          </w:tcPr>
          <w:p>
            <w:pPr>
              <w:spacing w:after="0" w:line="135" w:lineRule="exact"/>
              <w:rPr>
                <w:sz w:val="20"/>
                <w:szCs w:val="20"/>
                <w:color w:val="auto"/>
              </w:rPr>
            </w:pPr>
            <w:r>
              <w:rPr>
                <w:rFonts w:ascii="Arial" w:cs="Arial" w:eastAsia="Arial" w:hAnsi="Arial"/>
                <w:sz w:val="13"/>
                <w:szCs w:val="13"/>
                <w:color w:val="auto"/>
              </w:rPr>
              <w:t>Jacobs Entertainment, Inc.</w:t>
            </w:r>
          </w:p>
        </w:tc>
        <w:tc>
          <w:tcPr>
            <w:tcW w:w="940" w:type="dxa"/>
            <w:vAlign w:val="bottom"/>
          </w:tcPr>
          <w:p>
            <w:pPr>
              <w:jc w:val="center"/>
              <w:ind w:left="17"/>
              <w:spacing w:after="0" w:line="135" w:lineRule="exact"/>
              <w:rPr>
                <w:sz w:val="20"/>
                <w:szCs w:val="20"/>
                <w:color w:val="auto"/>
              </w:rPr>
            </w:pPr>
            <w:r>
              <w:rPr>
                <w:rFonts w:ascii="Arial" w:cs="Arial" w:eastAsia="Arial" w:hAnsi="Arial"/>
                <w:sz w:val="13"/>
                <w:szCs w:val="13"/>
                <w:color w:val="auto"/>
                <w:w w:val="89"/>
              </w:rPr>
              <w:t>10/29/2019</w:t>
            </w:r>
          </w:p>
        </w:tc>
        <w:tc>
          <w:tcPr>
            <w:tcW w:w="2900" w:type="dxa"/>
            <w:vAlign w:val="bottom"/>
          </w:tcPr>
          <w:p>
            <w:pPr>
              <w:jc w:val="center"/>
              <w:spacing w:after="0" w:line="135" w:lineRule="exact"/>
              <w:rPr>
                <w:sz w:val="20"/>
                <w:szCs w:val="20"/>
                <w:color w:val="auto"/>
              </w:rPr>
            </w:pPr>
            <w:r>
              <w:rPr>
                <w:rFonts w:ascii="Arial" w:cs="Arial" w:eastAsia="Arial" w:hAnsi="Arial"/>
                <w:sz w:val="13"/>
                <w:szCs w:val="13"/>
                <w:color w:val="auto"/>
                <w:w w:val="88"/>
              </w:rPr>
              <w:t>Hotels, Motels, Inns and Gaming</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13.00%</w:t>
            </w: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L+1,175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82"/>
              </w:rPr>
              <w:t>51,775,000</w:t>
            </w:r>
          </w:p>
        </w:tc>
        <w:tc>
          <w:tcPr>
            <w:tcW w:w="14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5"/>
              </w:rPr>
              <w:t>51,362,786</w:t>
            </w:r>
          </w:p>
        </w:tc>
        <w:tc>
          <w:tcPr>
            <w:tcW w:w="8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5"/>
              </w:rPr>
              <w:t>51,775,000</w:t>
            </w:r>
          </w:p>
        </w:tc>
        <w:tc>
          <w:tcPr>
            <w:tcW w:w="0" w:type="dxa"/>
            <w:vAlign w:val="bottom"/>
          </w:tcPr>
          <w:p>
            <w:pPr>
              <w:spacing w:after="0"/>
              <w:rPr>
                <w:sz w:val="1"/>
                <w:szCs w:val="1"/>
                <w:color w:val="auto"/>
              </w:rPr>
            </w:pPr>
          </w:p>
        </w:tc>
      </w:tr>
      <w:tr>
        <w:trPr>
          <w:trHeight w:val="135"/>
        </w:trPr>
        <w:tc>
          <w:tcPr>
            <w:tcW w:w="29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MailSouth, Inc.</w:t>
            </w:r>
          </w:p>
        </w:tc>
        <w:tc>
          <w:tcPr>
            <w:tcW w:w="940" w:type="dxa"/>
            <w:vAlign w:val="bottom"/>
            <w:shd w:val="clear" w:color="auto" w:fill="CCEEFF"/>
          </w:tcPr>
          <w:p>
            <w:pPr>
              <w:jc w:val="center"/>
              <w:ind w:left="17"/>
              <w:spacing w:after="0" w:line="135" w:lineRule="exact"/>
              <w:rPr>
                <w:sz w:val="20"/>
                <w:szCs w:val="20"/>
                <w:color w:val="auto"/>
              </w:rPr>
            </w:pPr>
            <w:r>
              <w:rPr>
                <w:rFonts w:ascii="Arial" w:cs="Arial" w:eastAsia="Arial" w:hAnsi="Arial"/>
                <w:sz w:val="13"/>
                <w:szCs w:val="13"/>
                <w:color w:val="auto"/>
                <w:w w:val="89"/>
              </w:rPr>
              <w:t>10/22/2021</w:t>
            </w:r>
          </w:p>
        </w:tc>
        <w:tc>
          <w:tcPr>
            <w:tcW w:w="2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Printing and Publishing</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11.50%</w:t>
            </w:r>
          </w:p>
        </w:tc>
        <w:tc>
          <w:tcPr>
            <w:tcW w:w="10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L+1,050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82"/>
              </w:rPr>
              <w:t>26,425,000</w:t>
            </w:r>
          </w:p>
        </w:tc>
        <w:tc>
          <w:tcPr>
            <w:tcW w:w="140" w:type="dxa"/>
            <w:vAlign w:val="bottom"/>
            <w:tcBorders>
              <w:right w:val="single" w:sz="8" w:color="CCEEFF"/>
            </w:tcBorders>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95"/>
              </w:rPr>
              <w:t>25,926,258</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5"/>
              </w:rPr>
              <w:t>26,425,000</w:t>
            </w:r>
          </w:p>
        </w:tc>
        <w:tc>
          <w:tcPr>
            <w:tcW w:w="0" w:type="dxa"/>
            <w:vAlign w:val="bottom"/>
          </w:tcPr>
          <w:p>
            <w:pPr>
              <w:spacing w:after="0"/>
              <w:rPr>
                <w:sz w:val="1"/>
                <w:szCs w:val="1"/>
                <w:color w:val="auto"/>
              </w:rPr>
            </w:pPr>
          </w:p>
        </w:tc>
      </w:tr>
      <w:tr>
        <w:trPr>
          <w:trHeight w:val="135"/>
        </w:trPr>
        <w:tc>
          <w:tcPr>
            <w:tcW w:w="2900" w:type="dxa"/>
            <w:vAlign w:val="bottom"/>
          </w:tcPr>
          <w:p>
            <w:pPr>
              <w:spacing w:after="0" w:line="135" w:lineRule="exact"/>
              <w:rPr>
                <w:sz w:val="20"/>
                <w:szCs w:val="20"/>
                <w:color w:val="auto"/>
              </w:rPr>
            </w:pPr>
            <w:r>
              <w:rPr>
                <w:rFonts w:ascii="Arial" w:cs="Arial" w:eastAsia="Arial" w:hAnsi="Arial"/>
                <w:sz w:val="13"/>
                <w:szCs w:val="13"/>
                <w:color w:val="auto"/>
              </w:rPr>
              <w:t>Novitex Acquisition, LLC</w:t>
            </w:r>
          </w:p>
        </w:tc>
        <w:tc>
          <w:tcPr>
            <w:tcW w:w="940" w:type="dxa"/>
            <w:vAlign w:val="bottom"/>
          </w:tcPr>
          <w:p>
            <w:pPr>
              <w:jc w:val="center"/>
              <w:ind w:left="17"/>
              <w:spacing w:after="0" w:line="135" w:lineRule="exact"/>
              <w:rPr>
                <w:sz w:val="20"/>
                <w:szCs w:val="20"/>
                <w:color w:val="auto"/>
              </w:rPr>
            </w:pPr>
            <w:r>
              <w:rPr>
                <w:rFonts w:ascii="Arial" w:cs="Arial" w:eastAsia="Arial" w:hAnsi="Arial"/>
                <w:sz w:val="13"/>
                <w:szCs w:val="13"/>
                <w:color w:val="auto"/>
                <w:w w:val="89"/>
              </w:rPr>
              <w:t>07/07/2021</w:t>
            </w:r>
          </w:p>
        </w:tc>
        <w:tc>
          <w:tcPr>
            <w:tcW w:w="2900" w:type="dxa"/>
            <w:vAlign w:val="bottom"/>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12.25%</w:t>
            </w: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L+1,100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82"/>
              </w:rPr>
              <w:t>41,250,000</w:t>
            </w:r>
          </w:p>
        </w:tc>
        <w:tc>
          <w:tcPr>
            <w:tcW w:w="14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5"/>
              </w:rPr>
              <w:t>40,929,816</w:t>
            </w:r>
          </w:p>
        </w:tc>
        <w:tc>
          <w:tcPr>
            <w:tcW w:w="8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5"/>
              </w:rPr>
              <w:t>41,250,000</w:t>
            </w:r>
          </w:p>
        </w:tc>
        <w:tc>
          <w:tcPr>
            <w:tcW w:w="0" w:type="dxa"/>
            <w:vAlign w:val="bottom"/>
          </w:tcPr>
          <w:p>
            <w:pPr>
              <w:spacing w:after="0"/>
              <w:rPr>
                <w:sz w:val="1"/>
                <w:szCs w:val="1"/>
                <w:color w:val="auto"/>
              </w:rPr>
            </w:pPr>
          </w:p>
        </w:tc>
      </w:tr>
      <w:tr>
        <w:trPr>
          <w:trHeight w:val="135"/>
        </w:trPr>
        <w:tc>
          <w:tcPr>
            <w:tcW w:w="29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Parq Holdings Limited Partnership </w:t>
            </w:r>
            <w:r>
              <w:rPr>
                <w:rFonts w:ascii="Arial" w:cs="Arial" w:eastAsia="Arial" w:hAnsi="Arial"/>
                <w:sz w:val="10"/>
                <w:szCs w:val="10"/>
                <w:color w:val="auto"/>
              </w:rPr>
              <w:t>(9), (12)</w:t>
            </w:r>
          </w:p>
        </w:tc>
        <w:tc>
          <w:tcPr>
            <w:tcW w:w="940" w:type="dxa"/>
            <w:vAlign w:val="bottom"/>
            <w:shd w:val="clear" w:color="auto" w:fill="CCEEFF"/>
          </w:tcPr>
          <w:p>
            <w:pPr>
              <w:jc w:val="center"/>
              <w:ind w:left="17"/>
              <w:spacing w:after="0" w:line="135" w:lineRule="exact"/>
              <w:rPr>
                <w:sz w:val="20"/>
                <w:szCs w:val="20"/>
                <w:color w:val="auto"/>
              </w:rPr>
            </w:pPr>
            <w:r>
              <w:rPr>
                <w:rFonts w:ascii="Arial" w:cs="Arial" w:eastAsia="Arial" w:hAnsi="Arial"/>
                <w:sz w:val="13"/>
                <w:szCs w:val="13"/>
                <w:color w:val="auto"/>
                <w:w w:val="89"/>
              </w:rPr>
              <w:t>12/17/2021</w:t>
            </w:r>
          </w:p>
        </w:tc>
        <w:tc>
          <w:tcPr>
            <w:tcW w:w="2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8"/>
              </w:rPr>
              <w:t>Hotels, Motels, Inns and Gaming</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13.00%</w:t>
            </w:r>
          </w:p>
        </w:tc>
        <w:tc>
          <w:tcPr>
            <w:tcW w:w="10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L+1,200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82"/>
              </w:rPr>
              <w:t>75,000,000</w:t>
            </w:r>
          </w:p>
        </w:tc>
        <w:tc>
          <w:tcPr>
            <w:tcW w:w="140" w:type="dxa"/>
            <w:vAlign w:val="bottom"/>
            <w:tcBorders>
              <w:right w:val="single" w:sz="8" w:color="CCEEFF"/>
            </w:tcBorders>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95"/>
              </w:rPr>
              <w:t>75,000,000</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5"/>
              </w:rPr>
              <w:t>76,229,058</w:t>
            </w:r>
          </w:p>
        </w:tc>
        <w:tc>
          <w:tcPr>
            <w:tcW w:w="0" w:type="dxa"/>
            <w:vAlign w:val="bottom"/>
          </w:tcPr>
          <w:p>
            <w:pPr>
              <w:spacing w:after="0"/>
              <w:rPr>
                <w:sz w:val="1"/>
                <w:szCs w:val="1"/>
                <w:color w:val="auto"/>
              </w:rPr>
            </w:pPr>
          </w:p>
        </w:tc>
      </w:tr>
      <w:tr>
        <w:trPr>
          <w:trHeight w:val="135"/>
        </w:trPr>
        <w:tc>
          <w:tcPr>
            <w:tcW w:w="2900" w:type="dxa"/>
            <w:vAlign w:val="bottom"/>
          </w:tcPr>
          <w:p>
            <w:pPr>
              <w:spacing w:after="0" w:line="135" w:lineRule="exact"/>
              <w:rPr>
                <w:sz w:val="20"/>
                <w:szCs w:val="20"/>
                <w:color w:val="auto"/>
              </w:rPr>
            </w:pPr>
            <w:r>
              <w:rPr>
                <w:rFonts w:ascii="Arial" w:cs="Arial" w:eastAsia="Arial" w:hAnsi="Arial"/>
                <w:sz w:val="13"/>
                <w:szCs w:val="13"/>
                <w:color w:val="auto"/>
              </w:rPr>
              <w:t>Penton Media, Inc.</w:t>
            </w:r>
          </w:p>
        </w:tc>
        <w:tc>
          <w:tcPr>
            <w:tcW w:w="940" w:type="dxa"/>
            <w:vAlign w:val="bottom"/>
          </w:tcPr>
          <w:p>
            <w:pPr>
              <w:jc w:val="center"/>
              <w:ind w:left="17"/>
              <w:spacing w:after="0" w:line="135" w:lineRule="exact"/>
              <w:rPr>
                <w:sz w:val="20"/>
                <w:szCs w:val="20"/>
                <w:color w:val="auto"/>
              </w:rPr>
            </w:pPr>
            <w:r>
              <w:rPr>
                <w:rFonts w:ascii="Arial" w:cs="Arial" w:eastAsia="Arial" w:hAnsi="Arial"/>
                <w:sz w:val="13"/>
                <w:szCs w:val="13"/>
                <w:color w:val="auto"/>
                <w:w w:val="89"/>
              </w:rPr>
              <w:t>10/02/2020</w:t>
            </w:r>
          </w:p>
        </w:tc>
        <w:tc>
          <w:tcPr>
            <w:tcW w:w="2900" w:type="dxa"/>
            <w:vAlign w:val="bottom"/>
          </w:tcPr>
          <w:p>
            <w:pPr>
              <w:jc w:val="center"/>
              <w:spacing w:after="0" w:line="135" w:lineRule="exact"/>
              <w:rPr>
                <w:sz w:val="20"/>
                <w:szCs w:val="20"/>
                <w:color w:val="auto"/>
              </w:rPr>
            </w:pPr>
            <w:r>
              <w:rPr>
                <w:rFonts w:ascii="Arial" w:cs="Arial" w:eastAsia="Arial" w:hAnsi="Arial"/>
                <w:sz w:val="13"/>
                <w:szCs w:val="13"/>
                <w:color w:val="auto"/>
                <w:w w:val="90"/>
              </w:rPr>
              <w:t>Media</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9.00%</w:t>
            </w: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L+775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82"/>
              </w:rPr>
              <w:t>18,270,159</w:t>
            </w:r>
          </w:p>
        </w:tc>
        <w:tc>
          <w:tcPr>
            <w:tcW w:w="14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5"/>
              </w:rPr>
              <w:t>18,101,798</w:t>
            </w:r>
          </w:p>
        </w:tc>
        <w:tc>
          <w:tcPr>
            <w:tcW w:w="8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5"/>
              </w:rPr>
              <w:t>18,201,646</w:t>
            </w:r>
          </w:p>
        </w:tc>
        <w:tc>
          <w:tcPr>
            <w:tcW w:w="0" w:type="dxa"/>
            <w:vAlign w:val="bottom"/>
          </w:tcPr>
          <w:p>
            <w:pPr>
              <w:spacing w:after="0"/>
              <w:rPr>
                <w:sz w:val="1"/>
                <w:szCs w:val="1"/>
                <w:color w:val="auto"/>
              </w:rPr>
            </w:pPr>
          </w:p>
        </w:tc>
      </w:tr>
      <w:tr>
        <w:trPr>
          <w:trHeight w:val="135"/>
        </w:trPr>
        <w:tc>
          <w:tcPr>
            <w:tcW w:w="29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Pre-Paid Legal Services, Inc.</w:t>
            </w:r>
          </w:p>
        </w:tc>
        <w:tc>
          <w:tcPr>
            <w:tcW w:w="940" w:type="dxa"/>
            <w:vAlign w:val="bottom"/>
            <w:shd w:val="clear" w:color="auto" w:fill="CCEEFF"/>
          </w:tcPr>
          <w:p>
            <w:pPr>
              <w:jc w:val="center"/>
              <w:ind w:left="17"/>
              <w:spacing w:after="0" w:line="135" w:lineRule="exact"/>
              <w:rPr>
                <w:sz w:val="20"/>
                <w:szCs w:val="20"/>
                <w:color w:val="auto"/>
              </w:rPr>
            </w:pPr>
            <w:r>
              <w:rPr>
                <w:rFonts w:ascii="Arial" w:cs="Arial" w:eastAsia="Arial" w:hAnsi="Arial"/>
                <w:sz w:val="13"/>
                <w:szCs w:val="13"/>
                <w:color w:val="auto"/>
                <w:w w:val="89"/>
              </w:rPr>
              <w:t>07/01/2020</w:t>
            </w:r>
          </w:p>
        </w:tc>
        <w:tc>
          <w:tcPr>
            <w:tcW w:w="2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6"/>
              </w:rPr>
              <w:t>Personal, Food and Miscellaneous Services</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10.25%</w:t>
            </w:r>
          </w:p>
        </w:tc>
        <w:tc>
          <w:tcPr>
            <w:tcW w:w="10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L+900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82"/>
              </w:rPr>
              <w:t>56,750,000</w:t>
            </w:r>
          </w:p>
        </w:tc>
        <w:tc>
          <w:tcPr>
            <w:tcW w:w="140" w:type="dxa"/>
            <w:vAlign w:val="bottom"/>
            <w:tcBorders>
              <w:right w:val="single" w:sz="8" w:color="CCEEFF"/>
            </w:tcBorders>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95"/>
              </w:rPr>
              <w:t>56,202,295</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5"/>
              </w:rPr>
              <w:t>56,087,727</w:t>
            </w:r>
          </w:p>
        </w:tc>
        <w:tc>
          <w:tcPr>
            <w:tcW w:w="0" w:type="dxa"/>
            <w:vAlign w:val="bottom"/>
          </w:tcPr>
          <w:p>
            <w:pPr>
              <w:spacing w:after="0"/>
              <w:rPr>
                <w:sz w:val="1"/>
                <w:szCs w:val="1"/>
                <w:color w:val="auto"/>
              </w:rPr>
            </w:pPr>
          </w:p>
        </w:tc>
      </w:tr>
      <w:tr>
        <w:trPr>
          <w:trHeight w:val="135"/>
        </w:trPr>
        <w:tc>
          <w:tcPr>
            <w:tcW w:w="2900" w:type="dxa"/>
            <w:vAlign w:val="bottom"/>
          </w:tcPr>
          <w:p>
            <w:pPr>
              <w:spacing w:after="0" w:line="135" w:lineRule="exact"/>
              <w:rPr>
                <w:sz w:val="20"/>
                <w:szCs w:val="20"/>
                <w:color w:val="auto"/>
              </w:rPr>
            </w:pPr>
            <w:r>
              <w:rPr>
                <w:rFonts w:ascii="Arial" w:cs="Arial" w:eastAsia="Arial" w:hAnsi="Arial"/>
                <w:sz w:val="13"/>
                <w:szCs w:val="13"/>
                <w:color w:val="auto"/>
              </w:rPr>
              <w:t>Prime Security Services Borrower, LLC</w:t>
            </w:r>
          </w:p>
        </w:tc>
        <w:tc>
          <w:tcPr>
            <w:tcW w:w="940" w:type="dxa"/>
            <w:vAlign w:val="bottom"/>
          </w:tcPr>
          <w:p>
            <w:pPr>
              <w:jc w:val="center"/>
              <w:ind w:left="17"/>
              <w:spacing w:after="0" w:line="135" w:lineRule="exact"/>
              <w:rPr>
                <w:sz w:val="20"/>
                <w:szCs w:val="20"/>
                <w:color w:val="auto"/>
              </w:rPr>
            </w:pPr>
            <w:r>
              <w:rPr>
                <w:rFonts w:ascii="Arial" w:cs="Arial" w:eastAsia="Arial" w:hAnsi="Arial"/>
                <w:sz w:val="13"/>
                <w:szCs w:val="13"/>
                <w:color w:val="auto"/>
                <w:w w:val="89"/>
              </w:rPr>
              <w:t>07/01/2022</w:t>
            </w:r>
          </w:p>
        </w:tc>
        <w:tc>
          <w:tcPr>
            <w:tcW w:w="2900" w:type="dxa"/>
            <w:vAlign w:val="bottom"/>
          </w:tcPr>
          <w:p>
            <w:pPr>
              <w:jc w:val="center"/>
              <w:spacing w:after="0" w:line="135" w:lineRule="exact"/>
              <w:rPr>
                <w:sz w:val="20"/>
                <w:szCs w:val="20"/>
                <w:color w:val="auto"/>
              </w:rPr>
            </w:pPr>
            <w:r>
              <w:rPr>
                <w:rFonts w:ascii="Arial" w:cs="Arial" w:eastAsia="Arial" w:hAnsi="Arial"/>
                <w:sz w:val="13"/>
                <w:szCs w:val="13"/>
                <w:color w:val="auto"/>
                <w:w w:val="86"/>
              </w:rPr>
              <w:t>Personal, Food and Miscellaneous Services</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9.75%</w:t>
            </w: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L+875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82"/>
              </w:rPr>
              <w:t>14,798,077</w:t>
            </w:r>
          </w:p>
        </w:tc>
        <w:tc>
          <w:tcPr>
            <w:tcW w:w="14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5"/>
              </w:rPr>
              <w:t>14,613,655</w:t>
            </w:r>
          </w:p>
        </w:tc>
        <w:tc>
          <w:tcPr>
            <w:tcW w:w="8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5"/>
              </w:rPr>
              <w:t>15,029,371</w:t>
            </w:r>
          </w:p>
        </w:tc>
        <w:tc>
          <w:tcPr>
            <w:tcW w:w="0" w:type="dxa"/>
            <w:vAlign w:val="bottom"/>
          </w:tcPr>
          <w:p>
            <w:pPr>
              <w:spacing w:after="0"/>
              <w:rPr>
                <w:sz w:val="1"/>
                <w:szCs w:val="1"/>
                <w:color w:val="auto"/>
              </w:rPr>
            </w:pPr>
          </w:p>
        </w:tc>
      </w:tr>
      <w:tr>
        <w:trPr>
          <w:trHeight w:val="135"/>
        </w:trPr>
        <w:tc>
          <w:tcPr>
            <w:tcW w:w="29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VT Buyer Acquisition Corp.</w:t>
            </w:r>
          </w:p>
        </w:tc>
        <w:tc>
          <w:tcPr>
            <w:tcW w:w="940" w:type="dxa"/>
            <w:vAlign w:val="bottom"/>
            <w:shd w:val="clear" w:color="auto" w:fill="CCEEFF"/>
          </w:tcPr>
          <w:p>
            <w:pPr>
              <w:jc w:val="center"/>
              <w:ind w:left="17"/>
              <w:spacing w:after="0" w:line="135" w:lineRule="exact"/>
              <w:rPr>
                <w:sz w:val="20"/>
                <w:szCs w:val="20"/>
                <w:color w:val="auto"/>
              </w:rPr>
            </w:pPr>
            <w:r>
              <w:rPr>
                <w:rFonts w:ascii="Arial" w:cs="Arial" w:eastAsia="Arial" w:hAnsi="Arial"/>
                <w:sz w:val="13"/>
                <w:szCs w:val="13"/>
                <w:color w:val="auto"/>
                <w:w w:val="89"/>
              </w:rPr>
              <w:t>01/30/2023</w:t>
            </w:r>
          </w:p>
        </w:tc>
        <w:tc>
          <w:tcPr>
            <w:tcW w:w="2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4"/>
              </w:rPr>
              <w:t>Business Services</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10.75%</w:t>
            </w:r>
          </w:p>
        </w:tc>
        <w:tc>
          <w:tcPr>
            <w:tcW w:w="10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L+975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82"/>
              </w:rPr>
              <w:t>12,862,500</w:t>
            </w:r>
          </w:p>
        </w:tc>
        <w:tc>
          <w:tcPr>
            <w:tcW w:w="140" w:type="dxa"/>
            <w:vAlign w:val="bottom"/>
            <w:tcBorders>
              <w:right w:val="single" w:sz="8" w:color="CCEEFF"/>
            </w:tcBorders>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95"/>
              </w:rPr>
              <w:t>12,441,130</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5"/>
              </w:rPr>
              <w:t>12,862,500</w:t>
            </w:r>
          </w:p>
        </w:tc>
        <w:tc>
          <w:tcPr>
            <w:tcW w:w="0" w:type="dxa"/>
            <w:vAlign w:val="bottom"/>
          </w:tcPr>
          <w:p>
            <w:pPr>
              <w:spacing w:after="0"/>
              <w:rPr>
                <w:sz w:val="1"/>
                <w:szCs w:val="1"/>
                <w:color w:val="auto"/>
              </w:rPr>
            </w:pPr>
          </w:p>
        </w:tc>
      </w:tr>
      <w:tr>
        <w:trPr>
          <w:trHeight w:val="149"/>
        </w:trPr>
        <w:tc>
          <w:tcPr>
            <w:tcW w:w="2900" w:type="dxa"/>
            <w:vAlign w:val="bottom"/>
          </w:tcPr>
          <w:p>
            <w:pPr>
              <w:spacing w:after="0" w:line="142" w:lineRule="exact"/>
              <w:rPr>
                <w:sz w:val="20"/>
                <w:szCs w:val="20"/>
                <w:color w:val="auto"/>
              </w:rPr>
            </w:pPr>
            <w:r>
              <w:rPr>
                <w:rFonts w:ascii="Arial" w:cs="Arial" w:eastAsia="Arial" w:hAnsi="Arial"/>
                <w:sz w:val="13"/>
                <w:szCs w:val="13"/>
                <w:b w:val="1"/>
                <w:bCs w:val="1"/>
                <w:color w:val="auto"/>
              </w:rPr>
              <w:t>Total Second Lien Secured Debt</w:t>
            </w:r>
          </w:p>
        </w:tc>
        <w:tc>
          <w:tcPr>
            <w:tcW w:w="9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416,812,665</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392,831,328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Subordinated Debt/Corporate Notes—15.9%</w:t>
            </w:r>
          </w:p>
        </w:tc>
        <w:tc>
          <w:tcPr>
            <w:tcW w:w="940" w:type="dxa"/>
            <w:vAlign w:val="bottom"/>
            <w:shd w:val="clear" w:color="auto" w:fill="CCEEFF"/>
          </w:tcPr>
          <w:p>
            <w:pPr>
              <w:spacing w:after="0"/>
              <w:rPr>
                <w:sz w:val="11"/>
                <w:szCs w:val="11"/>
                <w:color w:val="auto"/>
              </w:rPr>
            </w:pPr>
          </w:p>
        </w:tc>
        <w:tc>
          <w:tcPr>
            <w:tcW w:w="29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00" w:type="dxa"/>
            <w:vAlign w:val="bottom"/>
          </w:tcPr>
          <w:p>
            <w:pPr>
              <w:spacing w:after="0" w:line="135" w:lineRule="exact"/>
              <w:rPr>
                <w:sz w:val="20"/>
                <w:szCs w:val="20"/>
                <w:color w:val="auto"/>
              </w:rPr>
            </w:pPr>
            <w:r>
              <w:rPr>
                <w:rFonts w:ascii="Arial" w:cs="Arial" w:eastAsia="Arial" w:hAnsi="Arial"/>
                <w:sz w:val="13"/>
                <w:szCs w:val="13"/>
                <w:color w:val="auto"/>
              </w:rPr>
              <w:t>Alegeus Technologies, LLC</w:t>
            </w:r>
          </w:p>
        </w:tc>
        <w:tc>
          <w:tcPr>
            <w:tcW w:w="940" w:type="dxa"/>
            <w:vAlign w:val="bottom"/>
          </w:tcPr>
          <w:p>
            <w:pPr>
              <w:jc w:val="center"/>
              <w:ind w:left="17"/>
              <w:spacing w:after="0" w:line="135" w:lineRule="exact"/>
              <w:rPr>
                <w:sz w:val="20"/>
                <w:szCs w:val="20"/>
                <w:color w:val="auto"/>
              </w:rPr>
            </w:pPr>
            <w:r>
              <w:rPr>
                <w:rFonts w:ascii="Arial" w:cs="Arial" w:eastAsia="Arial" w:hAnsi="Arial"/>
                <w:sz w:val="13"/>
                <w:szCs w:val="13"/>
                <w:color w:val="auto"/>
                <w:w w:val="89"/>
              </w:rPr>
              <w:t>02/15/2019</w:t>
            </w:r>
          </w:p>
        </w:tc>
        <w:tc>
          <w:tcPr>
            <w:tcW w:w="2900" w:type="dxa"/>
            <w:vAlign w:val="bottom"/>
          </w:tcPr>
          <w:p>
            <w:pPr>
              <w:jc w:val="center"/>
              <w:spacing w:after="0" w:line="135" w:lineRule="exact"/>
              <w:rPr>
                <w:sz w:val="20"/>
                <w:szCs w:val="20"/>
                <w:color w:val="auto"/>
              </w:rPr>
            </w:pPr>
            <w:r>
              <w:rPr>
                <w:rFonts w:ascii="Arial" w:cs="Arial" w:eastAsia="Arial" w:hAnsi="Arial"/>
                <w:sz w:val="13"/>
                <w:szCs w:val="13"/>
                <w:color w:val="auto"/>
                <w:w w:val="89"/>
              </w:rPr>
              <w:t>Financial Services</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13.00%</w:t>
            </w: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L+1,200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93"/>
              </w:rPr>
              <w:t>8,930,000</w:t>
            </w:r>
          </w:p>
        </w:tc>
        <w:tc>
          <w:tcPr>
            <w:tcW w:w="14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8,844,669</w:t>
            </w:r>
          </w:p>
        </w:tc>
        <w:tc>
          <w:tcPr>
            <w:tcW w:w="8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8,831,201</w:t>
            </w:r>
          </w:p>
        </w:tc>
        <w:tc>
          <w:tcPr>
            <w:tcW w:w="0" w:type="dxa"/>
            <w:vAlign w:val="bottom"/>
          </w:tcPr>
          <w:p>
            <w:pPr>
              <w:spacing w:after="0"/>
              <w:rPr>
                <w:sz w:val="1"/>
                <w:szCs w:val="1"/>
                <w:color w:val="auto"/>
              </w:rPr>
            </w:pPr>
          </w:p>
        </w:tc>
      </w:tr>
      <w:tr>
        <w:trPr>
          <w:trHeight w:val="135"/>
        </w:trPr>
        <w:tc>
          <w:tcPr>
            <w:tcW w:w="29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Cascade Environmental LLC</w:t>
            </w:r>
          </w:p>
        </w:tc>
        <w:tc>
          <w:tcPr>
            <w:tcW w:w="940" w:type="dxa"/>
            <w:vAlign w:val="bottom"/>
            <w:shd w:val="clear" w:color="auto" w:fill="CCEEFF"/>
          </w:tcPr>
          <w:p>
            <w:pPr>
              <w:jc w:val="center"/>
              <w:ind w:left="17"/>
              <w:spacing w:after="0" w:line="135" w:lineRule="exact"/>
              <w:rPr>
                <w:sz w:val="20"/>
                <w:szCs w:val="20"/>
                <w:color w:val="auto"/>
              </w:rPr>
            </w:pPr>
            <w:r>
              <w:rPr>
                <w:rFonts w:ascii="Arial" w:cs="Arial" w:eastAsia="Arial" w:hAnsi="Arial"/>
                <w:sz w:val="13"/>
                <w:szCs w:val="13"/>
                <w:color w:val="auto"/>
                <w:w w:val="89"/>
              </w:rPr>
              <w:t>08/20/2021</w:t>
            </w:r>
          </w:p>
        </w:tc>
        <w:tc>
          <w:tcPr>
            <w:tcW w:w="2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Environmental Services</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12.00%</w:t>
            </w:r>
          </w:p>
        </w:tc>
        <w:tc>
          <w:tcPr>
            <w:tcW w:w="10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82"/>
              </w:rPr>
              <w:t>32,675,553</w:t>
            </w:r>
          </w:p>
        </w:tc>
        <w:tc>
          <w:tcPr>
            <w:tcW w:w="140" w:type="dxa"/>
            <w:vAlign w:val="bottom"/>
            <w:tcBorders>
              <w:right w:val="single" w:sz="8" w:color="CCEEFF"/>
            </w:tcBorders>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95"/>
              </w:rPr>
              <w:t>32,055,101</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5"/>
              </w:rPr>
              <w:t>32,675,553</w:t>
            </w:r>
          </w:p>
        </w:tc>
        <w:tc>
          <w:tcPr>
            <w:tcW w:w="0" w:type="dxa"/>
            <w:vAlign w:val="bottom"/>
          </w:tcPr>
          <w:p>
            <w:pPr>
              <w:spacing w:after="0"/>
              <w:rPr>
                <w:sz w:val="1"/>
                <w:szCs w:val="1"/>
                <w:color w:val="auto"/>
              </w:rPr>
            </w:pPr>
          </w:p>
        </w:tc>
      </w:tr>
      <w:tr>
        <w:trPr>
          <w:trHeight w:val="121"/>
        </w:trPr>
        <w:tc>
          <w:tcPr>
            <w:tcW w:w="2900" w:type="dxa"/>
            <w:vAlign w:val="bottom"/>
          </w:tcPr>
          <w:p>
            <w:pPr>
              <w:spacing w:after="0" w:line="121" w:lineRule="exact"/>
              <w:rPr>
                <w:sz w:val="20"/>
                <w:szCs w:val="20"/>
                <w:color w:val="auto"/>
              </w:rPr>
            </w:pPr>
            <w:r>
              <w:rPr>
                <w:rFonts w:ascii="Arial" w:cs="Arial" w:eastAsia="Arial" w:hAnsi="Arial"/>
                <w:sz w:val="13"/>
                <w:szCs w:val="13"/>
                <w:color w:val="auto"/>
              </w:rPr>
              <w:t>Credit Infonet, Inc.</w:t>
            </w:r>
          </w:p>
        </w:tc>
        <w:tc>
          <w:tcPr>
            <w:tcW w:w="940" w:type="dxa"/>
            <w:vAlign w:val="bottom"/>
          </w:tcPr>
          <w:p>
            <w:pPr>
              <w:jc w:val="center"/>
              <w:ind w:left="17"/>
              <w:spacing w:after="0" w:line="121" w:lineRule="exact"/>
              <w:rPr>
                <w:sz w:val="20"/>
                <w:szCs w:val="20"/>
                <w:color w:val="auto"/>
              </w:rPr>
            </w:pPr>
            <w:r>
              <w:rPr>
                <w:rFonts w:ascii="Arial" w:cs="Arial" w:eastAsia="Arial" w:hAnsi="Arial"/>
                <w:sz w:val="13"/>
                <w:szCs w:val="13"/>
                <w:color w:val="auto"/>
                <w:w w:val="89"/>
              </w:rPr>
              <w:t>10/26/2018</w:t>
            </w:r>
          </w:p>
        </w:tc>
        <w:tc>
          <w:tcPr>
            <w:tcW w:w="2900" w:type="dxa"/>
            <w:vAlign w:val="bottom"/>
          </w:tcPr>
          <w:p>
            <w:pPr>
              <w:jc w:val="center"/>
              <w:spacing w:after="0" w:line="121" w:lineRule="exact"/>
              <w:rPr>
                <w:sz w:val="20"/>
                <w:szCs w:val="20"/>
                <w:color w:val="auto"/>
              </w:rPr>
            </w:pPr>
            <w:r>
              <w:rPr>
                <w:rFonts w:ascii="Arial" w:cs="Arial" w:eastAsia="Arial" w:hAnsi="Arial"/>
                <w:sz w:val="13"/>
                <w:szCs w:val="13"/>
                <w:color w:val="auto"/>
                <w:w w:val="86"/>
              </w:rPr>
              <w:t>Personal, Food and Miscellaneous Services</w:t>
            </w:r>
          </w:p>
        </w:tc>
        <w:tc>
          <w:tcPr>
            <w:tcW w:w="920" w:type="dxa"/>
            <w:vAlign w:val="bottom"/>
          </w:tcPr>
          <w:p>
            <w:pPr>
              <w:jc w:val="right"/>
              <w:ind w:right="37"/>
              <w:spacing w:after="0" w:line="121" w:lineRule="exact"/>
              <w:rPr>
                <w:sz w:val="20"/>
                <w:szCs w:val="20"/>
                <w:color w:val="auto"/>
              </w:rPr>
            </w:pPr>
            <w:r>
              <w:rPr>
                <w:rFonts w:ascii="Arial" w:cs="Arial" w:eastAsia="Arial" w:hAnsi="Arial"/>
                <w:sz w:val="13"/>
                <w:szCs w:val="13"/>
                <w:color w:val="auto"/>
              </w:rPr>
              <w:t>13.00%</w:t>
            </w:r>
          </w:p>
        </w:tc>
        <w:tc>
          <w:tcPr>
            <w:tcW w:w="1040" w:type="dxa"/>
            <w:vAlign w:val="bottom"/>
            <w:gridSpan w:val="2"/>
          </w:tcPr>
          <w:p>
            <w:pPr>
              <w:jc w:val="right"/>
              <w:ind w:right="200"/>
              <w:spacing w:after="0" w:line="121"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gridSpan w:val="2"/>
          </w:tcPr>
          <w:p>
            <w:pPr>
              <w:jc w:val="right"/>
              <w:ind w:right="100"/>
              <w:spacing w:after="0" w:line="121" w:lineRule="exact"/>
              <w:rPr>
                <w:sz w:val="20"/>
                <w:szCs w:val="20"/>
                <w:color w:val="auto"/>
              </w:rPr>
            </w:pPr>
            <w:r>
              <w:rPr>
                <w:rFonts w:ascii="Arial" w:cs="Arial" w:eastAsia="Arial" w:hAnsi="Arial"/>
                <w:sz w:val="13"/>
                <w:szCs w:val="13"/>
                <w:color w:val="auto"/>
                <w:w w:val="82"/>
              </w:rPr>
              <w:t>11,035,083</w:t>
            </w:r>
          </w:p>
        </w:tc>
        <w:tc>
          <w:tcPr>
            <w:tcW w:w="140" w:type="dxa"/>
            <w:vAlign w:val="bottom"/>
          </w:tcPr>
          <w:p>
            <w:pPr>
              <w:spacing w:after="0"/>
              <w:rPr>
                <w:sz w:val="10"/>
                <w:szCs w:val="10"/>
                <w:color w:val="auto"/>
              </w:rPr>
            </w:pPr>
          </w:p>
        </w:tc>
        <w:tc>
          <w:tcPr>
            <w:tcW w:w="82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w w:val="95"/>
              </w:rPr>
              <w:t>10,937,329</w:t>
            </w:r>
          </w:p>
        </w:tc>
        <w:tc>
          <w:tcPr>
            <w:tcW w:w="80" w:type="dxa"/>
            <w:vAlign w:val="bottom"/>
          </w:tcPr>
          <w:p>
            <w:pPr>
              <w:spacing w:after="0"/>
              <w:rPr>
                <w:sz w:val="10"/>
                <w:szCs w:val="10"/>
                <w:color w:val="auto"/>
              </w:rPr>
            </w:pPr>
          </w:p>
        </w:tc>
        <w:tc>
          <w:tcPr>
            <w:tcW w:w="70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w w:val="95"/>
              </w:rPr>
              <w:t>10,538,501</w:t>
            </w:r>
          </w:p>
        </w:tc>
        <w:tc>
          <w:tcPr>
            <w:tcW w:w="0" w:type="dxa"/>
            <w:vAlign w:val="bottom"/>
          </w:tcPr>
          <w:p>
            <w:pPr>
              <w:spacing w:after="0"/>
              <w:rPr>
                <w:sz w:val="1"/>
                <w:szCs w:val="1"/>
                <w:color w:val="auto"/>
              </w:rPr>
            </w:pPr>
          </w:p>
        </w:tc>
      </w:tr>
      <w:tr>
        <w:trPr>
          <w:trHeight w:val="161"/>
        </w:trPr>
        <w:tc>
          <w:tcPr>
            <w:tcW w:w="2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(PIK 1.75%)</w:t>
            </w: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900" w:type="dxa"/>
            <w:vAlign w:val="bottom"/>
            <w:shd w:val="clear" w:color="auto" w:fill="CCEEFF"/>
          </w:tcPr>
          <w:p>
            <w:pPr>
              <w:spacing w:after="0" w:line="122" w:lineRule="exact"/>
              <w:rPr>
                <w:sz w:val="20"/>
                <w:szCs w:val="20"/>
                <w:color w:val="auto"/>
              </w:rPr>
            </w:pPr>
            <w:r>
              <w:rPr>
                <w:rFonts w:ascii="Arial" w:cs="Arial" w:eastAsia="Arial" w:hAnsi="Arial"/>
                <w:sz w:val="13"/>
                <w:szCs w:val="13"/>
                <w:color w:val="auto"/>
              </w:rPr>
              <w:t xml:space="preserve">Goldsun Trading Limited </w:t>
            </w:r>
            <w:r>
              <w:rPr>
                <w:rFonts w:ascii="Arial" w:cs="Arial" w:eastAsia="Arial" w:hAnsi="Arial"/>
                <w:sz w:val="10"/>
                <w:szCs w:val="10"/>
                <w:color w:val="auto"/>
              </w:rPr>
              <w:t>(9), (11), (12)</w:t>
            </w:r>
          </w:p>
        </w:tc>
        <w:tc>
          <w:tcPr>
            <w:tcW w:w="940" w:type="dxa"/>
            <w:vAlign w:val="bottom"/>
            <w:shd w:val="clear" w:color="auto" w:fill="CCEEFF"/>
          </w:tcPr>
          <w:p>
            <w:pPr>
              <w:jc w:val="center"/>
              <w:ind w:left="17"/>
              <w:spacing w:after="0" w:line="122" w:lineRule="exact"/>
              <w:rPr>
                <w:sz w:val="20"/>
                <w:szCs w:val="20"/>
                <w:color w:val="auto"/>
              </w:rPr>
            </w:pPr>
            <w:r>
              <w:rPr>
                <w:rFonts w:ascii="Arial" w:cs="Arial" w:eastAsia="Arial" w:hAnsi="Arial"/>
                <w:sz w:val="13"/>
                <w:szCs w:val="13"/>
                <w:color w:val="auto"/>
                <w:w w:val="89"/>
              </w:rPr>
              <w:t>02/19/2018</w:t>
            </w:r>
          </w:p>
        </w:tc>
        <w:tc>
          <w:tcPr>
            <w:tcW w:w="2900" w:type="dxa"/>
            <w:vAlign w:val="bottom"/>
            <w:shd w:val="clear" w:color="auto" w:fill="CCEEFF"/>
          </w:tcPr>
          <w:p>
            <w:pPr>
              <w:jc w:val="center"/>
              <w:spacing w:after="0" w:line="122" w:lineRule="exact"/>
              <w:rPr>
                <w:sz w:val="20"/>
                <w:szCs w:val="20"/>
                <w:color w:val="auto"/>
              </w:rPr>
            </w:pPr>
            <w:r>
              <w:rPr>
                <w:rFonts w:ascii="Arial" w:cs="Arial" w:eastAsia="Arial" w:hAnsi="Arial"/>
                <w:sz w:val="13"/>
                <w:szCs w:val="13"/>
                <w:color w:val="auto"/>
                <w:w w:val="87"/>
              </w:rPr>
              <w:t>Healthcare, Education and Childcare</w:t>
            </w:r>
          </w:p>
        </w:tc>
        <w:tc>
          <w:tcPr>
            <w:tcW w:w="920" w:type="dxa"/>
            <w:vAlign w:val="bottom"/>
            <w:shd w:val="clear" w:color="auto" w:fill="CCEEFF"/>
          </w:tcPr>
          <w:p>
            <w:pPr>
              <w:jc w:val="right"/>
              <w:ind w:right="37"/>
              <w:spacing w:after="0" w:line="122" w:lineRule="exact"/>
              <w:rPr>
                <w:sz w:val="20"/>
                <w:szCs w:val="20"/>
                <w:color w:val="auto"/>
              </w:rPr>
            </w:pPr>
            <w:r>
              <w:rPr>
                <w:rFonts w:ascii="Arial" w:cs="Arial" w:eastAsia="Arial" w:hAnsi="Arial"/>
                <w:sz w:val="13"/>
                <w:szCs w:val="13"/>
                <w:color w:val="auto"/>
              </w:rPr>
              <w:t>14.50%</w:t>
            </w:r>
          </w:p>
        </w:tc>
        <w:tc>
          <w:tcPr>
            <w:tcW w:w="1040" w:type="dxa"/>
            <w:vAlign w:val="bottom"/>
            <w:gridSpan w:val="2"/>
            <w:shd w:val="clear" w:color="auto" w:fill="CCEEFF"/>
          </w:tcPr>
          <w:p>
            <w:pPr>
              <w:jc w:val="right"/>
              <w:ind w:right="200"/>
              <w:spacing w:after="0" w:line="122" w:lineRule="exact"/>
              <w:rPr>
                <w:sz w:val="20"/>
                <w:szCs w:val="20"/>
                <w:color w:val="auto"/>
              </w:rPr>
            </w:pPr>
            <w:r>
              <w:rPr>
                <w:rFonts w:ascii="Arial" w:cs="Arial" w:eastAsia="Arial" w:hAnsi="Arial"/>
                <w:sz w:val="13"/>
                <w:szCs w:val="13"/>
                <w:color w:val="auto"/>
              </w:rPr>
              <w:t>L+1,000</w:t>
            </w:r>
          </w:p>
        </w:tc>
        <w:tc>
          <w:tcPr>
            <w:tcW w:w="14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3"/>
                <w:szCs w:val="13"/>
                <w:color w:val="auto"/>
              </w:rPr>
              <w:t>£</w:t>
            </w:r>
          </w:p>
        </w:tc>
        <w:tc>
          <w:tcPr>
            <w:tcW w:w="660" w:type="dxa"/>
            <w:vAlign w:val="bottom"/>
            <w:gridSpan w:val="2"/>
            <w:shd w:val="clear" w:color="auto" w:fill="CCEEFF"/>
          </w:tcPr>
          <w:p>
            <w:pPr>
              <w:jc w:val="right"/>
              <w:ind w:right="100"/>
              <w:spacing w:after="0" w:line="122" w:lineRule="exact"/>
              <w:rPr>
                <w:sz w:val="20"/>
                <w:szCs w:val="20"/>
                <w:color w:val="auto"/>
              </w:rPr>
            </w:pPr>
            <w:r>
              <w:rPr>
                <w:rFonts w:ascii="Arial" w:cs="Arial" w:eastAsia="Arial" w:hAnsi="Arial"/>
                <w:sz w:val="13"/>
                <w:szCs w:val="13"/>
                <w:color w:val="auto"/>
                <w:w w:val="93"/>
              </w:rPr>
              <w:t>8,375,600</w:t>
            </w:r>
          </w:p>
        </w:tc>
        <w:tc>
          <w:tcPr>
            <w:tcW w:w="140" w:type="dxa"/>
            <w:vAlign w:val="bottom"/>
            <w:tcBorders>
              <w:right w:val="single" w:sz="8" w:color="CCEEFF"/>
            </w:tcBorders>
            <w:shd w:val="clear" w:color="auto" w:fill="CCEEFF"/>
          </w:tcPr>
          <w:p>
            <w:pPr>
              <w:spacing w:after="0"/>
              <w:rPr>
                <w:sz w:val="10"/>
                <w:szCs w:val="10"/>
                <w:color w:val="auto"/>
              </w:rPr>
            </w:pPr>
          </w:p>
        </w:tc>
        <w:tc>
          <w:tcPr>
            <w:tcW w:w="820" w:type="dxa"/>
            <w:vAlign w:val="bottom"/>
            <w:gridSpan w:val="2"/>
            <w:shd w:val="clear" w:color="auto" w:fill="CCEEFF"/>
          </w:tcPr>
          <w:p>
            <w:pPr>
              <w:jc w:val="right"/>
              <w:ind w:right="180"/>
              <w:spacing w:after="0" w:line="122" w:lineRule="exact"/>
              <w:rPr>
                <w:sz w:val="20"/>
                <w:szCs w:val="20"/>
                <w:color w:val="auto"/>
              </w:rPr>
            </w:pPr>
            <w:r>
              <w:rPr>
                <w:rFonts w:ascii="Arial" w:cs="Arial" w:eastAsia="Arial" w:hAnsi="Arial"/>
                <w:sz w:val="13"/>
                <w:szCs w:val="13"/>
                <w:color w:val="auto"/>
                <w:w w:val="95"/>
              </w:rPr>
              <w:t>12,306,414</w:t>
            </w: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60"/>
              <w:spacing w:after="0" w:line="122" w:lineRule="exact"/>
              <w:rPr>
                <w:sz w:val="20"/>
                <w:szCs w:val="20"/>
                <w:color w:val="auto"/>
              </w:rPr>
            </w:pPr>
            <w:r>
              <w:rPr>
                <w:rFonts w:ascii="Arial" w:cs="Arial" w:eastAsia="Arial" w:hAnsi="Arial"/>
                <w:sz w:val="13"/>
                <w:szCs w:val="13"/>
                <w:color w:val="auto"/>
                <w:w w:val="95"/>
              </w:rPr>
              <w:t>10,855,976</w:t>
            </w:r>
          </w:p>
        </w:tc>
        <w:tc>
          <w:tcPr>
            <w:tcW w:w="0" w:type="dxa"/>
            <w:vAlign w:val="bottom"/>
          </w:tcPr>
          <w:p>
            <w:pPr>
              <w:spacing w:after="0"/>
              <w:rPr>
                <w:sz w:val="1"/>
                <w:szCs w:val="1"/>
                <w:color w:val="auto"/>
              </w:rPr>
            </w:pPr>
          </w:p>
        </w:tc>
      </w:tr>
      <w:tr>
        <w:trPr>
          <w:trHeight w:val="163"/>
        </w:trPr>
        <w:tc>
          <w:tcPr>
            <w:tcW w:w="29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(PIK 6.00%)</w:t>
            </w: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right w:val="single" w:sz="8" w:color="CCEEFF"/>
            </w:tcBorders>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900" w:type="dxa"/>
            <w:vAlign w:val="bottom"/>
          </w:tcPr>
          <w:p>
            <w:pPr>
              <w:spacing w:after="0" w:line="135" w:lineRule="exact"/>
              <w:rPr>
                <w:sz w:val="20"/>
                <w:szCs w:val="20"/>
                <w:color w:val="auto"/>
              </w:rPr>
            </w:pPr>
            <w:r>
              <w:rPr>
                <w:rFonts w:ascii="Arial" w:cs="Arial" w:eastAsia="Arial" w:hAnsi="Arial"/>
                <w:sz w:val="13"/>
                <w:szCs w:val="13"/>
                <w:color w:val="auto"/>
              </w:rPr>
              <w:t>Randall-Reilly, LLC</w:t>
            </w:r>
          </w:p>
        </w:tc>
        <w:tc>
          <w:tcPr>
            <w:tcW w:w="940" w:type="dxa"/>
            <w:vAlign w:val="bottom"/>
          </w:tcPr>
          <w:p>
            <w:pPr>
              <w:jc w:val="center"/>
              <w:ind w:left="17"/>
              <w:spacing w:after="0" w:line="135" w:lineRule="exact"/>
              <w:rPr>
                <w:sz w:val="20"/>
                <w:szCs w:val="20"/>
                <w:color w:val="auto"/>
              </w:rPr>
            </w:pPr>
            <w:r>
              <w:rPr>
                <w:rFonts w:ascii="Arial" w:cs="Arial" w:eastAsia="Arial" w:hAnsi="Arial"/>
                <w:sz w:val="13"/>
                <w:szCs w:val="13"/>
                <w:color w:val="auto"/>
                <w:w w:val="89"/>
              </w:rPr>
              <w:t>04/15/2020</w:t>
            </w:r>
          </w:p>
        </w:tc>
        <w:tc>
          <w:tcPr>
            <w:tcW w:w="2900" w:type="dxa"/>
            <w:vAlign w:val="bottom"/>
          </w:tcPr>
          <w:p>
            <w:pPr>
              <w:jc w:val="center"/>
              <w:spacing w:after="0" w:line="135" w:lineRule="exact"/>
              <w:rPr>
                <w:sz w:val="20"/>
                <w:szCs w:val="20"/>
                <w:color w:val="auto"/>
              </w:rPr>
            </w:pPr>
            <w:r>
              <w:rPr>
                <w:rFonts w:ascii="Arial" w:cs="Arial" w:eastAsia="Arial" w:hAnsi="Arial"/>
                <w:sz w:val="13"/>
                <w:szCs w:val="13"/>
                <w:color w:val="auto"/>
                <w:w w:val="89"/>
              </w:rPr>
              <w:t>Other Media</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12.00%</w:t>
            </w: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w w:val="82"/>
              </w:rPr>
              <w:t>26,500,000</w:t>
            </w:r>
          </w:p>
        </w:tc>
        <w:tc>
          <w:tcPr>
            <w:tcW w:w="14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w w:val="95"/>
              </w:rPr>
              <w:t>26,617,239</w:t>
            </w:r>
          </w:p>
        </w:tc>
        <w:tc>
          <w:tcPr>
            <w:tcW w:w="8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5"/>
              </w:rPr>
              <w:t>26,309,750</w:t>
            </w:r>
          </w:p>
        </w:tc>
        <w:tc>
          <w:tcPr>
            <w:tcW w:w="0" w:type="dxa"/>
            <w:vAlign w:val="bottom"/>
          </w:tcPr>
          <w:p>
            <w:pPr>
              <w:spacing w:after="0"/>
              <w:rPr>
                <w:sz w:val="1"/>
                <w:szCs w:val="1"/>
                <w:color w:val="auto"/>
              </w:rPr>
            </w:pPr>
          </w:p>
        </w:tc>
      </w:tr>
      <w:tr>
        <w:trPr>
          <w:trHeight w:val="135"/>
        </w:trPr>
        <w:tc>
          <w:tcPr>
            <w:tcW w:w="29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Roto Holdings, Inc.</w:t>
            </w:r>
          </w:p>
        </w:tc>
        <w:tc>
          <w:tcPr>
            <w:tcW w:w="940" w:type="dxa"/>
            <w:vAlign w:val="bottom"/>
            <w:shd w:val="clear" w:color="auto" w:fill="CCEEFF"/>
          </w:tcPr>
          <w:p>
            <w:pPr>
              <w:jc w:val="center"/>
              <w:ind w:left="17"/>
              <w:spacing w:after="0" w:line="135" w:lineRule="exact"/>
              <w:rPr>
                <w:sz w:val="20"/>
                <w:szCs w:val="20"/>
                <w:color w:val="auto"/>
              </w:rPr>
            </w:pPr>
            <w:r>
              <w:rPr>
                <w:rFonts w:ascii="Arial" w:cs="Arial" w:eastAsia="Arial" w:hAnsi="Arial"/>
                <w:sz w:val="13"/>
                <w:szCs w:val="13"/>
                <w:color w:val="auto"/>
                <w:w w:val="89"/>
              </w:rPr>
              <w:t>05/13/2021</w:t>
            </w:r>
          </w:p>
        </w:tc>
        <w:tc>
          <w:tcPr>
            <w:tcW w:w="2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Manufacturing / Basic Industries</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11.00%</w:t>
            </w:r>
          </w:p>
        </w:tc>
        <w:tc>
          <w:tcPr>
            <w:tcW w:w="10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82"/>
              </w:rPr>
              <w:t>13,300,000</w:t>
            </w:r>
          </w:p>
        </w:tc>
        <w:tc>
          <w:tcPr>
            <w:tcW w:w="140" w:type="dxa"/>
            <w:vAlign w:val="bottom"/>
            <w:tcBorders>
              <w:right w:val="single" w:sz="8" w:color="CCEEFF"/>
            </w:tcBorders>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w w:val="95"/>
              </w:rPr>
              <w:t>13,090,281</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5"/>
              </w:rPr>
              <w:t>13,300,000</w:t>
            </w:r>
          </w:p>
        </w:tc>
        <w:tc>
          <w:tcPr>
            <w:tcW w:w="0" w:type="dxa"/>
            <w:vAlign w:val="bottom"/>
          </w:tcPr>
          <w:p>
            <w:pPr>
              <w:spacing w:after="0"/>
              <w:rPr>
                <w:sz w:val="1"/>
                <w:szCs w:val="1"/>
                <w:color w:val="auto"/>
              </w:rPr>
            </w:pPr>
          </w:p>
        </w:tc>
      </w:tr>
      <w:tr>
        <w:trPr>
          <w:trHeight w:val="149"/>
        </w:trPr>
        <w:tc>
          <w:tcPr>
            <w:tcW w:w="2900" w:type="dxa"/>
            <w:vAlign w:val="bottom"/>
          </w:tcPr>
          <w:p>
            <w:pPr>
              <w:spacing w:after="0" w:line="142" w:lineRule="exact"/>
              <w:rPr>
                <w:sz w:val="20"/>
                <w:szCs w:val="20"/>
                <w:color w:val="auto"/>
              </w:rPr>
            </w:pPr>
            <w:r>
              <w:rPr>
                <w:rFonts w:ascii="Arial" w:cs="Arial" w:eastAsia="Arial" w:hAnsi="Arial"/>
                <w:sz w:val="13"/>
                <w:szCs w:val="13"/>
                <w:b w:val="1"/>
                <w:bCs w:val="1"/>
                <w:color w:val="auto"/>
              </w:rPr>
              <w:t>Total Subordinated Debt/Corporate Notes</w:t>
            </w:r>
          </w:p>
        </w:tc>
        <w:tc>
          <w:tcPr>
            <w:tcW w:w="94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103,851,033</w:t>
            </w: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102,510,981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w w:val="98"/>
              </w:rPr>
              <w:t xml:space="preserve">Preferred Equity/Partnership Interests—0.8% </w:t>
            </w:r>
            <w:r>
              <w:rPr>
                <w:rFonts w:ascii="Arial" w:cs="Arial" w:eastAsia="Arial" w:hAnsi="Arial"/>
                <w:sz w:val="10"/>
                <w:szCs w:val="10"/>
                <w:b w:val="1"/>
                <w:bCs w:val="1"/>
                <w:color w:val="auto"/>
                <w:w w:val="98"/>
              </w:rPr>
              <w:t>(6)</w:t>
            </w:r>
          </w:p>
        </w:tc>
        <w:tc>
          <w:tcPr>
            <w:tcW w:w="940" w:type="dxa"/>
            <w:vAlign w:val="bottom"/>
            <w:shd w:val="clear" w:color="auto" w:fill="CCEEFF"/>
          </w:tcPr>
          <w:p>
            <w:pPr>
              <w:spacing w:after="0"/>
              <w:rPr>
                <w:sz w:val="11"/>
                <w:szCs w:val="11"/>
                <w:color w:val="auto"/>
              </w:rPr>
            </w:pPr>
          </w:p>
        </w:tc>
        <w:tc>
          <w:tcPr>
            <w:tcW w:w="29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00" w:type="dxa"/>
            <w:vAlign w:val="bottom"/>
          </w:tcPr>
          <w:p>
            <w:pPr>
              <w:spacing w:after="0" w:line="135" w:lineRule="exact"/>
              <w:rPr>
                <w:sz w:val="20"/>
                <w:szCs w:val="20"/>
                <w:color w:val="auto"/>
              </w:rPr>
            </w:pPr>
            <w:r>
              <w:rPr>
                <w:rFonts w:ascii="Arial" w:cs="Arial" w:eastAsia="Arial" w:hAnsi="Arial"/>
                <w:sz w:val="13"/>
                <w:szCs w:val="13"/>
                <w:color w:val="auto"/>
              </w:rPr>
              <w:t>AH Holdings, Inc.</w:t>
            </w:r>
          </w:p>
        </w:tc>
        <w:tc>
          <w:tcPr>
            <w:tcW w:w="940" w:type="dxa"/>
            <w:vAlign w:val="bottom"/>
          </w:tcPr>
          <w:p>
            <w:pPr>
              <w:jc w:val="center"/>
              <w:ind w:left="17"/>
              <w:spacing w:after="0" w:line="135" w:lineRule="exact"/>
              <w:rPr>
                <w:sz w:val="20"/>
                <w:szCs w:val="20"/>
                <w:color w:val="auto"/>
              </w:rPr>
            </w:pPr>
            <w:r>
              <w:rPr>
                <w:rFonts w:ascii="Arial" w:cs="Arial" w:eastAsia="Arial" w:hAnsi="Arial"/>
                <w:sz w:val="13"/>
                <w:szCs w:val="13"/>
                <w:color w:val="auto"/>
              </w:rPr>
              <w:t>—</w:t>
            </w:r>
          </w:p>
        </w:tc>
        <w:tc>
          <w:tcPr>
            <w:tcW w:w="2900" w:type="dxa"/>
            <w:vAlign w:val="bottom"/>
          </w:tcPr>
          <w:p>
            <w:pPr>
              <w:jc w:val="center"/>
              <w:spacing w:after="0" w:line="135" w:lineRule="exact"/>
              <w:rPr>
                <w:sz w:val="20"/>
                <w:szCs w:val="20"/>
                <w:color w:val="auto"/>
              </w:rPr>
            </w:pPr>
            <w:r>
              <w:rPr>
                <w:rFonts w:ascii="Arial" w:cs="Arial" w:eastAsia="Arial" w:hAnsi="Arial"/>
                <w:sz w:val="13"/>
                <w:szCs w:val="13"/>
                <w:color w:val="auto"/>
                <w:w w:val="87"/>
              </w:rPr>
              <w:t>Healthcare, Education and Childcare</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6.00%</w:t>
            </w: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211</w:t>
            </w:r>
          </w:p>
        </w:tc>
        <w:tc>
          <w:tcPr>
            <w:tcW w:w="14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500,000</w:t>
            </w:r>
          </w:p>
        </w:tc>
        <w:tc>
          <w:tcPr>
            <w:tcW w:w="8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128,457</w:t>
            </w:r>
          </w:p>
        </w:tc>
        <w:tc>
          <w:tcPr>
            <w:tcW w:w="0" w:type="dxa"/>
            <w:vAlign w:val="bottom"/>
          </w:tcPr>
          <w:p>
            <w:pPr>
              <w:spacing w:after="0"/>
              <w:rPr>
                <w:sz w:val="1"/>
                <w:szCs w:val="1"/>
                <w:color w:val="auto"/>
              </w:rPr>
            </w:pPr>
          </w:p>
        </w:tc>
      </w:tr>
      <w:tr>
        <w:trPr>
          <w:trHeight w:val="135"/>
        </w:trPr>
        <w:tc>
          <w:tcPr>
            <w:tcW w:w="29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Alegeus Technologies Holdings Corp.</w:t>
            </w:r>
          </w:p>
        </w:tc>
        <w:tc>
          <w:tcPr>
            <w:tcW w:w="940" w:type="dxa"/>
            <w:vAlign w:val="bottom"/>
            <w:shd w:val="clear" w:color="auto" w:fill="CCEEFF"/>
          </w:tcPr>
          <w:p>
            <w:pPr>
              <w:jc w:val="center"/>
              <w:ind w:left="17"/>
              <w:spacing w:after="0" w:line="135" w:lineRule="exact"/>
              <w:rPr>
                <w:sz w:val="20"/>
                <w:szCs w:val="20"/>
                <w:color w:val="auto"/>
              </w:rPr>
            </w:pPr>
            <w:r>
              <w:rPr>
                <w:rFonts w:ascii="Arial" w:cs="Arial" w:eastAsia="Arial" w:hAnsi="Arial"/>
                <w:sz w:val="13"/>
                <w:szCs w:val="13"/>
                <w:color w:val="auto"/>
              </w:rPr>
              <w:t>—</w:t>
            </w:r>
          </w:p>
        </w:tc>
        <w:tc>
          <w:tcPr>
            <w:tcW w:w="2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Financial Services</w:t>
            </w:r>
          </w:p>
        </w:tc>
        <w:tc>
          <w:tcPr>
            <w:tcW w:w="92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949</w:t>
            </w:r>
          </w:p>
        </w:tc>
        <w:tc>
          <w:tcPr>
            <w:tcW w:w="140" w:type="dxa"/>
            <w:vAlign w:val="bottom"/>
            <w:tcBorders>
              <w:right w:val="single" w:sz="8" w:color="CCEEFF"/>
            </w:tcBorders>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949,050</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1,081,633</w:t>
            </w:r>
          </w:p>
        </w:tc>
        <w:tc>
          <w:tcPr>
            <w:tcW w:w="0" w:type="dxa"/>
            <w:vAlign w:val="bottom"/>
          </w:tcPr>
          <w:p>
            <w:pPr>
              <w:spacing w:after="0"/>
              <w:rPr>
                <w:sz w:val="1"/>
                <w:szCs w:val="1"/>
                <w:color w:val="auto"/>
              </w:rPr>
            </w:pPr>
          </w:p>
        </w:tc>
      </w:tr>
      <w:tr>
        <w:trPr>
          <w:trHeight w:val="135"/>
        </w:trPr>
        <w:tc>
          <w:tcPr>
            <w:tcW w:w="2900" w:type="dxa"/>
            <w:vAlign w:val="bottom"/>
          </w:tcPr>
          <w:p>
            <w:pPr>
              <w:spacing w:after="0" w:line="135" w:lineRule="exact"/>
              <w:rPr>
                <w:sz w:val="20"/>
                <w:szCs w:val="20"/>
                <w:color w:val="auto"/>
              </w:rPr>
            </w:pPr>
            <w:r>
              <w:rPr>
                <w:rFonts w:ascii="Arial" w:cs="Arial" w:eastAsia="Arial" w:hAnsi="Arial"/>
                <w:sz w:val="13"/>
                <w:szCs w:val="13"/>
                <w:color w:val="auto"/>
              </w:rPr>
              <w:t>Convergint Technologies Holdings, LLC</w:t>
            </w:r>
          </w:p>
        </w:tc>
        <w:tc>
          <w:tcPr>
            <w:tcW w:w="940" w:type="dxa"/>
            <w:vAlign w:val="bottom"/>
          </w:tcPr>
          <w:p>
            <w:pPr>
              <w:jc w:val="center"/>
              <w:ind w:left="17"/>
              <w:spacing w:after="0" w:line="135" w:lineRule="exact"/>
              <w:rPr>
                <w:sz w:val="20"/>
                <w:szCs w:val="20"/>
                <w:color w:val="auto"/>
              </w:rPr>
            </w:pPr>
            <w:r>
              <w:rPr>
                <w:rFonts w:ascii="Arial" w:cs="Arial" w:eastAsia="Arial" w:hAnsi="Arial"/>
                <w:sz w:val="13"/>
                <w:szCs w:val="13"/>
                <w:color w:val="auto"/>
              </w:rPr>
              <w:t>—</w:t>
            </w:r>
          </w:p>
        </w:tc>
        <w:tc>
          <w:tcPr>
            <w:tcW w:w="2900" w:type="dxa"/>
            <w:vAlign w:val="bottom"/>
          </w:tcPr>
          <w:p>
            <w:pPr>
              <w:jc w:val="center"/>
              <w:spacing w:after="0" w:line="135" w:lineRule="exact"/>
              <w:rPr>
                <w:sz w:val="20"/>
                <w:szCs w:val="20"/>
                <w:color w:val="auto"/>
              </w:rPr>
            </w:pPr>
            <w:r>
              <w:rPr>
                <w:rFonts w:ascii="Arial" w:cs="Arial" w:eastAsia="Arial" w:hAnsi="Arial"/>
                <w:sz w:val="13"/>
                <w:szCs w:val="13"/>
                <w:color w:val="auto"/>
                <w:w w:val="91"/>
              </w:rPr>
              <w:t>Electronics</w:t>
            </w:r>
          </w:p>
        </w:tc>
        <w:tc>
          <w:tcPr>
            <w:tcW w:w="9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8.00%</w:t>
            </w: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2,375</w:t>
            </w:r>
          </w:p>
        </w:tc>
        <w:tc>
          <w:tcPr>
            <w:tcW w:w="14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2,088,121</w:t>
            </w:r>
          </w:p>
        </w:tc>
        <w:tc>
          <w:tcPr>
            <w:tcW w:w="8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2,396,892</w:t>
            </w:r>
          </w:p>
        </w:tc>
        <w:tc>
          <w:tcPr>
            <w:tcW w:w="0" w:type="dxa"/>
            <w:vAlign w:val="bottom"/>
          </w:tcPr>
          <w:p>
            <w:pPr>
              <w:spacing w:after="0"/>
              <w:rPr>
                <w:sz w:val="1"/>
                <w:szCs w:val="1"/>
                <w:color w:val="auto"/>
              </w:rPr>
            </w:pPr>
          </w:p>
        </w:tc>
      </w:tr>
      <w:tr>
        <w:trPr>
          <w:trHeight w:val="135"/>
        </w:trPr>
        <w:tc>
          <w:tcPr>
            <w:tcW w:w="29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HW Holdco, LLC</w:t>
            </w:r>
          </w:p>
        </w:tc>
        <w:tc>
          <w:tcPr>
            <w:tcW w:w="940" w:type="dxa"/>
            <w:vAlign w:val="bottom"/>
            <w:shd w:val="clear" w:color="auto" w:fill="CCEEFF"/>
          </w:tcPr>
          <w:p>
            <w:pPr>
              <w:jc w:val="center"/>
              <w:ind w:left="17"/>
              <w:spacing w:after="0" w:line="135" w:lineRule="exact"/>
              <w:rPr>
                <w:sz w:val="20"/>
                <w:szCs w:val="20"/>
                <w:color w:val="auto"/>
              </w:rPr>
            </w:pPr>
            <w:r>
              <w:rPr>
                <w:rFonts w:ascii="Arial" w:cs="Arial" w:eastAsia="Arial" w:hAnsi="Arial"/>
                <w:sz w:val="13"/>
                <w:szCs w:val="13"/>
                <w:color w:val="auto"/>
              </w:rPr>
              <w:t>—</w:t>
            </w:r>
          </w:p>
        </w:tc>
        <w:tc>
          <w:tcPr>
            <w:tcW w:w="2900" w:type="dxa"/>
            <w:vAlign w:val="bottom"/>
            <w:shd w:val="clear" w:color="auto" w:fill="CCEEFF"/>
          </w:tcPr>
          <w:p>
            <w:pPr>
              <w:jc w:val="center"/>
              <w:spacing w:after="0" w:line="135" w:lineRule="exact"/>
              <w:rPr>
                <w:sz w:val="20"/>
                <w:szCs w:val="20"/>
                <w:color w:val="auto"/>
              </w:rPr>
            </w:pPr>
            <w:r>
              <w:rPr>
                <w:rFonts w:ascii="Arial" w:cs="Arial" w:eastAsia="Arial" w:hAnsi="Arial"/>
                <w:sz w:val="13"/>
                <w:szCs w:val="13"/>
                <w:color w:val="auto"/>
                <w:w w:val="89"/>
              </w:rPr>
              <w:t>Other Media</w:t>
            </w:r>
          </w:p>
        </w:tc>
        <w:tc>
          <w:tcPr>
            <w:tcW w:w="92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8.00%</w:t>
            </w:r>
          </w:p>
        </w:tc>
        <w:tc>
          <w:tcPr>
            <w:tcW w:w="104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3,591</w:t>
            </w:r>
          </w:p>
        </w:tc>
        <w:tc>
          <w:tcPr>
            <w:tcW w:w="140" w:type="dxa"/>
            <w:vAlign w:val="bottom"/>
            <w:tcBorders>
              <w:right w:val="single" w:sz="8" w:color="CCEEFF"/>
            </w:tcBorders>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32,476</w:t>
            </w:r>
          </w:p>
        </w:tc>
        <w:tc>
          <w:tcPr>
            <w:tcW w:w="0" w:type="dxa"/>
            <w:vAlign w:val="bottom"/>
          </w:tcPr>
          <w:p>
            <w:pPr>
              <w:spacing w:after="0"/>
              <w:rPr>
                <w:sz w:val="1"/>
                <w:szCs w:val="1"/>
                <w:color w:val="auto"/>
              </w:rPr>
            </w:pPr>
          </w:p>
        </w:tc>
      </w:tr>
      <w:tr>
        <w:trPr>
          <w:trHeight w:val="135"/>
        </w:trPr>
        <w:tc>
          <w:tcPr>
            <w:tcW w:w="2900" w:type="dxa"/>
            <w:vAlign w:val="bottom"/>
          </w:tcPr>
          <w:p>
            <w:pPr>
              <w:spacing w:after="0" w:line="135" w:lineRule="exact"/>
              <w:rPr>
                <w:sz w:val="20"/>
                <w:szCs w:val="20"/>
                <w:color w:val="auto"/>
              </w:rPr>
            </w:pPr>
            <w:r>
              <w:rPr>
                <w:rFonts w:ascii="Arial" w:cs="Arial" w:eastAsia="Arial" w:hAnsi="Arial"/>
                <w:sz w:val="13"/>
                <w:szCs w:val="13"/>
                <w:color w:val="auto"/>
              </w:rPr>
              <w:t>Roto Holdings, Inc.</w:t>
            </w:r>
          </w:p>
        </w:tc>
        <w:tc>
          <w:tcPr>
            <w:tcW w:w="940" w:type="dxa"/>
            <w:vAlign w:val="bottom"/>
          </w:tcPr>
          <w:p>
            <w:pPr>
              <w:jc w:val="center"/>
              <w:ind w:left="17"/>
              <w:spacing w:after="0" w:line="135" w:lineRule="exact"/>
              <w:rPr>
                <w:sz w:val="20"/>
                <w:szCs w:val="20"/>
                <w:color w:val="auto"/>
              </w:rPr>
            </w:pPr>
            <w:r>
              <w:rPr>
                <w:rFonts w:ascii="Arial" w:cs="Arial" w:eastAsia="Arial" w:hAnsi="Arial"/>
                <w:sz w:val="13"/>
                <w:szCs w:val="13"/>
                <w:color w:val="auto"/>
              </w:rPr>
              <w:t>—</w:t>
            </w:r>
          </w:p>
        </w:tc>
        <w:tc>
          <w:tcPr>
            <w:tcW w:w="2900" w:type="dxa"/>
            <w:vAlign w:val="bottom"/>
          </w:tcPr>
          <w:p>
            <w:pPr>
              <w:jc w:val="center"/>
              <w:spacing w:after="0" w:line="135" w:lineRule="exact"/>
              <w:rPr>
                <w:sz w:val="20"/>
                <w:szCs w:val="20"/>
                <w:color w:val="auto"/>
              </w:rPr>
            </w:pPr>
            <w:r>
              <w:rPr>
                <w:rFonts w:ascii="Arial" w:cs="Arial" w:eastAsia="Arial" w:hAnsi="Arial"/>
                <w:sz w:val="13"/>
                <w:szCs w:val="13"/>
                <w:color w:val="auto"/>
                <w:w w:val="89"/>
              </w:rPr>
              <w:t>Manufacturing / Basic Industries</w:t>
            </w:r>
          </w:p>
        </w:tc>
        <w:tc>
          <w:tcPr>
            <w:tcW w:w="92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1,197</w:t>
            </w:r>
          </w:p>
        </w:tc>
        <w:tc>
          <w:tcPr>
            <w:tcW w:w="140" w:type="dxa"/>
            <w:vAlign w:val="bottom"/>
          </w:tcPr>
          <w:p>
            <w:pPr>
              <w:spacing w:after="0"/>
              <w:rPr>
                <w:sz w:val="11"/>
                <w:szCs w:val="11"/>
                <w:color w:val="auto"/>
              </w:rPr>
            </w:pPr>
          </w:p>
        </w:tc>
        <w:tc>
          <w:tcPr>
            <w:tcW w:w="8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1,197,000</w:t>
            </w:r>
          </w:p>
        </w:tc>
        <w:tc>
          <w:tcPr>
            <w:tcW w:w="8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1,404,944</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9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9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Preferred Equity/Partnership Interests</w:t>
            </w:r>
          </w:p>
        </w:tc>
        <w:tc>
          <w:tcPr>
            <w:tcW w:w="940" w:type="dxa"/>
            <w:vAlign w:val="bottom"/>
            <w:shd w:val="clear" w:color="auto" w:fill="CCEEFF"/>
          </w:tcPr>
          <w:p>
            <w:pPr>
              <w:spacing w:after="0"/>
              <w:rPr>
                <w:sz w:val="11"/>
                <w:szCs w:val="11"/>
                <w:color w:val="auto"/>
              </w:rPr>
            </w:pPr>
          </w:p>
        </w:tc>
        <w:tc>
          <w:tcPr>
            <w:tcW w:w="29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tcBorders>
              <w:right w:val="single" w:sz="8" w:color="CCEEFF"/>
            </w:tcBorders>
            <w:shd w:val="clear" w:color="auto" w:fill="CCEEFF"/>
          </w:tcPr>
          <w:p>
            <w:pPr>
              <w:spacing w:after="0"/>
              <w:rPr>
                <w:sz w:val="11"/>
                <w:szCs w:val="11"/>
                <w:color w:val="auto"/>
              </w:rPr>
            </w:pPr>
          </w:p>
        </w:tc>
        <w:tc>
          <w:tcPr>
            <w:tcW w:w="8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4,734,171</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5,044,402</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ectPr>
          <w:pgSz w:w="11900" w:h="16838" w:orient="portrait"/>
          <w:cols w:equalWidth="0" w:num="1">
            <w:col w:w="11240"/>
          </w:cols>
          <w:pgMar w:left="32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00" w:type="dxa"/>
            <w:vAlign w:val="bottom"/>
          </w:tcPr>
          <w:p>
            <w:pPr>
              <w:spacing w:after="0"/>
              <w:rPr>
                <w:sz w:val="13"/>
                <w:szCs w:val="13"/>
                <w:color w:val="auto"/>
              </w:rPr>
            </w:pPr>
          </w:p>
        </w:tc>
        <w:tc>
          <w:tcPr>
            <w:tcW w:w="940" w:type="dxa"/>
            <w:vAlign w:val="bottom"/>
            <w:vMerge w:val="restart"/>
          </w:tcPr>
          <w:p>
            <w:pPr>
              <w:ind w:left="40"/>
              <w:spacing w:after="0"/>
              <w:rPr>
                <w:sz w:val="20"/>
                <w:szCs w:val="20"/>
                <w:color w:val="auto"/>
              </w:rPr>
            </w:pPr>
            <w:r>
              <w:rPr>
                <w:rFonts w:ascii="Arial" w:cs="Arial" w:eastAsia="Arial" w:hAnsi="Arial"/>
                <w:sz w:val="13"/>
                <w:szCs w:val="13"/>
                <w:b w:val="1"/>
                <w:bCs w:val="1"/>
                <w:color w:val="auto"/>
              </w:rPr>
              <w:t>Maturity /</w:t>
            </w:r>
          </w:p>
        </w:tc>
        <w:tc>
          <w:tcPr>
            <w:tcW w:w="24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84"/>
              </w:rPr>
              <w:t>Basis Point</w:t>
            </w: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3300" w:type="dxa"/>
            <w:vAlign w:val="bottom"/>
          </w:tcPr>
          <w:p>
            <w:pPr>
              <w:spacing w:after="0"/>
              <w:rPr>
                <w:sz w:val="10"/>
                <w:szCs w:val="10"/>
                <w:color w:val="auto"/>
              </w:rPr>
            </w:pPr>
          </w:p>
        </w:tc>
        <w:tc>
          <w:tcPr>
            <w:tcW w:w="940" w:type="dxa"/>
            <w:vAlign w:val="bottom"/>
            <w:vMerge w:val="continue"/>
          </w:tcPr>
          <w:p>
            <w:pPr>
              <w:spacing w:after="0"/>
              <w:rPr>
                <w:sz w:val="10"/>
                <w:szCs w:val="10"/>
                <w:color w:val="auto"/>
              </w:rPr>
            </w:pPr>
          </w:p>
        </w:tc>
        <w:tc>
          <w:tcPr>
            <w:tcW w:w="2460" w:type="dxa"/>
            <w:vAlign w:val="bottom"/>
          </w:tcPr>
          <w:p>
            <w:pPr>
              <w:spacing w:after="0"/>
              <w:rPr>
                <w:sz w:val="10"/>
                <w:szCs w:val="10"/>
                <w:color w:val="auto"/>
              </w:rPr>
            </w:pPr>
          </w:p>
        </w:tc>
        <w:tc>
          <w:tcPr>
            <w:tcW w:w="1000" w:type="dxa"/>
            <w:vAlign w:val="bottom"/>
          </w:tcPr>
          <w:p>
            <w:pPr>
              <w:jc w:val="right"/>
              <w:ind w:right="257"/>
              <w:spacing w:after="0" w:line="126" w:lineRule="exact"/>
              <w:rPr>
                <w:sz w:val="20"/>
                <w:szCs w:val="20"/>
                <w:color w:val="auto"/>
              </w:rPr>
            </w:pPr>
            <w:r>
              <w:rPr>
                <w:rFonts w:ascii="Arial" w:cs="Arial" w:eastAsia="Arial" w:hAnsi="Arial"/>
                <w:sz w:val="13"/>
                <w:szCs w:val="13"/>
                <w:b w:val="1"/>
                <w:bCs w:val="1"/>
                <w:color w:val="auto"/>
              </w:rPr>
              <w:t>Current</w:t>
            </w:r>
          </w:p>
        </w:tc>
        <w:tc>
          <w:tcPr>
            <w:tcW w:w="940" w:type="dxa"/>
            <w:vAlign w:val="bottom"/>
          </w:tcPr>
          <w:p>
            <w:pPr>
              <w:jc w:val="center"/>
              <w:spacing w:after="0" w:line="126" w:lineRule="exact"/>
              <w:rPr>
                <w:sz w:val="20"/>
                <w:szCs w:val="20"/>
                <w:color w:val="auto"/>
              </w:rPr>
            </w:pPr>
            <w:r>
              <w:rPr>
                <w:rFonts w:ascii="Arial" w:cs="Arial" w:eastAsia="Arial" w:hAnsi="Arial"/>
                <w:sz w:val="13"/>
                <w:szCs w:val="13"/>
                <w:b w:val="1"/>
                <w:bCs w:val="1"/>
                <w:color w:val="auto"/>
                <w:w w:val="84"/>
              </w:rPr>
              <w:t>Spread Above</w:t>
            </w:r>
          </w:p>
        </w:tc>
        <w:tc>
          <w:tcPr>
            <w:tcW w:w="760" w:type="dxa"/>
            <w:vAlign w:val="bottom"/>
          </w:tcPr>
          <w:p>
            <w:pPr>
              <w:jc w:val="right"/>
              <w:ind w:right="197"/>
              <w:spacing w:after="0" w:line="126" w:lineRule="exact"/>
              <w:rPr>
                <w:sz w:val="20"/>
                <w:szCs w:val="20"/>
                <w:color w:val="auto"/>
              </w:rPr>
            </w:pPr>
            <w:r>
              <w:rPr>
                <w:rFonts w:ascii="Arial" w:cs="Arial" w:eastAsia="Arial" w:hAnsi="Arial"/>
                <w:sz w:val="13"/>
                <w:szCs w:val="13"/>
                <w:b w:val="1"/>
                <w:bCs w:val="1"/>
                <w:color w:val="auto"/>
              </w:rPr>
              <w:t>Par /</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300" w:type="dxa"/>
            <w:vAlign w:val="bottom"/>
          </w:tcPr>
          <w:p>
            <w:pPr>
              <w:spacing w:after="0"/>
              <w:rPr>
                <w:sz w:val="20"/>
                <w:szCs w:val="20"/>
                <w:color w:val="auto"/>
              </w:rPr>
            </w:pPr>
            <w:r>
              <w:rPr>
                <w:rFonts w:ascii="Arial" w:cs="Arial" w:eastAsia="Arial" w:hAnsi="Arial"/>
                <w:sz w:val="13"/>
                <w:szCs w:val="13"/>
                <w:b w:val="1"/>
                <w:bCs w:val="1"/>
                <w:color w:val="auto"/>
              </w:rPr>
              <w:t>Issuer Name</w:t>
            </w:r>
          </w:p>
        </w:tc>
        <w:tc>
          <w:tcPr>
            <w:tcW w:w="940" w:type="dxa"/>
            <w:vAlign w:val="bottom"/>
          </w:tcPr>
          <w:p>
            <w:pPr>
              <w:ind w:left="40"/>
              <w:spacing w:after="0"/>
              <w:rPr>
                <w:sz w:val="20"/>
                <w:szCs w:val="20"/>
                <w:color w:val="auto"/>
              </w:rPr>
            </w:pPr>
            <w:r>
              <w:rPr>
                <w:rFonts w:ascii="Arial" w:cs="Arial" w:eastAsia="Arial" w:hAnsi="Arial"/>
                <w:sz w:val="13"/>
                <w:szCs w:val="13"/>
                <w:b w:val="1"/>
                <w:bCs w:val="1"/>
                <w:color w:val="auto"/>
              </w:rPr>
              <w:t>Expiration</w:t>
            </w:r>
          </w:p>
        </w:tc>
        <w:tc>
          <w:tcPr>
            <w:tcW w:w="2460" w:type="dxa"/>
            <w:vAlign w:val="bottom"/>
          </w:tcPr>
          <w:p>
            <w:pPr>
              <w:jc w:val="center"/>
              <w:ind w:right="97"/>
              <w:spacing w:after="0"/>
              <w:rPr>
                <w:sz w:val="20"/>
                <w:szCs w:val="20"/>
                <w:color w:val="auto"/>
              </w:rPr>
            </w:pPr>
            <w:r>
              <w:rPr>
                <w:rFonts w:ascii="Arial" w:cs="Arial" w:eastAsia="Arial" w:hAnsi="Arial"/>
                <w:sz w:val="13"/>
                <w:szCs w:val="13"/>
                <w:b w:val="1"/>
                <w:bCs w:val="1"/>
                <w:color w:val="auto"/>
                <w:w w:val="89"/>
              </w:rPr>
              <w:t>Industry</w:t>
            </w:r>
          </w:p>
        </w:tc>
        <w:tc>
          <w:tcPr>
            <w:tcW w:w="1000" w:type="dxa"/>
            <w:vAlign w:val="bottom"/>
          </w:tcPr>
          <w:p>
            <w:pPr>
              <w:jc w:val="right"/>
              <w:ind w:right="257"/>
              <w:spacing w:after="0"/>
              <w:rPr>
                <w:sz w:val="20"/>
                <w:szCs w:val="20"/>
                <w:color w:val="auto"/>
              </w:rPr>
            </w:pPr>
            <w:r>
              <w:rPr>
                <w:rFonts w:ascii="Arial" w:cs="Arial" w:eastAsia="Arial" w:hAnsi="Arial"/>
                <w:sz w:val="13"/>
                <w:szCs w:val="13"/>
                <w:b w:val="1"/>
                <w:bCs w:val="1"/>
                <w:color w:val="auto"/>
              </w:rPr>
              <w:t>Coupon</w:t>
            </w: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(4)</w:t>
            </w:r>
          </w:p>
        </w:tc>
        <w:tc>
          <w:tcPr>
            <w:tcW w:w="760" w:type="dxa"/>
            <w:vAlign w:val="bottom"/>
          </w:tcPr>
          <w:p>
            <w:pPr>
              <w:jc w:val="right"/>
              <w:ind w:right="157"/>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3"/>
          </w:tcPr>
          <w:p>
            <w:pPr>
              <w:ind w:left="160"/>
              <w:spacing w:after="0"/>
              <w:rPr>
                <w:sz w:val="20"/>
                <w:szCs w:val="20"/>
                <w:color w:val="auto"/>
              </w:rPr>
            </w:pPr>
            <w:r>
              <w:rPr>
                <w:rFonts w:ascii="Arial" w:cs="Arial" w:eastAsia="Arial" w:hAnsi="Arial"/>
                <w:sz w:val="13"/>
                <w:szCs w:val="13"/>
                <w:b w:val="1"/>
                <w:bCs w:val="1"/>
                <w:color w:val="auto"/>
              </w:rPr>
              <w:t>Cost</w:t>
            </w:r>
          </w:p>
        </w:tc>
        <w:tc>
          <w:tcPr>
            <w:tcW w:w="780" w:type="dxa"/>
            <w:vAlign w:val="bottom"/>
            <w:gridSpan w:val="3"/>
          </w:tcPr>
          <w:p>
            <w:pPr>
              <w:spacing w:after="0"/>
              <w:rPr>
                <w:sz w:val="20"/>
                <w:szCs w:val="20"/>
                <w:color w:val="auto"/>
              </w:rPr>
            </w:pPr>
            <w:r>
              <w:rPr>
                <w:rFonts w:ascii="Arial" w:cs="Arial" w:eastAsia="Arial" w:hAnsi="Arial"/>
                <w:sz w:val="13"/>
                <w:szCs w:val="13"/>
                <w:b w:val="1"/>
                <w:bCs w:val="1"/>
                <w:color w:val="auto"/>
                <w:w w:val="97"/>
              </w:rPr>
              <w:t xml:space="preserve">Fair Value </w:t>
            </w:r>
            <w:r>
              <w:rPr>
                <w:rFonts w:ascii="Arial" w:cs="Arial" w:eastAsia="Arial" w:hAnsi="Arial"/>
                <w:sz w:val="10"/>
                <w:szCs w:val="10"/>
                <w:b w:val="1"/>
                <w:bCs w:val="1"/>
                <w:color w:val="auto"/>
                <w:w w:val="97"/>
              </w:rPr>
              <w:t>(3)</w:t>
            </w:r>
          </w:p>
        </w:tc>
        <w:tc>
          <w:tcPr>
            <w:tcW w:w="0" w:type="dxa"/>
            <w:vAlign w:val="bottom"/>
          </w:tcPr>
          <w:p>
            <w:pPr>
              <w:spacing w:after="0"/>
              <w:rPr>
                <w:sz w:val="1"/>
                <w:szCs w:val="1"/>
                <w:color w:val="auto"/>
              </w:rPr>
            </w:pPr>
          </w:p>
        </w:tc>
      </w:tr>
      <w:tr>
        <w:trPr>
          <w:trHeight w:val="128"/>
        </w:trPr>
        <w:tc>
          <w:tcPr>
            <w:tcW w:w="330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1"/>
              </w:rPr>
              <w:t xml:space="preserve">Common Equity/Partnership Interests/Warrants—10.0% </w:t>
            </w:r>
            <w:r>
              <w:rPr>
                <w:rFonts w:ascii="Arial" w:cs="Arial" w:eastAsia="Arial" w:hAnsi="Arial"/>
                <w:sz w:val="10"/>
                <w:szCs w:val="10"/>
                <w:b w:val="1"/>
                <w:bCs w:val="1"/>
                <w:color w:val="auto"/>
                <w:w w:val="91"/>
              </w:rPr>
              <w:t>(6)</w:t>
            </w:r>
          </w:p>
        </w:tc>
        <w:tc>
          <w:tcPr>
            <w:tcW w:w="940" w:type="dxa"/>
            <w:vAlign w:val="bottom"/>
            <w:tcBorders>
              <w:top w:val="single" w:sz="8" w:color="auto"/>
            </w:tcBorders>
            <w:shd w:val="clear" w:color="auto" w:fill="CCEEFF"/>
          </w:tcPr>
          <w:p>
            <w:pPr>
              <w:spacing w:after="0"/>
              <w:rPr>
                <w:sz w:val="11"/>
                <w:szCs w:val="11"/>
                <w:color w:val="auto"/>
              </w:rPr>
            </w:pPr>
          </w:p>
        </w:tc>
        <w:tc>
          <w:tcPr>
            <w:tcW w:w="246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300" w:type="dxa"/>
            <w:vAlign w:val="bottom"/>
          </w:tcPr>
          <w:p>
            <w:pPr>
              <w:spacing w:after="0" w:line="121" w:lineRule="exact"/>
              <w:rPr>
                <w:sz w:val="20"/>
                <w:szCs w:val="20"/>
                <w:color w:val="auto"/>
              </w:rPr>
            </w:pPr>
            <w:r>
              <w:rPr>
                <w:rFonts w:ascii="Arial" w:cs="Arial" w:eastAsia="Arial" w:hAnsi="Arial"/>
                <w:sz w:val="13"/>
                <w:szCs w:val="13"/>
                <w:color w:val="auto"/>
              </w:rPr>
              <w:t>AH Holdings, Inc. (Warrants)</w:t>
            </w:r>
          </w:p>
        </w:tc>
        <w:tc>
          <w:tcPr>
            <w:tcW w:w="940" w:type="dxa"/>
            <w:vAlign w:val="bottom"/>
          </w:tcPr>
          <w:p>
            <w:pPr>
              <w:jc w:val="center"/>
              <w:ind w:right="217"/>
              <w:spacing w:after="0" w:line="121" w:lineRule="exact"/>
              <w:rPr>
                <w:sz w:val="20"/>
                <w:szCs w:val="20"/>
                <w:color w:val="auto"/>
              </w:rPr>
            </w:pPr>
            <w:r>
              <w:rPr>
                <w:rFonts w:ascii="Arial" w:cs="Arial" w:eastAsia="Arial" w:hAnsi="Arial"/>
                <w:sz w:val="13"/>
                <w:szCs w:val="13"/>
                <w:color w:val="auto"/>
                <w:w w:val="89"/>
              </w:rPr>
              <w:t>03/23/2021</w:t>
            </w:r>
          </w:p>
        </w:tc>
        <w:tc>
          <w:tcPr>
            <w:tcW w:w="2460" w:type="dxa"/>
            <w:vAlign w:val="bottom"/>
          </w:tcPr>
          <w:p>
            <w:pPr>
              <w:jc w:val="center"/>
              <w:ind w:right="97"/>
              <w:spacing w:after="0" w:line="121" w:lineRule="exact"/>
              <w:rPr>
                <w:sz w:val="20"/>
                <w:szCs w:val="20"/>
                <w:color w:val="auto"/>
              </w:rPr>
            </w:pPr>
            <w:r>
              <w:rPr>
                <w:rFonts w:ascii="Arial" w:cs="Arial" w:eastAsia="Arial" w:hAnsi="Arial"/>
                <w:sz w:val="13"/>
                <w:szCs w:val="13"/>
                <w:color w:val="auto"/>
                <w:w w:val="87"/>
              </w:rPr>
              <w:t>Healthcare, Education and</w:t>
            </w:r>
          </w:p>
        </w:tc>
        <w:tc>
          <w:tcPr>
            <w:tcW w:w="100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57"/>
              <w:spacing w:after="0" w:line="121"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line="121" w:lineRule="exact"/>
              <w:rPr>
                <w:sz w:val="20"/>
                <w:szCs w:val="20"/>
                <w:color w:val="auto"/>
              </w:rPr>
            </w:pPr>
            <w:r>
              <w:rPr>
                <w:rFonts w:ascii="Arial" w:cs="Arial" w:eastAsia="Arial" w:hAnsi="Arial"/>
                <w:sz w:val="13"/>
                <w:szCs w:val="13"/>
                <w:color w:val="auto"/>
              </w:rPr>
              <w:t>753</w:t>
            </w:r>
          </w:p>
        </w:tc>
        <w:tc>
          <w:tcPr>
            <w:tcW w:w="160" w:type="dxa"/>
            <w:vAlign w:val="bottom"/>
            <w:gridSpan w:val="2"/>
          </w:tcPr>
          <w:p>
            <w:pPr>
              <w:jc w:val="right"/>
              <w:spacing w:after="0" w:line="121" w:lineRule="exact"/>
              <w:rPr>
                <w:sz w:val="20"/>
                <w:szCs w:val="20"/>
                <w:color w:val="auto"/>
              </w:rPr>
            </w:pPr>
            <w:r>
              <w:rPr>
                <w:rFonts w:ascii="Arial" w:cs="Arial" w:eastAsia="Arial" w:hAnsi="Arial"/>
                <w:sz w:val="13"/>
                <w:szCs w:val="13"/>
                <w:color w:val="auto"/>
              </w:rPr>
              <w:t>$</w:t>
            </w:r>
          </w:p>
        </w:tc>
        <w:tc>
          <w:tcPr>
            <w:tcW w:w="900" w:type="dxa"/>
            <w:vAlign w:val="bottom"/>
            <w:gridSpan w:val="3"/>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80" w:type="dxa"/>
            <w:vAlign w:val="bottom"/>
          </w:tcPr>
          <w:p>
            <w:pPr>
              <w:spacing w:after="0" w:line="121" w:lineRule="exact"/>
              <w:rPr>
                <w:sz w:val="20"/>
                <w:szCs w:val="20"/>
                <w:color w:val="auto"/>
              </w:rPr>
            </w:pPr>
            <w:r>
              <w:rPr>
                <w:rFonts w:ascii="Arial" w:cs="Arial" w:eastAsia="Arial" w:hAnsi="Arial"/>
                <w:sz w:val="13"/>
                <w:szCs w:val="13"/>
                <w:color w:val="auto"/>
                <w:w w:val="82"/>
              </w:rPr>
              <w:t>$</w:t>
            </w:r>
          </w:p>
        </w:tc>
        <w:tc>
          <w:tcPr>
            <w:tcW w:w="70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3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60" w:type="dxa"/>
            <w:vAlign w:val="bottom"/>
          </w:tcPr>
          <w:p>
            <w:pPr>
              <w:jc w:val="center"/>
              <w:ind w:right="97"/>
              <w:spacing w:after="0"/>
              <w:rPr>
                <w:sz w:val="20"/>
                <w:szCs w:val="20"/>
                <w:color w:val="auto"/>
              </w:rPr>
            </w:pPr>
            <w:r>
              <w:rPr>
                <w:rFonts w:ascii="Arial" w:cs="Arial" w:eastAsia="Arial" w:hAnsi="Arial"/>
                <w:sz w:val="13"/>
                <w:szCs w:val="13"/>
                <w:color w:val="auto"/>
                <w:w w:val="90"/>
              </w:rPr>
              <w:t>Childcare</w:t>
            </w: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Alegeus Technologies Holdings Corp.</w:t>
            </w:r>
          </w:p>
        </w:tc>
        <w:tc>
          <w:tcPr>
            <w:tcW w:w="940" w:type="dxa"/>
            <w:vAlign w:val="bottom"/>
            <w:shd w:val="clear" w:color="auto" w:fill="CCEEFF"/>
          </w:tcPr>
          <w:p>
            <w:pPr>
              <w:jc w:val="center"/>
              <w:ind w:right="237"/>
              <w:spacing w:after="0" w:line="135" w:lineRule="exact"/>
              <w:rPr>
                <w:sz w:val="20"/>
                <w:szCs w:val="20"/>
                <w:color w:val="auto"/>
              </w:rPr>
            </w:pPr>
            <w:r>
              <w:rPr>
                <w:rFonts w:ascii="Arial" w:cs="Arial" w:eastAsia="Arial" w:hAnsi="Arial"/>
                <w:sz w:val="13"/>
                <w:szCs w:val="13"/>
                <w:color w:val="auto"/>
                <w:w w:val="91"/>
              </w:rPr>
              <w:t>—</w:t>
            </w:r>
          </w:p>
        </w:tc>
        <w:tc>
          <w:tcPr>
            <w:tcW w:w="2460" w:type="dxa"/>
            <w:vAlign w:val="bottom"/>
            <w:shd w:val="clear" w:color="auto" w:fill="CCEEFF"/>
          </w:tcPr>
          <w:p>
            <w:pPr>
              <w:jc w:val="center"/>
              <w:ind w:right="77"/>
              <w:spacing w:after="0" w:line="135" w:lineRule="exact"/>
              <w:rPr>
                <w:sz w:val="20"/>
                <w:szCs w:val="20"/>
                <w:color w:val="auto"/>
              </w:rPr>
            </w:pPr>
            <w:r>
              <w:rPr>
                <w:rFonts w:ascii="Arial" w:cs="Arial" w:eastAsia="Arial" w:hAnsi="Arial"/>
                <w:sz w:val="13"/>
                <w:szCs w:val="13"/>
                <w:color w:val="auto"/>
                <w:w w:val="87"/>
              </w:rPr>
              <w:t>Financial Services</w:t>
            </w:r>
          </w:p>
        </w:tc>
        <w:tc>
          <w:tcPr>
            <w:tcW w:w="10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950</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1,083</w:t>
            </w:r>
          </w:p>
        </w:tc>
        <w:tc>
          <w:tcPr>
            <w:tcW w:w="0" w:type="dxa"/>
            <w:vAlign w:val="bottom"/>
          </w:tcPr>
          <w:p>
            <w:pPr>
              <w:spacing w:after="0"/>
              <w:rPr>
                <w:sz w:val="1"/>
                <w:szCs w:val="1"/>
                <w:color w:val="auto"/>
              </w:rPr>
            </w:pPr>
          </w:p>
        </w:tc>
      </w:tr>
      <w:tr>
        <w:trPr>
          <w:trHeight w:val="135"/>
        </w:trPr>
        <w:tc>
          <w:tcPr>
            <w:tcW w:w="3300" w:type="dxa"/>
            <w:vAlign w:val="bottom"/>
          </w:tcPr>
          <w:p>
            <w:pPr>
              <w:spacing w:after="0" w:line="135" w:lineRule="exact"/>
              <w:rPr>
                <w:sz w:val="20"/>
                <w:szCs w:val="20"/>
                <w:color w:val="auto"/>
              </w:rPr>
            </w:pPr>
            <w:r>
              <w:rPr>
                <w:rFonts w:ascii="Arial" w:cs="Arial" w:eastAsia="Arial" w:hAnsi="Arial"/>
                <w:sz w:val="13"/>
                <w:szCs w:val="13"/>
                <w:color w:val="auto"/>
              </w:rPr>
              <w:t>ASP LCG Holdings, Inc. (Warrants)</w:t>
            </w:r>
          </w:p>
        </w:tc>
        <w:tc>
          <w:tcPr>
            <w:tcW w:w="940" w:type="dxa"/>
            <w:vAlign w:val="bottom"/>
          </w:tcPr>
          <w:p>
            <w:pPr>
              <w:jc w:val="center"/>
              <w:ind w:right="217"/>
              <w:spacing w:after="0" w:line="135" w:lineRule="exact"/>
              <w:rPr>
                <w:sz w:val="20"/>
                <w:szCs w:val="20"/>
                <w:color w:val="auto"/>
              </w:rPr>
            </w:pPr>
            <w:r>
              <w:rPr>
                <w:rFonts w:ascii="Arial" w:cs="Arial" w:eastAsia="Arial" w:hAnsi="Arial"/>
                <w:sz w:val="13"/>
                <w:szCs w:val="13"/>
                <w:color w:val="auto"/>
                <w:w w:val="89"/>
              </w:rPr>
              <w:t>05/05/2026</w:t>
            </w:r>
          </w:p>
        </w:tc>
        <w:tc>
          <w:tcPr>
            <w:tcW w:w="2460" w:type="dxa"/>
            <w:vAlign w:val="bottom"/>
          </w:tcPr>
          <w:p>
            <w:pPr>
              <w:jc w:val="center"/>
              <w:ind w:right="97"/>
              <w:spacing w:after="0" w:line="135" w:lineRule="exact"/>
              <w:rPr>
                <w:sz w:val="20"/>
                <w:szCs w:val="20"/>
                <w:color w:val="auto"/>
              </w:rPr>
            </w:pPr>
            <w:r>
              <w:rPr>
                <w:rFonts w:ascii="Arial" w:cs="Arial" w:eastAsia="Arial" w:hAnsi="Arial"/>
                <w:sz w:val="13"/>
                <w:szCs w:val="13"/>
                <w:color w:val="auto"/>
                <w:w w:val="86"/>
              </w:rPr>
              <w:t>Education</w:t>
            </w:r>
          </w:p>
        </w:tc>
        <w:tc>
          <w:tcPr>
            <w:tcW w:w="10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933</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586,975</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1,192,535</w:t>
            </w:r>
          </w:p>
        </w:tc>
        <w:tc>
          <w:tcPr>
            <w:tcW w:w="0" w:type="dxa"/>
            <w:vAlign w:val="bottom"/>
          </w:tcPr>
          <w:p>
            <w:pPr>
              <w:spacing w:after="0"/>
              <w:rPr>
                <w:sz w:val="1"/>
                <w:szCs w:val="1"/>
                <w:color w:val="auto"/>
              </w:rPr>
            </w:pPr>
          </w:p>
        </w:tc>
      </w:tr>
      <w:tr>
        <w:trPr>
          <w:trHeight w:val="135"/>
        </w:trPr>
        <w:tc>
          <w:tcPr>
            <w:tcW w:w="3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Autumn Games, LLC</w:t>
            </w:r>
          </w:p>
        </w:tc>
        <w:tc>
          <w:tcPr>
            <w:tcW w:w="940" w:type="dxa"/>
            <w:vAlign w:val="bottom"/>
            <w:shd w:val="clear" w:color="auto" w:fill="CCEEFF"/>
          </w:tcPr>
          <w:p>
            <w:pPr>
              <w:jc w:val="center"/>
              <w:ind w:right="237"/>
              <w:spacing w:after="0" w:line="135" w:lineRule="exact"/>
              <w:rPr>
                <w:sz w:val="20"/>
                <w:szCs w:val="20"/>
                <w:color w:val="auto"/>
              </w:rPr>
            </w:pPr>
            <w:r>
              <w:rPr>
                <w:rFonts w:ascii="Arial" w:cs="Arial" w:eastAsia="Arial" w:hAnsi="Arial"/>
                <w:sz w:val="13"/>
                <w:szCs w:val="13"/>
                <w:color w:val="auto"/>
                <w:w w:val="91"/>
              </w:rPr>
              <w:t>—</w:t>
            </w:r>
          </w:p>
        </w:tc>
        <w:tc>
          <w:tcPr>
            <w:tcW w:w="2460" w:type="dxa"/>
            <w:vAlign w:val="bottom"/>
            <w:shd w:val="clear" w:color="auto" w:fill="CCEEFF"/>
          </w:tcPr>
          <w:p>
            <w:pPr>
              <w:jc w:val="center"/>
              <w:ind w:right="97"/>
              <w:spacing w:after="0" w:line="135" w:lineRule="exact"/>
              <w:rPr>
                <w:sz w:val="20"/>
                <w:szCs w:val="20"/>
                <w:color w:val="auto"/>
              </w:rPr>
            </w:pPr>
            <w:r>
              <w:rPr>
                <w:rFonts w:ascii="Arial" w:cs="Arial" w:eastAsia="Arial" w:hAnsi="Arial"/>
                <w:sz w:val="13"/>
                <w:szCs w:val="13"/>
                <w:color w:val="auto"/>
                <w:w w:val="87"/>
              </w:rPr>
              <w:t>Broadcasting and Entertainment</w:t>
            </w:r>
          </w:p>
        </w:tc>
        <w:tc>
          <w:tcPr>
            <w:tcW w:w="10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1,333,330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3,000,000</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3300" w:type="dxa"/>
            <w:vAlign w:val="bottom"/>
          </w:tcPr>
          <w:p>
            <w:pPr>
              <w:spacing w:after="0" w:line="121" w:lineRule="exact"/>
              <w:rPr>
                <w:sz w:val="20"/>
                <w:szCs w:val="20"/>
                <w:color w:val="auto"/>
              </w:rPr>
            </w:pPr>
            <w:r>
              <w:rPr>
                <w:rFonts w:ascii="Arial" w:cs="Arial" w:eastAsia="Arial" w:hAnsi="Arial"/>
                <w:sz w:val="13"/>
                <w:szCs w:val="13"/>
                <w:color w:val="auto"/>
              </w:rPr>
              <w:t xml:space="preserve">Cardinal Logistics Holdings LLC </w:t>
            </w:r>
            <w:r>
              <w:rPr>
                <w:rFonts w:ascii="Arial" w:cs="Arial" w:eastAsia="Arial" w:hAnsi="Arial"/>
                <w:sz w:val="10"/>
                <w:szCs w:val="10"/>
                <w:color w:val="auto"/>
              </w:rPr>
              <w:t>(10)</w:t>
            </w:r>
          </w:p>
        </w:tc>
        <w:tc>
          <w:tcPr>
            <w:tcW w:w="940" w:type="dxa"/>
            <w:vAlign w:val="bottom"/>
          </w:tcPr>
          <w:p>
            <w:pPr>
              <w:jc w:val="center"/>
              <w:ind w:right="237"/>
              <w:spacing w:after="0" w:line="121" w:lineRule="exact"/>
              <w:rPr>
                <w:sz w:val="20"/>
                <w:szCs w:val="20"/>
                <w:color w:val="auto"/>
              </w:rPr>
            </w:pPr>
            <w:r>
              <w:rPr>
                <w:rFonts w:ascii="Arial" w:cs="Arial" w:eastAsia="Arial" w:hAnsi="Arial"/>
                <w:sz w:val="13"/>
                <w:szCs w:val="13"/>
                <w:color w:val="auto"/>
                <w:w w:val="91"/>
              </w:rPr>
              <w:t>—</w:t>
            </w:r>
          </w:p>
        </w:tc>
        <w:tc>
          <w:tcPr>
            <w:tcW w:w="2460" w:type="dxa"/>
            <w:vAlign w:val="bottom"/>
          </w:tcPr>
          <w:p>
            <w:pPr>
              <w:jc w:val="center"/>
              <w:ind w:right="97"/>
              <w:spacing w:after="0" w:line="121" w:lineRule="exact"/>
              <w:rPr>
                <w:sz w:val="20"/>
                <w:szCs w:val="20"/>
                <w:color w:val="auto"/>
              </w:rPr>
            </w:pPr>
            <w:r>
              <w:rPr>
                <w:rFonts w:ascii="Arial" w:cs="Arial" w:eastAsia="Arial" w:hAnsi="Arial"/>
                <w:sz w:val="13"/>
                <w:szCs w:val="13"/>
                <w:color w:val="auto"/>
                <w:w w:val="86"/>
              </w:rPr>
              <w:t>Cargo Transport</w:t>
            </w:r>
          </w:p>
        </w:tc>
        <w:tc>
          <w:tcPr>
            <w:tcW w:w="100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57"/>
              <w:spacing w:after="0" w:line="121"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line="121" w:lineRule="exact"/>
              <w:rPr>
                <w:sz w:val="20"/>
                <w:szCs w:val="20"/>
                <w:color w:val="auto"/>
              </w:rPr>
            </w:pPr>
            <w:r>
              <w:rPr>
                <w:rFonts w:ascii="Arial" w:cs="Arial" w:eastAsia="Arial" w:hAnsi="Arial"/>
                <w:sz w:val="13"/>
                <w:szCs w:val="13"/>
                <w:color w:val="auto"/>
              </w:rPr>
              <w:t>137,923</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2,111,588</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300" w:type="dxa"/>
            <w:vAlign w:val="bottom"/>
          </w:tcPr>
          <w:p>
            <w:pPr>
              <w:ind w:left="140"/>
              <w:spacing w:after="0"/>
              <w:rPr>
                <w:sz w:val="20"/>
                <w:szCs w:val="20"/>
                <w:color w:val="auto"/>
              </w:rPr>
            </w:pPr>
            <w:r>
              <w:rPr>
                <w:rFonts w:ascii="Arial" w:cs="Arial" w:eastAsia="Arial" w:hAnsi="Arial"/>
                <w:sz w:val="13"/>
                <w:szCs w:val="13"/>
                <w:color w:val="auto"/>
              </w:rPr>
              <w:t>(Intermediate Transportation 100, LLC)</w:t>
            </w:r>
          </w:p>
        </w:tc>
        <w:tc>
          <w:tcPr>
            <w:tcW w:w="9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Cascade Environmental LLC </w:t>
            </w:r>
            <w:r>
              <w:rPr>
                <w:rFonts w:ascii="Arial" w:cs="Arial" w:eastAsia="Arial" w:hAnsi="Arial"/>
                <w:sz w:val="10"/>
                <w:szCs w:val="10"/>
                <w:color w:val="auto"/>
              </w:rPr>
              <w:t>(10)</w:t>
            </w:r>
          </w:p>
        </w:tc>
        <w:tc>
          <w:tcPr>
            <w:tcW w:w="940" w:type="dxa"/>
            <w:vAlign w:val="bottom"/>
            <w:shd w:val="clear" w:color="auto" w:fill="CCEEFF"/>
          </w:tcPr>
          <w:p>
            <w:pPr>
              <w:jc w:val="center"/>
              <w:ind w:right="237"/>
              <w:spacing w:after="0" w:line="135" w:lineRule="exact"/>
              <w:rPr>
                <w:sz w:val="20"/>
                <w:szCs w:val="20"/>
                <w:color w:val="auto"/>
              </w:rPr>
            </w:pPr>
            <w:r>
              <w:rPr>
                <w:rFonts w:ascii="Arial" w:cs="Arial" w:eastAsia="Arial" w:hAnsi="Arial"/>
                <w:sz w:val="13"/>
                <w:szCs w:val="13"/>
                <w:color w:val="auto"/>
                <w:w w:val="91"/>
              </w:rPr>
              <w:t>—</w:t>
            </w:r>
          </w:p>
        </w:tc>
        <w:tc>
          <w:tcPr>
            <w:tcW w:w="2460" w:type="dxa"/>
            <w:vAlign w:val="bottom"/>
            <w:shd w:val="clear" w:color="auto" w:fill="CCEEFF"/>
          </w:tcPr>
          <w:p>
            <w:pPr>
              <w:jc w:val="center"/>
              <w:ind w:right="77"/>
              <w:spacing w:after="0" w:line="135" w:lineRule="exact"/>
              <w:rPr>
                <w:sz w:val="20"/>
                <w:szCs w:val="20"/>
                <w:color w:val="auto"/>
              </w:rPr>
            </w:pPr>
            <w:r>
              <w:rPr>
                <w:rFonts w:ascii="Arial" w:cs="Arial" w:eastAsia="Arial" w:hAnsi="Arial"/>
                <w:sz w:val="13"/>
                <w:szCs w:val="13"/>
                <w:color w:val="auto"/>
                <w:w w:val="87"/>
              </w:rPr>
              <w:t>Environmental Services</w:t>
            </w:r>
          </w:p>
        </w:tc>
        <w:tc>
          <w:tcPr>
            <w:tcW w:w="10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23,600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2,360,000</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5,194,738</w:t>
            </w:r>
          </w:p>
        </w:tc>
        <w:tc>
          <w:tcPr>
            <w:tcW w:w="0" w:type="dxa"/>
            <w:vAlign w:val="bottom"/>
          </w:tcPr>
          <w:p>
            <w:pPr>
              <w:spacing w:after="0"/>
              <w:rPr>
                <w:sz w:val="1"/>
                <w:szCs w:val="1"/>
                <w:color w:val="auto"/>
              </w:rPr>
            </w:pPr>
          </w:p>
        </w:tc>
      </w:tr>
      <w:tr>
        <w:trPr>
          <w:trHeight w:val="135"/>
        </w:trPr>
        <w:tc>
          <w:tcPr>
            <w:tcW w:w="3300" w:type="dxa"/>
            <w:vAlign w:val="bottom"/>
          </w:tcPr>
          <w:p>
            <w:pPr>
              <w:spacing w:after="0" w:line="135" w:lineRule="exact"/>
              <w:rPr>
                <w:sz w:val="20"/>
                <w:szCs w:val="20"/>
                <w:color w:val="auto"/>
              </w:rPr>
            </w:pPr>
            <w:r>
              <w:rPr>
                <w:rFonts w:ascii="Arial" w:cs="Arial" w:eastAsia="Arial" w:hAnsi="Arial"/>
                <w:sz w:val="13"/>
                <w:szCs w:val="13"/>
                <w:color w:val="auto"/>
              </w:rPr>
              <w:t xml:space="preserve">CI (Galls) Prime Investment Holdings, LLC </w:t>
            </w:r>
            <w:r>
              <w:rPr>
                <w:rFonts w:ascii="Arial" w:cs="Arial" w:eastAsia="Arial" w:hAnsi="Arial"/>
                <w:sz w:val="10"/>
                <w:szCs w:val="10"/>
                <w:color w:val="auto"/>
              </w:rPr>
              <w:t>(10)</w:t>
            </w:r>
          </w:p>
        </w:tc>
        <w:tc>
          <w:tcPr>
            <w:tcW w:w="940" w:type="dxa"/>
            <w:vAlign w:val="bottom"/>
          </w:tcPr>
          <w:p>
            <w:pPr>
              <w:jc w:val="center"/>
              <w:ind w:right="237"/>
              <w:spacing w:after="0" w:line="135" w:lineRule="exact"/>
              <w:rPr>
                <w:sz w:val="20"/>
                <w:szCs w:val="20"/>
                <w:color w:val="auto"/>
              </w:rPr>
            </w:pPr>
            <w:r>
              <w:rPr>
                <w:rFonts w:ascii="Arial" w:cs="Arial" w:eastAsia="Arial" w:hAnsi="Arial"/>
                <w:sz w:val="13"/>
                <w:szCs w:val="13"/>
                <w:color w:val="auto"/>
                <w:w w:val="91"/>
              </w:rPr>
              <w:t>—</w:t>
            </w:r>
          </w:p>
        </w:tc>
        <w:tc>
          <w:tcPr>
            <w:tcW w:w="2460" w:type="dxa"/>
            <w:vAlign w:val="bottom"/>
          </w:tcPr>
          <w:p>
            <w:pPr>
              <w:jc w:val="center"/>
              <w:ind w:right="77"/>
              <w:spacing w:after="0" w:line="135" w:lineRule="exact"/>
              <w:rPr>
                <w:sz w:val="20"/>
                <w:szCs w:val="20"/>
                <w:color w:val="auto"/>
              </w:rPr>
            </w:pPr>
            <w:r>
              <w:rPr>
                <w:rFonts w:ascii="Arial" w:cs="Arial" w:eastAsia="Arial" w:hAnsi="Arial"/>
                <w:sz w:val="13"/>
                <w:szCs w:val="13"/>
                <w:color w:val="auto"/>
                <w:w w:val="92"/>
              </w:rPr>
              <w:t>Distribution</w:t>
            </w:r>
          </w:p>
        </w:tc>
        <w:tc>
          <w:tcPr>
            <w:tcW w:w="10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1,745,639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1,745,639</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3,637,907</w:t>
            </w:r>
          </w:p>
        </w:tc>
        <w:tc>
          <w:tcPr>
            <w:tcW w:w="0" w:type="dxa"/>
            <w:vAlign w:val="bottom"/>
          </w:tcPr>
          <w:p>
            <w:pPr>
              <w:spacing w:after="0"/>
              <w:rPr>
                <w:sz w:val="1"/>
                <w:szCs w:val="1"/>
                <w:color w:val="auto"/>
              </w:rPr>
            </w:pPr>
          </w:p>
        </w:tc>
      </w:tr>
      <w:tr>
        <w:trPr>
          <w:trHeight w:val="135"/>
        </w:trPr>
        <w:tc>
          <w:tcPr>
            <w:tcW w:w="3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Convergint Technologies Holdings, LLC</w:t>
            </w:r>
          </w:p>
        </w:tc>
        <w:tc>
          <w:tcPr>
            <w:tcW w:w="940" w:type="dxa"/>
            <w:vAlign w:val="bottom"/>
            <w:shd w:val="clear" w:color="auto" w:fill="CCEEFF"/>
          </w:tcPr>
          <w:p>
            <w:pPr>
              <w:jc w:val="center"/>
              <w:ind w:right="237"/>
              <w:spacing w:after="0" w:line="135" w:lineRule="exact"/>
              <w:rPr>
                <w:sz w:val="20"/>
                <w:szCs w:val="20"/>
                <w:color w:val="auto"/>
              </w:rPr>
            </w:pPr>
            <w:r>
              <w:rPr>
                <w:rFonts w:ascii="Arial" w:cs="Arial" w:eastAsia="Arial" w:hAnsi="Arial"/>
                <w:sz w:val="13"/>
                <w:szCs w:val="13"/>
                <w:color w:val="auto"/>
                <w:w w:val="91"/>
              </w:rPr>
              <w:t>—</w:t>
            </w:r>
          </w:p>
        </w:tc>
        <w:tc>
          <w:tcPr>
            <w:tcW w:w="2460" w:type="dxa"/>
            <w:vAlign w:val="bottom"/>
            <w:shd w:val="clear" w:color="auto" w:fill="CCEEFF"/>
          </w:tcPr>
          <w:p>
            <w:pPr>
              <w:jc w:val="center"/>
              <w:ind w:right="77"/>
              <w:spacing w:after="0" w:line="135" w:lineRule="exact"/>
              <w:rPr>
                <w:sz w:val="20"/>
                <w:szCs w:val="20"/>
                <w:color w:val="auto"/>
              </w:rPr>
            </w:pPr>
            <w:r>
              <w:rPr>
                <w:rFonts w:ascii="Arial" w:cs="Arial" w:eastAsia="Arial" w:hAnsi="Arial"/>
                <w:sz w:val="13"/>
                <w:szCs w:val="13"/>
                <w:color w:val="auto"/>
                <w:w w:val="88"/>
              </w:rPr>
              <w:t>Electronics</w:t>
            </w:r>
          </w:p>
        </w:tc>
        <w:tc>
          <w:tcPr>
            <w:tcW w:w="10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2,375</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3"/>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2,671,422</w:t>
            </w:r>
          </w:p>
        </w:tc>
        <w:tc>
          <w:tcPr>
            <w:tcW w:w="0" w:type="dxa"/>
            <w:vAlign w:val="bottom"/>
          </w:tcPr>
          <w:p>
            <w:pPr>
              <w:spacing w:after="0"/>
              <w:rPr>
                <w:sz w:val="1"/>
                <w:szCs w:val="1"/>
                <w:color w:val="auto"/>
              </w:rPr>
            </w:pPr>
          </w:p>
        </w:tc>
      </w:tr>
      <w:tr>
        <w:trPr>
          <w:trHeight w:val="135"/>
        </w:trPr>
        <w:tc>
          <w:tcPr>
            <w:tcW w:w="3300" w:type="dxa"/>
            <w:vAlign w:val="bottom"/>
          </w:tcPr>
          <w:p>
            <w:pPr>
              <w:spacing w:after="0" w:line="135" w:lineRule="exact"/>
              <w:rPr>
                <w:sz w:val="20"/>
                <w:szCs w:val="20"/>
                <w:color w:val="auto"/>
              </w:rPr>
            </w:pPr>
            <w:r>
              <w:rPr>
                <w:rFonts w:ascii="Arial" w:cs="Arial" w:eastAsia="Arial" w:hAnsi="Arial"/>
                <w:sz w:val="13"/>
                <w:szCs w:val="13"/>
                <w:color w:val="auto"/>
              </w:rPr>
              <w:t>e.l.f. Beauty, Inc.</w:t>
            </w:r>
          </w:p>
        </w:tc>
        <w:tc>
          <w:tcPr>
            <w:tcW w:w="940" w:type="dxa"/>
            <w:vAlign w:val="bottom"/>
          </w:tcPr>
          <w:p>
            <w:pPr>
              <w:jc w:val="center"/>
              <w:ind w:right="237"/>
              <w:spacing w:after="0" w:line="135" w:lineRule="exact"/>
              <w:rPr>
                <w:sz w:val="20"/>
                <w:szCs w:val="20"/>
                <w:color w:val="auto"/>
              </w:rPr>
            </w:pPr>
            <w:r>
              <w:rPr>
                <w:rFonts w:ascii="Arial" w:cs="Arial" w:eastAsia="Arial" w:hAnsi="Arial"/>
                <w:sz w:val="13"/>
                <w:szCs w:val="13"/>
                <w:color w:val="auto"/>
                <w:w w:val="91"/>
              </w:rPr>
              <w:t>—</w:t>
            </w:r>
          </w:p>
        </w:tc>
        <w:tc>
          <w:tcPr>
            <w:tcW w:w="2460" w:type="dxa"/>
            <w:vAlign w:val="bottom"/>
          </w:tcPr>
          <w:p>
            <w:pPr>
              <w:jc w:val="center"/>
              <w:ind w:right="97"/>
              <w:spacing w:after="0" w:line="135" w:lineRule="exact"/>
              <w:rPr>
                <w:sz w:val="20"/>
                <w:szCs w:val="20"/>
                <w:color w:val="auto"/>
              </w:rPr>
            </w:pPr>
            <w:r>
              <w:rPr>
                <w:rFonts w:ascii="Arial" w:cs="Arial" w:eastAsia="Arial" w:hAnsi="Arial"/>
                <w:sz w:val="13"/>
                <w:szCs w:val="13"/>
                <w:color w:val="auto"/>
                <w:w w:val="85"/>
              </w:rPr>
              <w:t>Consumer Products</w:t>
            </w:r>
          </w:p>
        </w:tc>
        <w:tc>
          <w:tcPr>
            <w:tcW w:w="10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938,399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2,513,193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5"/>
              </w:rPr>
              <w:t>25,141,220</w:t>
            </w:r>
          </w:p>
        </w:tc>
        <w:tc>
          <w:tcPr>
            <w:tcW w:w="0" w:type="dxa"/>
            <w:vAlign w:val="bottom"/>
          </w:tcPr>
          <w:p>
            <w:pPr>
              <w:spacing w:after="0"/>
              <w:rPr>
                <w:sz w:val="1"/>
                <w:szCs w:val="1"/>
                <w:color w:val="auto"/>
              </w:rPr>
            </w:pPr>
          </w:p>
        </w:tc>
      </w:tr>
      <w:tr>
        <w:trPr>
          <w:trHeight w:val="135"/>
        </w:trPr>
        <w:tc>
          <w:tcPr>
            <w:tcW w:w="3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Faraday Holdings, LLC (Interior Specialists, Inc.)</w:t>
            </w:r>
          </w:p>
        </w:tc>
        <w:tc>
          <w:tcPr>
            <w:tcW w:w="940" w:type="dxa"/>
            <w:vAlign w:val="bottom"/>
            <w:shd w:val="clear" w:color="auto" w:fill="CCEEFF"/>
          </w:tcPr>
          <w:p>
            <w:pPr>
              <w:jc w:val="center"/>
              <w:ind w:right="237"/>
              <w:spacing w:after="0" w:line="135" w:lineRule="exact"/>
              <w:rPr>
                <w:sz w:val="20"/>
                <w:szCs w:val="20"/>
                <w:color w:val="auto"/>
              </w:rPr>
            </w:pPr>
            <w:r>
              <w:rPr>
                <w:rFonts w:ascii="Arial" w:cs="Arial" w:eastAsia="Arial" w:hAnsi="Arial"/>
                <w:sz w:val="13"/>
                <w:szCs w:val="13"/>
                <w:color w:val="auto"/>
                <w:w w:val="91"/>
              </w:rPr>
              <w:t>—</w:t>
            </w:r>
          </w:p>
        </w:tc>
        <w:tc>
          <w:tcPr>
            <w:tcW w:w="2460" w:type="dxa"/>
            <w:vAlign w:val="bottom"/>
            <w:shd w:val="clear" w:color="auto" w:fill="CCEEFF"/>
          </w:tcPr>
          <w:p>
            <w:pPr>
              <w:jc w:val="center"/>
              <w:ind w:right="97"/>
              <w:spacing w:after="0" w:line="135" w:lineRule="exact"/>
              <w:rPr>
                <w:sz w:val="20"/>
                <w:szCs w:val="20"/>
                <w:color w:val="auto"/>
              </w:rPr>
            </w:pPr>
            <w:r>
              <w:rPr>
                <w:rFonts w:ascii="Arial" w:cs="Arial" w:eastAsia="Arial" w:hAnsi="Arial"/>
                <w:sz w:val="13"/>
                <w:szCs w:val="13"/>
                <w:color w:val="auto"/>
                <w:w w:val="91"/>
              </w:rPr>
              <w:t>Building Materials</w:t>
            </w:r>
          </w:p>
        </w:tc>
        <w:tc>
          <w:tcPr>
            <w:tcW w:w="10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4,277</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217,635</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354,555</w:t>
            </w:r>
          </w:p>
        </w:tc>
        <w:tc>
          <w:tcPr>
            <w:tcW w:w="0" w:type="dxa"/>
            <w:vAlign w:val="bottom"/>
          </w:tcPr>
          <w:p>
            <w:pPr>
              <w:spacing w:after="0"/>
              <w:rPr>
                <w:sz w:val="1"/>
                <w:szCs w:val="1"/>
                <w:color w:val="auto"/>
              </w:rPr>
            </w:pPr>
          </w:p>
        </w:tc>
      </w:tr>
      <w:tr>
        <w:trPr>
          <w:trHeight w:val="135"/>
        </w:trPr>
        <w:tc>
          <w:tcPr>
            <w:tcW w:w="3300" w:type="dxa"/>
            <w:vAlign w:val="bottom"/>
          </w:tcPr>
          <w:p>
            <w:pPr>
              <w:spacing w:after="0" w:line="135" w:lineRule="exact"/>
              <w:rPr>
                <w:sz w:val="20"/>
                <w:szCs w:val="20"/>
                <w:color w:val="auto"/>
              </w:rPr>
            </w:pPr>
            <w:r>
              <w:rPr>
                <w:rFonts w:ascii="Arial" w:cs="Arial" w:eastAsia="Arial" w:hAnsi="Arial"/>
                <w:sz w:val="13"/>
                <w:szCs w:val="13"/>
                <w:color w:val="auto"/>
              </w:rPr>
              <w:t>HW Holdco, LLC</w:t>
            </w:r>
          </w:p>
        </w:tc>
        <w:tc>
          <w:tcPr>
            <w:tcW w:w="940" w:type="dxa"/>
            <w:vAlign w:val="bottom"/>
          </w:tcPr>
          <w:p>
            <w:pPr>
              <w:jc w:val="center"/>
              <w:ind w:right="237"/>
              <w:spacing w:after="0" w:line="135" w:lineRule="exact"/>
              <w:rPr>
                <w:sz w:val="20"/>
                <w:szCs w:val="20"/>
                <w:color w:val="auto"/>
              </w:rPr>
            </w:pPr>
            <w:r>
              <w:rPr>
                <w:rFonts w:ascii="Arial" w:cs="Arial" w:eastAsia="Arial" w:hAnsi="Arial"/>
                <w:sz w:val="13"/>
                <w:szCs w:val="13"/>
                <w:color w:val="auto"/>
                <w:w w:val="91"/>
              </w:rPr>
              <w:t>—</w:t>
            </w:r>
          </w:p>
        </w:tc>
        <w:tc>
          <w:tcPr>
            <w:tcW w:w="2460" w:type="dxa"/>
            <w:vAlign w:val="bottom"/>
          </w:tcPr>
          <w:p>
            <w:pPr>
              <w:jc w:val="center"/>
              <w:ind w:right="77"/>
              <w:spacing w:after="0" w:line="135" w:lineRule="exact"/>
              <w:rPr>
                <w:sz w:val="20"/>
                <w:szCs w:val="20"/>
                <w:color w:val="auto"/>
              </w:rPr>
            </w:pPr>
            <w:r>
              <w:rPr>
                <w:rFonts w:ascii="Arial" w:cs="Arial" w:eastAsia="Arial" w:hAnsi="Arial"/>
                <w:sz w:val="13"/>
                <w:szCs w:val="13"/>
                <w:color w:val="auto"/>
                <w:w w:val="89"/>
              </w:rPr>
              <w:t>Other Media</w:t>
            </w:r>
          </w:p>
        </w:tc>
        <w:tc>
          <w:tcPr>
            <w:tcW w:w="10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388,378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3,512,420</w:t>
            </w:r>
          </w:p>
        </w:tc>
        <w:tc>
          <w:tcPr>
            <w:tcW w:w="0" w:type="dxa"/>
            <w:vAlign w:val="bottom"/>
          </w:tcPr>
          <w:p>
            <w:pPr>
              <w:spacing w:after="0"/>
              <w:rPr>
                <w:sz w:val="1"/>
                <w:szCs w:val="1"/>
                <w:color w:val="auto"/>
              </w:rPr>
            </w:pPr>
          </w:p>
        </w:tc>
      </w:tr>
      <w:tr>
        <w:trPr>
          <w:trHeight w:val="135"/>
        </w:trPr>
        <w:tc>
          <w:tcPr>
            <w:tcW w:w="3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Kadmon Holdings, Inc.</w:t>
            </w:r>
          </w:p>
        </w:tc>
        <w:tc>
          <w:tcPr>
            <w:tcW w:w="940" w:type="dxa"/>
            <w:vAlign w:val="bottom"/>
            <w:shd w:val="clear" w:color="auto" w:fill="CCEEFF"/>
          </w:tcPr>
          <w:p>
            <w:pPr>
              <w:jc w:val="center"/>
              <w:ind w:right="237"/>
              <w:spacing w:after="0" w:line="135" w:lineRule="exact"/>
              <w:rPr>
                <w:sz w:val="20"/>
                <w:szCs w:val="20"/>
                <w:color w:val="auto"/>
              </w:rPr>
            </w:pPr>
            <w:r>
              <w:rPr>
                <w:rFonts w:ascii="Arial" w:cs="Arial" w:eastAsia="Arial" w:hAnsi="Arial"/>
                <w:sz w:val="13"/>
                <w:szCs w:val="13"/>
                <w:color w:val="auto"/>
                <w:w w:val="91"/>
              </w:rPr>
              <w:t>—</w:t>
            </w:r>
          </w:p>
        </w:tc>
        <w:tc>
          <w:tcPr>
            <w:tcW w:w="2460" w:type="dxa"/>
            <w:vAlign w:val="bottom"/>
            <w:shd w:val="clear" w:color="auto" w:fill="CCEEFF"/>
          </w:tcPr>
          <w:p>
            <w:pPr>
              <w:jc w:val="center"/>
              <w:ind w:right="97"/>
              <w:spacing w:after="0" w:line="135" w:lineRule="exact"/>
              <w:rPr>
                <w:sz w:val="20"/>
                <w:szCs w:val="20"/>
                <w:color w:val="auto"/>
              </w:rPr>
            </w:pPr>
            <w:r>
              <w:rPr>
                <w:rFonts w:ascii="Arial" w:cs="Arial" w:eastAsia="Arial" w:hAnsi="Arial"/>
                <w:sz w:val="13"/>
                <w:szCs w:val="13"/>
                <w:color w:val="auto"/>
                <w:w w:val="87"/>
              </w:rPr>
              <w:t>Healthcare, Education and Childcare</w:t>
            </w:r>
          </w:p>
        </w:tc>
        <w:tc>
          <w:tcPr>
            <w:tcW w:w="10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252,014</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2,265,639</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1,849,783</w:t>
            </w:r>
          </w:p>
        </w:tc>
        <w:tc>
          <w:tcPr>
            <w:tcW w:w="0" w:type="dxa"/>
            <w:vAlign w:val="bottom"/>
          </w:tcPr>
          <w:p>
            <w:pPr>
              <w:spacing w:after="0"/>
              <w:rPr>
                <w:sz w:val="1"/>
                <w:szCs w:val="1"/>
                <w:color w:val="auto"/>
              </w:rPr>
            </w:pPr>
          </w:p>
        </w:tc>
      </w:tr>
      <w:tr>
        <w:trPr>
          <w:trHeight w:val="135"/>
        </w:trPr>
        <w:tc>
          <w:tcPr>
            <w:tcW w:w="3300" w:type="dxa"/>
            <w:vAlign w:val="bottom"/>
          </w:tcPr>
          <w:p>
            <w:pPr>
              <w:spacing w:after="0" w:line="135" w:lineRule="exact"/>
              <w:rPr>
                <w:sz w:val="20"/>
                <w:szCs w:val="20"/>
                <w:color w:val="auto"/>
              </w:rPr>
            </w:pPr>
            <w:r>
              <w:rPr>
                <w:rFonts w:ascii="Arial" w:cs="Arial" w:eastAsia="Arial" w:hAnsi="Arial"/>
                <w:sz w:val="13"/>
                <w:szCs w:val="13"/>
                <w:color w:val="auto"/>
              </w:rPr>
              <w:t xml:space="preserve">LaMi Acquisition, LLC </w:t>
            </w:r>
            <w:r>
              <w:rPr>
                <w:rFonts w:ascii="Arial" w:cs="Arial" w:eastAsia="Arial" w:hAnsi="Arial"/>
                <w:sz w:val="10"/>
                <w:szCs w:val="10"/>
                <w:color w:val="auto"/>
              </w:rPr>
              <w:t>(10)</w:t>
            </w:r>
          </w:p>
        </w:tc>
        <w:tc>
          <w:tcPr>
            <w:tcW w:w="940" w:type="dxa"/>
            <w:vAlign w:val="bottom"/>
          </w:tcPr>
          <w:p>
            <w:pPr>
              <w:jc w:val="center"/>
              <w:ind w:right="237"/>
              <w:spacing w:after="0" w:line="135" w:lineRule="exact"/>
              <w:rPr>
                <w:sz w:val="20"/>
                <w:szCs w:val="20"/>
                <w:color w:val="auto"/>
              </w:rPr>
            </w:pPr>
            <w:r>
              <w:rPr>
                <w:rFonts w:ascii="Arial" w:cs="Arial" w:eastAsia="Arial" w:hAnsi="Arial"/>
                <w:sz w:val="13"/>
                <w:szCs w:val="13"/>
                <w:color w:val="auto"/>
                <w:w w:val="91"/>
              </w:rPr>
              <w:t>—</w:t>
            </w:r>
          </w:p>
        </w:tc>
        <w:tc>
          <w:tcPr>
            <w:tcW w:w="2460" w:type="dxa"/>
            <w:vAlign w:val="bottom"/>
          </w:tcPr>
          <w:p>
            <w:pPr>
              <w:jc w:val="center"/>
              <w:ind w:right="77"/>
              <w:spacing w:after="0" w:line="135" w:lineRule="exact"/>
              <w:rPr>
                <w:sz w:val="20"/>
                <w:szCs w:val="20"/>
                <w:color w:val="auto"/>
              </w:rPr>
            </w:pPr>
            <w:r>
              <w:rPr>
                <w:rFonts w:ascii="Arial" w:cs="Arial" w:eastAsia="Arial" w:hAnsi="Arial"/>
                <w:sz w:val="13"/>
                <w:szCs w:val="13"/>
                <w:color w:val="auto"/>
                <w:w w:val="92"/>
              </w:rPr>
              <w:t>Distribution</w:t>
            </w:r>
          </w:p>
        </w:tc>
        <w:tc>
          <w:tcPr>
            <w:tcW w:w="10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19</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493,280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526,382</w:t>
            </w:r>
          </w:p>
        </w:tc>
        <w:tc>
          <w:tcPr>
            <w:tcW w:w="0" w:type="dxa"/>
            <w:vAlign w:val="bottom"/>
          </w:tcPr>
          <w:p>
            <w:pPr>
              <w:spacing w:after="0"/>
              <w:rPr>
                <w:sz w:val="1"/>
                <w:szCs w:val="1"/>
                <w:color w:val="auto"/>
              </w:rPr>
            </w:pPr>
          </w:p>
        </w:tc>
      </w:tr>
      <w:tr>
        <w:trPr>
          <w:trHeight w:val="135"/>
        </w:trPr>
        <w:tc>
          <w:tcPr>
            <w:tcW w:w="3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Lariat ecoserv Co-Invest Holdings, LLC </w:t>
            </w:r>
            <w:r>
              <w:rPr>
                <w:rFonts w:ascii="Arial" w:cs="Arial" w:eastAsia="Arial" w:hAnsi="Arial"/>
                <w:sz w:val="10"/>
                <w:szCs w:val="10"/>
                <w:color w:val="auto"/>
              </w:rPr>
              <w:t>(10)</w:t>
            </w:r>
          </w:p>
        </w:tc>
        <w:tc>
          <w:tcPr>
            <w:tcW w:w="940" w:type="dxa"/>
            <w:vAlign w:val="bottom"/>
            <w:shd w:val="clear" w:color="auto" w:fill="CCEEFF"/>
          </w:tcPr>
          <w:p>
            <w:pPr>
              <w:jc w:val="center"/>
              <w:ind w:right="237"/>
              <w:spacing w:after="0" w:line="135" w:lineRule="exact"/>
              <w:rPr>
                <w:sz w:val="20"/>
                <w:szCs w:val="20"/>
                <w:color w:val="auto"/>
              </w:rPr>
            </w:pPr>
            <w:r>
              <w:rPr>
                <w:rFonts w:ascii="Arial" w:cs="Arial" w:eastAsia="Arial" w:hAnsi="Arial"/>
                <w:sz w:val="13"/>
                <w:szCs w:val="13"/>
                <w:color w:val="auto"/>
                <w:w w:val="91"/>
              </w:rPr>
              <w:t>—</w:t>
            </w:r>
          </w:p>
        </w:tc>
        <w:tc>
          <w:tcPr>
            <w:tcW w:w="2460" w:type="dxa"/>
            <w:vAlign w:val="bottom"/>
            <w:shd w:val="clear" w:color="auto" w:fill="CCEEFF"/>
          </w:tcPr>
          <w:p>
            <w:pPr>
              <w:jc w:val="center"/>
              <w:ind w:right="77"/>
              <w:spacing w:after="0" w:line="135" w:lineRule="exact"/>
              <w:rPr>
                <w:sz w:val="20"/>
                <w:szCs w:val="20"/>
                <w:color w:val="auto"/>
              </w:rPr>
            </w:pPr>
            <w:r>
              <w:rPr>
                <w:rFonts w:ascii="Arial" w:cs="Arial" w:eastAsia="Arial" w:hAnsi="Arial"/>
                <w:sz w:val="13"/>
                <w:szCs w:val="13"/>
                <w:color w:val="auto"/>
                <w:w w:val="87"/>
              </w:rPr>
              <w:t>Environmental Services</w:t>
            </w:r>
          </w:p>
        </w:tc>
        <w:tc>
          <w:tcPr>
            <w:tcW w:w="10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1,000,000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1,000,000</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3300" w:type="dxa"/>
            <w:vAlign w:val="bottom"/>
          </w:tcPr>
          <w:p>
            <w:pPr>
              <w:spacing w:after="0" w:line="121" w:lineRule="exact"/>
              <w:rPr>
                <w:sz w:val="20"/>
                <w:szCs w:val="20"/>
                <w:color w:val="auto"/>
              </w:rPr>
            </w:pPr>
            <w:r>
              <w:rPr>
                <w:rFonts w:ascii="Arial" w:cs="Arial" w:eastAsia="Arial" w:hAnsi="Arial"/>
                <w:sz w:val="13"/>
                <w:szCs w:val="13"/>
                <w:color w:val="auto"/>
              </w:rPr>
              <w:t>MidOcean PPL Holdings, Corp.</w:t>
            </w:r>
          </w:p>
        </w:tc>
        <w:tc>
          <w:tcPr>
            <w:tcW w:w="940" w:type="dxa"/>
            <w:vAlign w:val="bottom"/>
          </w:tcPr>
          <w:p>
            <w:pPr>
              <w:jc w:val="center"/>
              <w:ind w:right="237"/>
              <w:spacing w:after="0" w:line="121" w:lineRule="exact"/>
              <w:rPr>
                <w:sz w:val="20"/>
                <w:szCs w:val="20"/>
                <w:color w:val="auto"/>
              </w:rPr>
            </w:pPr>
            <w:r>
              <w:rPr>
                <w:rFonts w:ascii="Arial" w:cs="Arial" w:eastAsia="Arial" w:hAnsi="Arial"/>
                <w:sz w:val="13"/>
                <w:szCs w:val="13"/>
                <w:color w:val="auto"/>
                <w:w w:val="91"/>
              </w:rPr>
              <w:t>—</w:t>
            </w:r>
          </w:p>
        </w:tc>
        <w:tc>
          <w:tcPr>
            <w:tcW w:w="2460" w:type="dxa"/>
            <w:vAlign w:val="bottom"/>
          </w:tcPr>
          <w:p>
            <w:pPr>
              <w:jc w:val="center"/>
              <w:ind w:right="97"/>
              <w:spacing w:after="0" w:line="121" w:lineRule="exact"/>
              <w:rPr>
                <w:sz w:val="20"/>
                <w:szCs w:val="20"/>
                <w:color w:val="auto"/>
              </w:rPr>
            </w:pPr>
            <w:r>
              <w:rPr>
                <w:rFonts w:ascii="Arial" w:cs="Arial" w:eastAsia="Arial" w:hAnsi="Arial"/>
                <w:sz w:val="13"/>
                <w:szCs w:val="13"/>
                <w:color w:val="auto"/>
                <w:w w:val="86"/>
              </w:rPr>
              <w:t>Personal, Food and Miscellaneous Services</w:t>
            </w:r>
          </w:p>
        </w:tc>
        <w:tc>
          <w:tcPr>
            <w:tcW w:w="1000" w:type="dxa"/>
            <w:vAlign w:val="bottom"/>
          </w:tcPr>
          <w:p>
            <w:pPr>
              <w:jc w:val="right"/>
              <w:ind w:right="157"/>
              <w:spacing w:after="0" w:line="121"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57"/>
              <w:spacing w:after="0" w:line="121"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line="121" w:lineRule="exact"/>
              <w:rPr>
                <w:sz w:val="20"/>
                <w:szCs w:val="20"/>
                <w:color w:val="auto"/>
              </w:rPr>
            </w:pPr>
            <w:r>
              <w:rPr>
                <w:rFonts w:ascii="Arial" w:cs="Arial" w:eastAsia="Arial" w:hAnsi="Arial"/>
                <w:sz w:val="13"/>
                <w:szCs w:val="13"/>
                <w:color w:val="auto"/>
              </w:rPr>
              <w:t>3,000</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3,000,000</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5,959,292</w:t>
            </w:r>
          </w:p>
        </w:tc>
        <w:tc>
          <w:tcPr>
            <w:tcW w:w="0" w:type="dxa"/>
            <w:vAlign w:val="bottom"/>
          </w:tcPr>
          <w:p>
            <w:pPr>
              <w:spacing w:after="0"/>
              <w:rPr>
                <w:sz w:val="1"/>
                <w:szCs w:val="1"/>
                <w:color w:val="auto"/>
              </w:rPr>
            </w:pPr>
          </w:p>
        </w:tc>
      </w:tr>
      <w:tr>
        <w:trPr>
          <w:trHeight w:val="149"/>
        </w:trPr>
        <w:tc>
          <w:tcPr>
            <w:tcW w:w="3300" w:type="dxa"/>
            <w:vAlign w:val="bottom"/>
          </w:tcPr>
          <w:p>
            <w:pPr>
              <w:ind w:left="140"/>
              <w:spacing w:after="0"/>
              <w:rPr>
                <w:sz w:val="20"/>
                <w:szCs w:val="20"/>
                <w:color w:val="auto"/>
              </w:rPr>
            </w:pPr>
            <w:r>
              <w:rPr>
                <w:rFonts w:ascii="Arial" w:cs="Arial" w:eastAsia="Arial" w:hAnsi="Arial"/>
                <w:sz w:val="13"/>
                <w:szCs w:val="13"/>
                <w:color w:val="auto"/>
              </w:rPr>
              <w:t>(Pre-Paid Legal Services, Inc.)</w:t>
            </w:r>
          </w:p>
        </w:tc>
        <w:tc>
          <w:tcPr>
            <w:tcW w:w="9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Patriot National, Inc.</w:t>
            </w:r>
          </w:p>
        </w:tc>
        <w:tc>
          <w:tcPr>
            <w:tcW w:w="940" w:type="dxa"/>
            <w:vAlign w:val="bottom"/>
            <w:shd w:val="clear" w:color="auto" w:fill="CCEEFF"/>
          </w:tcPr>
          <w:p>
            <w:pPr>
              <w:jc w:val="center"/>
              <w:ind w:right="237"/>
              <w:spacing w:after="0" w:line="135" w:lineRule="exact"/>
              <w:rPr>
                <w:sz w:val="20"/>
                <w:szCs w:val="20"/>
                <w:color w:val="auto"/>
              </w:rPr>
            </w:pPr>
            <w:r>
              <w:rPr>
                <w:rFonts w:ascii="Arial" w:cs="Arial" w:eastAsia="Arial" w:hAnsi="Arial"/>
                <w:sz w:val="13"/>
                <w:szCs w:val="13"/>
                <w:color w:val="auto"/>
                <w:w w:val="91"/>
              </w:rPr>
              <w:t>—</w:t>
            </w:r>
          </w:p>
        </w:tc>
        <w:tc>
          <w:tcPr>
            <w:tcW w:w="2460" w:type="dxa"/>
            <w:vAlign w:val="bottom"/>
            <w:shd w:val="clear" w:color="auto" w:fill="CCEEFF"/>
          </w:tcPr>
          <w:p>
            <w:pPr>
              <w:jc w:val="center"/>
              <w:ind w:right="97"/>
              <w:spacing w:after="0" w:line="135" w:lineRule="exact"/>
              <w:rPr>
                <w:sz w:val="20"/>
                <w:szCs w:val="20"/>
                <w:color w:val="auto"/>
              </w:rPr>
            </w:pPr>
            <w:r>
              <w:rPr>
                <w:rFonts w:ascii="Arial" w:cs="Arial" w:eastAsia="Arial" w:hAnsi="Arial"/>
                <w:sz w:val="13"/>
                <w:szCs w:val="13"/>
                <w:color w:val="auto"/>
                <w:w w:val="87"/>
              </w:rPr>
              <w:t>Insurance</w:t>
            </w:r>
          </w:p>
        </w:tc>
        <w:tc>
          <w:tcPr>
            <w:tcW w:w="10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100,885</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238,038</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908,974</w:t>
            </w:r>
          </w:p>
        </w:tc>
        <w:tc>
          <w:tcPr>
            <w:tcW w:w="0" w:type="dxa"/>
            <w:vAlign w:val="bottom"/>
          </w:tcPr>
          <w:p>
            <w:pPr>
              <w:spacing w:after="0"/>
              <w:rPr>
                <w:sz w:val="1"/>
                <w:szCs w:val="1"/>
                <w:color w:val="auto"/>
              </w:rPr>
            </w:pPr>
          </w:p>
        </w:tc>
      </w:tr>
      <w:tr>
        <w:trPr>
          <w:trHeight w:val="135"/>
        </w:trPr>
        <w:tc>
          <w:tcPr>
            <w:tcW w:w="3300" w:type="dxa"/>
            <w:vAlign w:val="bottom"/>
          </w:tcPr>
          <w:p>
            <w:pPr>
              <w:spacing w:after="0" w:line="135" w:lineRule="exact"/>
              <w:rPr>
                <w:sz w:val="20"/>
                <w:szCs w:val="20"/>
                <w:color w:val="auto"/>
              </w:rPr>
            </w:pPr>
            <w:r>
              <w:rPr>
                <w:rFonts w:ascii="Arial" w:cs="Arial" w:eastAsia="Arial" w:hAnsi="Arial"/>
                <w:sz w:val="13"/>
                <w:szCs w:val="13"/>
                <w:color w:val="auto"/>
              </w:rPr>
              <w:t xml:space="preserve">Power Products Holdings, LLC, Class A Units </w:t>
            </w:r>
            <w:r>
              <w:rPr>
                <w:rFonts w:ascii="Arial" w:cs="Arial" w:eastAsia="Arial" w:hAnsi="Arial"/>
                <w:sz w:val="10"/>
                <w:szCs w:val="10"/>
                <w:color w:val="auto"/>
              </w:rPr>
              <w:t>(10)</w:t>
            </w:r>
          </w:p>
        </w:tc>
        <w:tc>
          <w:tcPr>
            <w:tcW w:w="940" w:type="dxa"/>
            <w:vAlign w:val="bottom"/>
          </w:tcPr>
          <w:p>
            <w:pPr>
              <w:jc w:val="center"/>
              <w:ind w:right="237"/>
              <w:spacing w:after="0" w:line="135" w:lineRule="exact"/>
              <w:rPr>
                <w:sz w:val="20"/>
                <w:szCs w:val="20"/>
                <w:color w:val="auto"/>
              </w:rPr>
            </w:pPr>
            <w:r>
              <w:rPr>
                <w:rFonts w:ascii="Arial" w:cs="Arial" w:eastAsia="Arial" w:hAnsi="Arial"/>
                <w:sz w:val="13"/>
                <w:szCs w:val="13"/>
                <w:color w:val="auto"/>
                <w:w w:val="91"/>
              </w:rPr>
              <w:t>—</w:t>
            </w:r>
          </w:p>
        </w:tc>
        <w:tc>
          <w:tcPr>
            <w:tcW w:w="2460" w:type="dxa"/>
            <w:vAlign w:val="bottom"/>
          </w:tcPr>
          <w:p>
            <w:pPr>
              <w:jc w:val="center"/>
              <w:ind w:right="77"/>
              <w:spacing w:after="0" w:line="135" w:lineRule="exact"/>
              <w:rPr>
                <w:sz w:val="20"/>
                <w:szCs w:val="20"/>
                <w:color w:val="auto"/>
              </w:rPr>
            </w:pPr>
            <w:r>
              <w:rPr>
                <w:rFonts w:ascii="Arial" w:cs="Arial" w:eastAsia="Arial" w:hAnsi="Arial"/>
                <w:sz w:val="13"/>
                <w:szCs w:val="13"/>
                <w:color w:val="auto"/>
                <w:w w:val="88"/>
              </w:rPr>
              <w:t>Electronics</w:t>
            </w:r>
          </w:p>
        </w:tc>
        <w:tc>
          <w:tcPr>
            <w:tcW w:w="10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1,350,000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901,263</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1,223,409</w:t>
            </w:r>
          </w:p>
        </w:tc>
        <w:tc>
          <w:tcPr>
            <w:tcW w:w="0" w:type="dxa"/>
            <w:vAlign w:val="bottom"/>
          </w:tcPr>
          <w:p>
            <w:pPr>
              <w:spacing w:after="0"/>
              <w:rPr>
                <w:sz w:val="1"/>
                <w:szCs w:val="1"/>
                <w:color w:val="auto"/>
              </w:rPr>
            </w:pPr>
          </w:p>
        </w:tc>
      </w:tr>
      <w:tr>
        <w:trPr>
          <w:trHeight w:val="135"/>
        </w:trPr>
        <w:tc>
          <w:tcPr>
            <w:tcW w:w="3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Power Products Holdings, LLC, Class B Units </w:t>
            </w:r>
            <w:r>
              <w:rPr>
                <w:rFonts w:ascii="Arial" w:cs="Arial" w:eastAsia="Arial" w:hAnsi="Arial"/>
                <w:sz w:val="10"/>
                <w:szCs w:val="10"/>
                <w:color w:val="auto"/>
              </w:rPr>
              <w:t>(10)</w:t>
            </w:r>
          </w:p>
        </w:tc>
        <w:tc>
          <w:tcPr>
            <w:tcW w:w="940" w:type="dxa"/>
            <w:vAlign w:val="bottom"/>
            <w:shd w:val="clear" w:color="auto" w:fill="CCEEFF"/>
          </w:tcPr>
          <w:p>
            <w:pPr>
              <w:jc w:val="center"/>
              <w:ind w:right="237"/>
              <w:spacing w:after="0" w:line="135" w:lineRule="exact"/>
              <w:rPr>
                <w:sz w:val="20"/>
                <w:szCs w:val="20"/>
                <w:color w:val="auto"/>
              </w:rPr>
            </w:pPr>
            <w:r>
              <w:rPr>
                <w:rFonts w:ascii="Arial" w:cs="Arial" w:eastAsia="Arial" w:hAnsi="Arial"/>
                <w:sz w:val="13"/>
                <w:szCs w:val="13"/>
                <w:color w:val="auto"/>
                <w:w w:val="91"/>
              </w:rPr>
              <w:t>—</w:t>
            </w:r>
          </w:p>
        </w:tc>
        <w:tc>
          <w:tcPr>
            <w:tcW w:w="2460" w:type="dxa"/>
            <w:vAlign w:val="bottom"/>
            <w:shd w:val="clear" w:color="auto" w:fill="CCEEFF"/>
          </w:tcPr>
          <w:p>
            <w:pPr>
              <w:jc w:val="center"/>
              <w:ind w:right="77"/>
              <w:spacing w:after="0" w:line="135" w:lineRule="exact"/>
              <w:rPr>
                <w:sz w:val="20"/>
                <w:szCs w:val="20"/>
                <w:color w:val="auto"/>
              </w:rPr>
            </w:pPr>
            <w:r>
              <w:rPr>
                <w:rFonts w:ascii="Arial" w:cs="Arial" w:eastAsia="Arial" w:hAnsi="Arial"/>
                <w:sz w:val="13"/>
                <w:szCs w:val="13"/>
                <w:color w:val="auto"/>
                <w:w w:val="88"/>
              </w:rPr>
              <w:t>Electronics</w:t>
            </w:r>
          </w:p>
        </w:tc>
        <w:tc>
          <w:tcPr>
            <w:tcW w:w="10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150,000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142,300</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2,800,010</w:t>
            </w:r>
          </w:p>
        </w:tc>
        <w:tc>
          <w:tcPr>
            <w:tcW w:w="0" w:type="dxa"/>
            <w:vAlign w:val="bottom"/>
          </w:tcPr>
          <w:p>
            <w:pPr>
              <w:spacing w:after="0"/>
              <w:rPr>
                <w:sz w:val="1"/>
                <w:szCs w:val="1"/>
                <w:color w:val="auto"/>
              </w:rPr>
            </w:pPr>
          </w:p>
        </w:tc>
      </w:tr>
      <w:tr>
        <w:trPr>
          <w:trHeight w:val="135"/>
        </w:trPr>
        <w:tc>
          <w:tcPr>
            <w:tcW w:w="3300" w:type="dxa"/>
            <w:vAlign w:val="bottom"/>
          </w:tcPr>
          <w:p>
            <w:pPr>
              <w:spacing w:after="0" w:line="135" w:lineRule="exact"/>
              <w:rPr>
                <w:sz w:val="20"/>
                <w:szCs w:val="20"/>
                <w:color w:val="auto"/>
              </w:rPr>
            </w:pPr>
            <w:r>
              <w:rPr>
                <w:rFonts w:ascii="Arial" w:cs="Arial" w:eastAsia="Arial" w:hAnsi="Arial"/>
                <w:sz w:val="13"/>
                <w:szCs w:val="13"/>
                <w:color w:val="auto"/>
              </w:rPr>
              <w:t>Roto Holdings, Inc.</w:t>
            </w:r>
          </w:p>
        </w:tc>
        <w:tc>
          <w:tcPr>
            <w:tcW w:w="940" w:type="dxa"/>
            <w:vAlign w:val="bottom"/>
          </w:tcPr>
          <w:p>
            <w:pPr>
              <w:jc w:val="center"/>
              <w:ind w:right="237"/>
              <w:spacing w:after="0" w:line="135" w:lineRule="exact"/>
              <w:rPr>
                <w:sz w:val="20"/>
                <w:szCs w:val="20"/>
                <w:color w:val="auto"/>
              </w:rPr>
            </w:pPr>
            <w:r>
              <w:rPr>
                <w:rFonts w:ascii="Arial" w:cs="Arial" w:eastAsia="Arial" w:hAnsi="Arial"/>
                <w:sz w:val="13"/>
                <w:szCs w:val="13"/>
                <w:color w:val="auto"/>
                <w:w w:val="91"/>
              </w:rPr>
              <w:t>—</w:t>
            </w:r>
          </w:p>
        </w:tc>
        <w:tc>
          <w:tcPr>
            <w:tcW w:w="2460" w:type="dxa"/>
            <w:vAlign w:val="bottom"/>
          </w:tcPr>
          <w:p>
            <w:pPr>
              <w:jc w:val="center"/>
              <w:ind w:right="97"/>
              <w:spacing w:after="0" w:line="135" w:lineRule="exact"/>
              <w:rPr>
                <w:sz w:val="20"/>
                <w:szCs w:val="20"/>
                <w:color w:val="auto"/>
              </w:rPr>
            </w:pPr>
            <w:r>
              <w:rPr>
                <w:rFonts w:ascii="Arial" w:cs="Arial" w:eastAsia="Arial" w:hAnsi="Arial"/>
                <w:sz w:val="13"/>
                <w:szCs w:val="13"/>
                <w:color w:val="auto"/>
                <w:w w:val="89"/>
              </w:rPr>
              <w:t>Manufacturing / Basic Industries</w:t>
            </w:r>
          </w:p>
        </w:tc>
        <w:tc>
          <w:tcPr>
            <w:tcW w:w="10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1,330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133,000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1,022,594</w:t>
            </w:r>
          </w:p>
        </w:tc>
        <w:tc>
          <w:tcPr>
            <w:tcW w:w="0" w:type="dxa"/>
            <w:vAlign w:val="bottom"/>
          </w:tcPr>
          <w:p>
            <w:pPr>
              <w:spacing w:after="0"/>
              <w:rPr>
                <w:sz w:val="1"/>
                <w:szCs w:val="1"/>
                <w:color w:val="auto"/>
              </w:rPr>
            </w:pPr>
          </w:p>
        </w:tc>
      </w:tr>
      <w:tr>
        <w:trPr>
          <w:trHeight w:val="135"/>
        </w:trPr>
        <w:tc>
          <w:tcPr>
            <w:tcW w:w="3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Vestcom Parent Holdings, Inc.</w:t>
            </w:r>
          </w:p>
        </w:tc>
        <w:tc>
          <w:tcPr>
            <w:tcW w:w="940" w:type="dxa"/>
            <w:vAlign w:val="bottom"/>
            <w:shd w:val="clear" w:color="auto" w:fill="CCEEFF"/>
          </w:tcPr>
          <w:p>
            <w:pPr>
              <w:jc w:val="center"/>
              <w:ind w:right="237"/>
              <w:spacing w:after="0" w:line="135" w:lineRule="exact"/>
              <w:rPr>
                <w:sz w:val="20"/>
                <w:szCs w:val="20"/>
                <w:color w:val="auto"/>
              </w:rPr>
            </w:pPr>
            <w:r>
              <w:rPr>
                <w:rFonts w:ascii="Arial" w:cs="Arial" w:eastAsia="Arial" w:hAnsi="Arial"/>
                <w:sz w:val="13"/>
                <w:szCs w:val="13"/>
                <w:color w:val="auto"/>
                <w:w w:val="91"/>
              </w:rPr>
              <w:t>—</w:t>
            </w:r>
          </w:p>
        </w:tc>
        <w:tc>
          <w:tcPr>
            <w:tcW w:w="2460" w:type="dxa"/>
            <w:vAlign w:val="bottom"/>
            <w:shd w:val="clear" w:color="auto" w:fill="CCEEFF"/>
          </w:tcPr>
          <w:p>
            <w:pPr>
              <w:jc w:val="center"/>
              <w:ind w:right="97"/>
              <w:spacing w:after="0" w:line="135" w:lineRule="exact"/>
              <w:rPr>
                <w:sz w:val="20"/>
                <w:szCs w:val="20"/>
                <w:color w:val="auto"/>
              </w:rPr>
            </w:pPr>
            <w:r>
              <w:rPr>
                <w:rFonts w:ascii="Arial" w:cs="Arial" w:eastAsia="Arial" w:hAnsi="Arial"/>
                <w:sz w:val="13"/>
                <w:szCs w:val="13"/>
                <w:color w:val="auto"/>
                <w:w w:val="88"/>
              </w:rPr>
              <w:t>Printing and Publishing</w:t>
            </w:r>
          </w:p>
        </w:tc>
        <w:tc>
          <w:tcPr>
            <w:tcW w:w="10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211,797</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793,873</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8,051,139</w:t>
            </w:r>
          </w:p>
        </w:tc>
        <w:tc>
          <w:tcPr>
            <w:tcW w:w="0" w:type="dxa"/>
            <w:vAlign w:val="bottom"/>
          </w:tcPr>
          <w:p>
            <w:pPr>
              <w:spacing w:after="0"/>
              <w:rPr>
                <w:sz w:val="1"/>
                <w:szCs w:val="1"/>
                <w:color w:val="auto"/>
              </w:rPr>
            </w:pPr>
          </w:p>
        </w:tc>
      </w:tr>
      <w:tr>
        <w:trPr>
          <w:trHeight w:val="149"/>
        </w:trPr>
        <w:tc>
          <w:tcPr>
            <w:tcW w:w="3300" w:type="dxa"/>
            <w:vAlign w:val="bottom"/>
          </w:tcPr>
          <w:p>
            <w:pPr>
              <w:spacing w:after="0" w:line="142" w:lineRule="exact"/>
              <w:rPr>
                <w:sz w:val="20"/>
                <w:szCs w:val="20"/>
                <w:color w:val="auto"/>
              </w:rPr>
            </w:pPr>
            <w:r>
              <w:rPr>
                <w:rFonts w:ascii="Arial" w:cs="Arial" w:eastAsia="Arial" w:hAnsi="Arial"/>
                <w:sz w:val="13"/>
                <w:szCs w:val="13"/>
                <w:b w:val="1"/>
                <w:bCs w:val="1"/>
                <w:color w:val="auto"/>
              </w:rPr>
              <w:t>Total Common Equity/Partnership Interests/Warrants</w:t>
            </w:r>
          </w:p>
        </w:tc>
        <w:tc>
          <w:tcPr>
            <w:tcW w:w="9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21,503,373</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95"/>
              </w:rPr>
              <w:t>64,047,463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w w:val="94"/>
              </w:rPr>
              <w:t>Total Investments in Non-Controlled, Non-Affiliated Portfolio Companies</w:t>
            </w:r>
          </w:p>
        </w:tc>
        <w:tc>
          <w:tcPr>
            <w:tcW w:w="24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85"/>
              </w:rPr>
              <w:t>805,189,545</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85"/>
              </w:rPr>
              <w:t>813,467,491</w:t>
            </w:r>
          </w:p>
        </w:tc>
        <w:tc>
          <w:tcPr>
            <w:tcW w:w="0" w:type="dxa"/>
            <w:vAlign w:val="bottom"/>
          </w:tcPr>
          <w:p>
            <w:pPr>
              <w:spacing w:after="0"/>
              <w:rPr>
                <w:sz w:val="1"/>
                <w:szCs w:val="1"/>
                <w:color w:val="auto"/>
              </w:rPr>
            </w:pPr>
          </w:p>
        </w:tc>
      </w:tr>
      <w:tr>
        <w:trPr>
          <w:trHeight w:val="142"/>
        </w:trPr>
        <w:tc>
          <w:tcPr>
            <w:tcW w:w="424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w w:val="90"/>
              </w:rPr>
              <w:t xml:space="preserve">Investments in Non-Controlled, Affiliated Portfolio Companies—33.5% </w:t>
            </w:r>
            <w:r>
              <w:rPr>
                <w:rFonts w:ascii="Arial" w:cs="Arial" w:eastAsia="Arial" w:hAnsi="Arial"/>
                <w:sz w:val="10"/>
                <w:szCs w:val="10"/>
                <w:b w:val="1"/>
                <w:bCs w:val="1"/>
                <w:color w:val="auto"/>
                <w:w w:val="90"/>
              </w:rPr>
              <w:t>(1), (2)</w:t>
            </w:r>
          </w:p>
        </w:tc>
        <w:tc>
          <w:tcPr>
            <w:tcW w:w="2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First Lien Secured Debt—8.3%</w:t>
            </w:r>
          </w:p>
        </w:tc>
        <w:tc>
          <w:tcPr>
            <w:tcW w:w="94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00" w:type="dxa"/>
            <w:vAlign w:val="bottom"/>
          </w:tcPr>
          <w:p>
            <w:pPr>
              <w:spacing w:after="0" w:line="135" w:lineRule="exact"/>
              <w:rPr>
                <w:sz w:val="20"/>
                <w:szCs w:val="20"/>
                <w:color w:val="auto"/>
              </w:rPr>
            </w:pPr>
            <w:r>
              <w:rPr>
                <w:rFonts w:ascii="Arial" w:cs="Arial" w:eastAsia="Arial" w:hAnsi="Arial"/>
                <w:sz w:val="13"/>
                <w:szCs w:val="13"/>
                <w:color w:val="auto"/>
              </w:rPr>
              <w:t>Corfin Industries LLC</w:t>
            </w:r>
          </w:p>
        </w:tc>
        <w:tc>
          <w:tcPr>
            <w:tcW w:w="940" w:type="dxa"/>
            <w:vAlign w:val="bottom"/>
          </w:tcPr>
          <w:p>
            <w:pPr>
              <w:jc w:val="center"/>
              <w:ind w:right="217"/>
              <w:spacing w:after="0" w:line="135" w:lineRule="exact"/>
              <w:rPr>
                <w:sz w:val="20"/>
                <w:szCs w:val="20"/>
                <w:color w:val="auto"/>
              </w:rPr>
            </w:pPr>
            <w:r>
              <w:rPr>
                <w:rFonts w:ascii="Arial" w:cs="Arial" w:eastAsia="Arial" w:hAnsi="Arial"/>
                <w:sz w:val="13"/>
                <w:szCs w:val="13"/>
                <w:color w:val="auto"/>
                <w:w w:val="89"/>
              </w:rPr>
              <w:t>11/25/2020</w:t>
            </w:r>
          </w:p>
        </w:tc>
        <w:tc>
          <w:tcPr>
            <w:tcW w:w="2460" w:type="dxa"/>
            <w:vAlign w:val="bottom"/>
          </w:tcPr>
          <w:p>
            <w:pPr>
              <w:jc w:val="center"/>
              <w:ind w:right="97"/>
              <w:spacing w:after="0" w:line="135" w:lineRule="exact"/>
              <w:rPr>
                <w:sz w:val="20"/>
                <w:szCs w:val="20"/>
                <w:color w:val="auto"/>
              </w:rPr>
            </w:pPr>
            <w:r>
              <w:rPr>
                <w:rFonts w:ascii="Arial" w:cs="Arial" w:eastAsia="Arial" w:hAnsi="Arial"/>
                <w:sz w:val="13"/>
                <w:szCs w:val="13"/>
                <w:color w:val="auto"/>
                <w:w w:val="84"/>
              </w:rPr>
              <w:t>Aerospace and Defense</w:t>
            </w:r>
          </w:p>
        </w:tc>
        <w:tc>
          <w:tcPr>
            <w:tcW w:w="10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10.75%</w:t>
            </w:r>
          </w:p>
        </w:tc>
        <w:tc>
          <w:tcPr>
            <w:tcW w:w="9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L+975</w:t>
            </w:r>
          </w:p>
        </w:tc>
        <w:tc>
          <w:tcPr>
            <w:tcW w:w="760" w:type="dxa"/>
            <w:vAlign w:val="bottom"/>
          </w:tcPr>
          <w:p>
            <w:pPr>
              <w:jc w:val="right"/>
              <w:ind w:right="37"/>
              <w:spacing w:after="0" w:line="135" w:lineRule="exact"/>
              <w:rPr>
                <w:sz w:val="20"/>
                <w:szCs w:val="20"/>
                <w:color w:val="auto"/>
              </w:rPr>
            </w:pPr>
            <w:r>
              <w:rPr>
                <w:rFonts w:ascii="Arial" w:cs="Arial" w:eastAsia="Arial" w:hAnsi="Arial"/>
                <w:sz w:val="13"/>
                <w:szCs w:val="13"/>
                <w:color w:val="auto"/>
                <w:w w:val="98"/>
              </w:rPr>
              <w:t>23,522,250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5"/>
              </w:rPr>
              <w:t>23,114,058</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w w:val="95"/>
              </w:rPr>
              <w:t>23,522,250</w:t>
            </w:r>
          </w:p>
        </w:tc>
        <w:tc>
          <w:tcPr>
            <w:tcW w:w="0" w:type="dxa"/>
            <w:vAlign w:val="bottom"/>
          </w:tcPr>
          <w:p>
            <w:pPr>
              <w:spacing w:after="0"/>
              <w:rPr>
                <w:sz w:val="1"/>
                <w:szCs w:val="1"/>
                <w:color w:val="auto"/>
              </w:rPr>
            </w:pPr>
          </w:p>
        </w:tc>
      </w:tr>
      <w:tr>
        <w:trPr>
          <w:trHeight w:val="135"/>
        </w:trPr>
        <w:tc>
          <w:tcPr>
            <w:tcW w:w="3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 xml:space="preserve">Corfin Industries LLC (Revolver) </w:t>
            </w:r>
            <w:r>
              <w:rPr>
                <w:rFonts w:ascii="Arial" w:cs="Arial" w:eastAsia="Arial" w:hAnsi="Arial"/>
                <w:sz w:val="10"/>
                <w:szCs w:val="10"/>
                <w:color w:val="auto"/>
              </w:rPr>
              <w:t>(8)</w:t>
            </w:r>
          </w:p>
        </w:tc>
        <w:tc>
          <w:tcPr>
            <w:tcW w:w="940" w:type="dxa"/>
            <w:vAlign w:val="bottom"/>
            <w:shd w:val="clear" w:color="auto" w:fill="CCEEFF"/>
          </w:tcPr>
          <w:p>
            <w:pPr>
              <w:jc w:val="center"/>
              <w:ind w:right="217"/>
              <w:spacing w:after="0" w:line="135" w:lineRule="exact"/>
              <w:rPr>
                <w:sz w:val="20"/>
                <w:szCs w:val="20"/>
                <w:color w:val="auto"/>
              </w:rPr>
            </w:pPr>
            <w:r>
              <w:rPr>
                <w:rFonts w:ascii="Arial" w:cs="Arial" w:eastAsia="Arial" w:hAnsi="Arial"/>
                <w:sz w:val="13"/>
                <w:szCs w:val="13"/>
                <w:color w:val="auto"/>
                <w:w w:val="89"/>
              </w:rPr>
              <w:t>11/25/2020</w:t>
            </w:r>
          </w:p>
        </w:tc>
        <w:tc>
          <w:tcPr>
            <w:tcW w:w="2460" w:type="dxa"/>
            <w:vAlign w:val="bottom"/>
            <w:shd w:val="clear" w:color="auto" w:fill="CCEEFF"/>
          </w:tcPr>
          <w:p>
            <w:pPr>
              <w:jc w:val="center"/>
              <w:ind w:right="97"/>
              <w:spacing w:after="0" w:line="135" w:lineRule="exact"/>
              <w:rPr>
                <w:sz w:val="20"/>
                <w:szCs w:val="20"/>
                <w:color w:val="auto"/>
              </w:rPr>
            </w:pPr>
            <w:r>
              <w:rPr>
                <w:rFonts w:ascii="Arial" w:cs="Arial" w:eastAsia="Arial" w:hAnsi="Arial"/>
                <w:sz w:val="13"/>
                <w:szCs w:val="13"/>
                <w:color w:val="auto"/>
                <w:w w:val="84"/>
              </w:rPr>
              <w:t>Aerospace and Defense</w:t>
            </w:r>
          </w:p>
        </w:tc>
        <w:tc>
          <w:tcPr>
            <w:tcW w:w="10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1,942,623</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00" w:type="dxa"/>
            <w:vAlign w:val="bottom"/>
            <w:gridSpan w:val="3"/>
            <w:shd w:val="clear" w:color="auto" w:fill="CCEEFF"/>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3300" w:type="dxa"/>
            <w:vAlign w:val="bottom"/>
          </w:tcPr>
          <w:p>
            <w:pPr>
              <w:spacing w:after="0" w:line="121" w:lineRule="exact"/>
              <w:rPr>
                <w:sz w:val="20"/>
                <w:szCs w:val="20"/>
                <w:color w:val="auto"/>
              </w:rPr>
            </w:pPr>
            <w:r>
              <w:rPr>
                <w:rFonts w:ascii="Arial" w:cs="Arial" w:eastAsia="Arial" w:hAnsi="Arial"/>
                <w:sz w:val="13"/>
                <w:szCs w:val="13"/>
                <w:color w:val="auto"/>
              </w:rPr>
              <w:t>PAS Technologies, Inc.</w:t>
            </w:r>
          </w:p>
        </w:tc>
        <w:tc>
          <w:tcPr>
            <w:tcW w:w="940" w:type="dxa"/>
            <w:vAlign w:val="bottom"/>
          </w:tcPr>
          <w:p>
            <w:pPr>
              <w:jc w:val="center"/>
              <w:ind w:right="217"/>
              <w:spacing w:after="0" w:line="121" w:lineRule="exact"/>
              <w:rPr>
                <w:sz w:val="20"/>
                <w:szCs w:val="20"/>
                <w:color w:val="auto"/>
              </w:rPr>
            </w:pPr>
            <w:r>
              <w:rPr>
                <w:rFonts w:ascii="Arial" w:cs="Arial" w:eastAsia="Arial" w:hAnsi="Arial"/>
                <w:sz w:val="13"/>
                <w:szCs w:val="13"/>
                <w:color w:val="auto"/>
                <w:w w:val="89"/>
              </w:rPr>
              <w:t>03/21/2017</w:t>
            </w:r>
          </w:p>
        </w:tc>
        <w:tc>
          <w:tcPr>
            <w:tcW w:w="2460" w:type="dxa"/>
            <w:vAlign w:val="bottom"/>
          </w:tcPr>
          <w:p>
            <w:pPr>
              <w:jc w:val="center"/>
              <w:ind w:right="97"/>
              <w:spacing w:after="0" w:line="121" w:lineRule="exact"/>
              <w:rPr>
                <w:sz w:val="20"/>
                <w:szCs w:val="20"/>
                <w:color w:val="auto"/>
              </w:rPr>
            </w:pPr>
            <w:r>
              <w:rPr>
                <w:rFonts w:ascii="Arial" w:cs="Arial" w:eastAsia="Arial" w:hAnsi="Arial"/>
                <w:sz w:val="13"/>
                <w:szCs w:val="13"/>
                <w:color w:val="auto"/>
                <w:w w:val="84"/>
              </w:rPr>
              <w:t>Aerospace and Defense</w:t>
            </w:r>
          </w:p>
        </w:tc>
        <w:tc>
          <w:tcPr>
            <w:tcW w:w="1000" w:type="dxa"/>
            <w:vAlign w:val="bottom"/>
          </w:tcPr>
          <w:p>
            <w:pPr>
              <w:jc w:val="right"/>
              <w:ind w:right="57"/>
              <w:spacing w:after="0" w:line="121" w:lineRule="exact"/>
              <w:rPr>
                <w:sz w:val="20"/>
                <w:szCs w:val="20"/>
                <w:color w:val="auto"/>
              </w:rPr>
            </w:pPr>
            <w:r>
              <w:rPr>
                <w:rFonts w:ascii="Arial" w:cs="Arial" w:eastAsia="Arial" w:hAnsi="Arial"/>
                <w:sz w:val="13"/>
                <w:szCs w:val="13"/>
                <w:color w:val="auto"/>
              </w:rPr>
              <w:t>6.01%</w:t>
            </w:r>
          </w:p>
        </w:tc>
        <w:tc>
          <w:tcPr>
            <w:tcW w:w="940" w:type="dxa"/>
            <w:vAlign w:val="bottom"/>
          </w:tcPr>
          <w:p>
            <w:pPr>
              <w:jc w:val="right"/>
              <w:ind w:right="57"/>
              <w:spacing w:after="0" w:line="121" w:lineRule="exact"/>
              <w:rPr>
                <w:sz w:val="20"/>
                <w:szCs w:val="20"/>
                <w:color w:val="auto"/>
              </w:rPr>
            </w:pPr>
            <w:r>
              <w:rPr>
                <w:rFonts w:ascii="Arial" w:cs="Arial" w:eastAsia="Arial" w:hAnsi="Arial"/>
                <w:sz w:val="13"/>
                <w:szCs w:val="13"/>
                <w:color w:val="auto"/>
              </w:rPr>
              <w:t>L+500</w:t>
            </w:r>
          </w:p>
        </w:tc>
        <w:tc>
          <w:tcPr>
            <w:tcW w:w="760" w:type="dxa"/>
            <w:vAlign w:val="bottom"/>
          </w:tcPr>
          <w:p>
            <w:pPr>
              <w:jc w:val="right"/>
              <w:ind w:right="37"/>
              <w:spacing w:after="0" w:line="121" w:lineRule="exact"/>
              <w:rPr>
                <w:sz w:val="20"/>
                <w:szCs w:val="20"/>
                <w:color w:val="auto"/>
              </w:rPr>
            </w:pPr>
            <w:r>
              <w:rPr>
                <w:rFonts w:ascii="Arial" w:cs="Arial" w:eastAsia="Arial" w:hAnsi="Arial"/>
                <w:sz w:val="13"/>
                <w:szCs w:val="13"/>
                <w:color w:val="auto"/>
              </w:rPr>
              <w:t>4,434,295</w:t>
            </w: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right"/>
              <w:ind w:right="20"/>
              <w:spacing w:after="0" w:line="121" w:lineRule="exact"/>
              <w:rPr>
                <w:sz w:val="20"/>
                <w:szCs w:val="20"/>
                <w:color w:val="auto"/>
              </w:rPr>
            </w:pPr>
            <w:r>
              <w:rPr>
                <w:rFonts w:ascii="Arial" w:cs="Arial" w:eastAsia="Arial" w:hAnsi="Arial"/>
                <w:sz w:val="13"/>
                <w:szCs w:val="13"/>
                <w:color w:val="auto"/>
              </w:rPr>
              <w:t>3,357,949</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60"/>
              <w:spacing w:after="0" w:line="121" w:lineRule="exact"/>
              <w:rPr>
                <w:sz w:val="20"/>
                <w:szCs w:val="20"/>
                <w:color w:val="auto"/>
              </w:rPr>
            </w:pPr>
            <w:r>
              <w:rPr>
                <w:rFonts w:ascii="Arial" w:cs="Arial" w:eastAsia="Arial" w:hAnsi="Arial"/>
                <w:sz w:val="13"/>
                <w:szCs w:val="13"/>
                <w:color w:val="auto"/>
              </w:rPr>
              <w:t>3,946,523</w:t>
            </w:r>
          </w:p>
        </w:tc>
        <w:tc>
          <w:tcPr>
            <w:tcW w:w="0" w:type="dxa"/>
            <w:vAlign w:val="bottom"/>
          </w:tcPr>
          <w:p>
            <w:pPr>
              <w:spacing w:after="0"/>
              <w:rPr>
                <w:sz w:val="1"/>
                <w:szCs w:val="1"/>
                <w:color w:val="auto"/>
              </w:rPr>
            </w:pPr>
          </w:p>
        </w:tc>
      </w:tr>
      <w:tr>
        <w:trPr>
          <w:trHeight w:val="161"/>
        </w:trPr>
        <w:tc>
          <w:tcPr>
            <w:tcW w:w="33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000" w:type="dxa"/>
            <w:vAlign w:val="bottom"/>
          </w:tcPr>
          <w:p>
            <w:pPr>
              <w:jc w:val="right"/>
              <w:ind w:right="17"/>
              <w:spacing w:after="0"/>
              <w:rPr>
                <w:sz w:val="20"/>
                <w:szCs w:val="20"/>
                <w:color w:val="auto"/>
              </w:rPr>
            </w:pPr>
            <w:r>
              <w:rPr>
                <w:rFonts w:ascii="Arial" w:cs="Arial" w:eastAsia="Arial" w:hAnsi="Arial"/>
                <w:sz w:val="13"/>
                <w:szCs w:val="13"/>
                <w:color w:val="auto"/>
              </w:rPr>
              <w:t>(PIK 1.00%)</w:t>
            </w: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33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TRAK Acquisition Corp.</w:t>
            </w:r>
          </w:p>
        </w:tc>
        <w:tc>
          <w:tcPr>
            <w:tcW w:w="940" w:type="dxa"/>
            <w:vAlign w:val="bottom"/>
            <w:shd w:val="clear" w:color="auto" w:fill="CCEEFF"/>
          </w:tcPr>
          <w:p>
            <w:pPr>
              <w:jc w:val="center"/>
              <w:ind w:right="217"/>
              <w:spacing w:after="0" w:line="136" w:lineRule="exact"/>
              <w:rPr>
                <w:sz w:val="20"/>
                <w:szCs w:val="20"/>
                <w:color w:val="auto"/>
              </w:rPr>
            </w:pPr>
            <w:r>
              <w:rPr>
                <w:rFonts w:ascii="Arial" w:cs="Arial" w:eastAsia="Arial" w:hAnsi="Arial"/>
                <w:sz w:val="13"/>
                <w:szCs w:val="13"/>
                <w:color w:val="auto"/>
                <w:w w:val="89"/>
              </w:rPr>
              <w:t>04/30/2018</w:t>
            </w:r>
          </w:p>
        </w:tc>
        <w:tc>
          <w:tcPr>
            <w:tcW w:w="2460" w:type="dxa"/>
            <w:vAlign w:val="bottom"/>
            <w:shd w:val="clear" w:color="auto" w:fill="CCEEFF"/>
          </w:tcPr>
          <w:p>
            <w:pPr>
              <w:jc w:val="center"/>
              <w:ind w:right="97"/>
              <w:spacing w:after="0" w:line="136" w:lineRule="exact"/>
              <w:rPr>
                <w:sz w:val="20"/>
                <w:szCs w:val="20"/>
                <w:color w:val="auto"/>
              </w:rPr>
            </w:pPr>
            <w:r>
              <w:rPr>
                <w:rFonts w:ascii="Arial" w:cs="Arial" w:eastAsia="Arial" w:hAnsi="Arial"/>
                <w:sz w:val="13"/>
                <w:szCs w:val="13"/>
                <w:color w:val="auto"/>
                <w:w w:val="84"/>
              </w:rPr>
              <w:t>Business Services</w:t>
            </w:r>
          </w:p>
        </w:tc>
        <w:tc>
          <w:tcPr>
            <w:tcW w:w="1000" w:type="dxa"/>
            <w:vAlign w:val="bottom"/>
            <w:shd w:val="clear" w:color="auto" w:fill="CCEEFF"/>
          </w:tcPr>
          <w:p>
            <w:pPr>
              <w:jc w:val="right"/>
              <w:ind w:right="57"/>
              <w:spacing w:after="0" w:line="136" w:lineRule="exact"/>
              <w:rPr>
                <w:sz w:val="20"/>
                <w:szCs w:val="20"/>
                <w:color w:val="auto"/>
              </w:rPr>
            </w:pPr>
            <w:r>
              <w:rPr>
                <w:rFonts w:ascii="Arial" w:cs="Arial" w:eastAsia="Arial" w:hAnsi="Arial"/>
                <w:sz w:val="13"/>
                <w:szCs w:val="13"/>
                <w:color w:val="auto"/>
              </w:rPr>
              <w:t>12.00%</w:t>
            </w:r>
          </w:p>
        </w:tc>
        <w:tc>
          <w:tcPr>
            <w:tcW w:w="940" w:type="dxa"/>
            <w:vAlign w:val="bottom"/>
            <w:shd w:val="clear" w:color="auto" w:fill="CCEEFF"/>
          </w:tcPr>
          <w:p>
            <w:pPr>
              <w:jc w:val="right"/>
              <w:ind w:right="57"/>
              <w:spacing w:after="0" w:line="136" w:lineRule="exact"/>
              <w:rPr>
                <w:sz w:val="20"/>
                <w:szCs w:val="20"/>
                <w:color w:val="auto"/>
              </w:rPr>
            </w:pPr>
            <w:r>
              <w:rPr>
                <w:rFonts w:ascii="Arial" w:cs="Arial" w:eastAsia="Arial" w:hAnsi="Arial"/>
                <w:sz w:val="13"/>
                <w:szCs w:val="13"/>
                <w:color w:val="auto"/>
              </w:rPr>
              <w:t>L+1,050</w:t>
            </w:r>
          </w:p>
        </w:tc>
        <w:tc>
          <w:tcPr>
            <w:tcW w:w="760" w:type="dxa"/>
            <w:vAlign w:val="bottom"/>
            <w:shd w:val="clear" w:color="auto" w:fill="CCEEFF"/>
          </w:tcPr>
          <w:p>
            <w:pPr>
              <w:jc w:val="right"/>
              <w:ind w:right="37"/>
              <w:spacing w:after="0" w:line="136" w:lineRule="exact"/>
              <w:rPr>
                <w:sz w:val="20"/>
                <w:szCs w:val="20"/>
                <w:color w:val="auto"/>
              </w:rPr>
            </w:pPr>
            <w:r>
              <w:rPr>
                <w:rFonts w:ascii="Arial" w:cs="Arial" w:eastAsia="Arial" w:hAnsi="Arial"/>
                <w:sz w:val="13"/>
                <w:szCs w:val="13"/>
                <w:color w:val="auto"/>
                <w:w w:val="98"/>
              </w:rPr>
              <w:t>22,764,911</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w w:val="95"/>
              </w:rPr>
              <w:t>22,613,930</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3"/>
                <w:szCs w:val="13"/>
                <w:color w:val="auto"/>
                <w:w w:val="95"/>
              </w:rPr>
              <w:t>22,764,911</w:t>
            </w:r>
          </w:p>
        </w:tc>
        <w:tc>
          <w:tcPr>
            <w:tcW w:w="0" w:type="dxa"/>
            <w:vAlign w:val="bottom"/>
          </w:tcPr>
          <w:p>
            <w:pPr>
              <w:spacing w:after="0"/>
              <w:rPr>
                <w:sz w:val="1"/>
                <w:szCs w:val="1"/>
                <w:color w:val="auto"/>
              </w:rPr>
            </w:pPr>
          </w:p>
        </w:tc>
      </w:tr>
      <w:tr>
        <w:trPr>
          <w:trHeight w:val="142"/>
        </w:trPr>
        <w:tc>
          <w:tcPr>
            <w:tcW w:w="3300" w:type="dxa"/>
            <w:vAlign w:val="bottom"/>
          </w:tcPr>
          <w:p>
            <w:pPr>
              <w:spacing w:after="0" w:line="135" w:lineRule="exact"/>
              <w:rPr>
                <w:sz w:val="20"/>
                <w:szCs w:val="20"/>
                <w:color w:val="auto"/>
              </w:rPr>
            </w:pPr>
            <w:r>
              <w:rPr>
                <w:rFonts w:ascii="Arial" w:cs="Arial" w:eastAsia="Arial" w:hAnsi="Arial"/>
                <w:sz w:val="13"/>
                <w:szCs w:val="13"/>
                <w:color w:val="auto"/>
              </w:rPr>
              <w:t>TRAK Acquisition Corp. (Revolver)</w:t>
            </w:r>
          </w:p>
        </w:tc>
        <w:tc>
          <w:tcPr>
            <w:tcW w:w="940" w:type="dxa"/>
            <w:vAlign w:val="bottom"/>
          </w:tcPr>
          <w:p>
            <w:pPr>
              <w:jc w:val="center"/>
              <w:ind w:right="217"/>
              <w:spacing w:after="0" w:line="135" w:lineRule="exact"/>
              <w:rPr>
                <w:sz w:val="20"/>
                <w:szCs w:val="20"/>
                <w:color w:val="auto"/>
              </w:rPr>
            </w:pPr>
            <w:r>
              <w:rPr>
                <w:rFonts w:ascii="Arial" w:cs="Arial" w:eastAsia="Arial" w:hAnsi="Arial"/>
                <w:sz w:val="13"/>
                <w:szCs w:val="13"/>
                <w:color w:val="auto"/>
                <w:w w:val="89"/>
              </w:rPr>
              <w:t>11/22/2016</w:t>
            </w:r>
          </w:p>
        </w:tc>
        <w:tc>
          <w:tcPr>
            <w:tcW w:w="2460" w:type="dxa"/>
            <w:vAlign w:val="bottom"/>
          </w:tcPr>
          <w:p>
            <w:pPr>
              <w:jc w:val="center"/>
              <w:ind w:right="97"/>
              <w:spacing w:after="0" w:line="135" w:lineRule="exact"/>
              <w:rPr>
                <w:sz w:val="20"/>
                <w:szCs w:val="20"/>
                <w:color w:val="auto"/>
              </w:rPr>
            </w:pPr>
            <w:r>
              <w:rPr>
                <w:rFonts w:ascii="Arial" w:cs="Arial" w:eastAsia="Arial" w:hAnsi="Arial"/>
                <w:sz w:val="13"/>
                <w:szCs w:val="13"/>
                <w:color w:val="auto"/>
                <w:w w:val="84"/>
              </w:rPr>
              <w:t>Business Services</w:t>
            </w:r>
          </w:p>
        </w:tc>
        <w:tc>
          <w:tcPr>
            <w:tcW w:w="10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12.00%</w:t>
            </w:r>
          </w:p>
        </w:tc>
        <w:tc>
          <w:tcPr>
            <w:tcW w:w="9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L+1,050</w:t>
            </w:r>
          </w:p>
        </w:tc>
        <w:tc>
          <w:tcPr>
            <w:tcW w:w="7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3,000,000</w:t>
            </w: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3,000,000</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3,000,000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First Lien Secured Debt</w:t>
            </w:r>
          </w:p>
        </w:tc>
        <w:tc>
          <w:tcPr>
            <w:tcW w:w="94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5"/>
              </w:rPr>
              <w:t>52,085,937</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5"/>
              </w:rPr>
              <w:t>53,233,684</w:t>
            </w:r>
          </w:p>
        </w:tc>
        <w:tc>
          <w:tcPr>
            <w:tcW w:w="0" w:type="dxa"/>
            <w:vAlign w:val="bottom"/>
          </w:tcPr>
          <w:p>
            <w:pPr>
              <w:spacing w:after="0"/>
              <w:rPr>
                <w:sz w:val="1"/>
                <w:szCs w:val="1"/>
                <w:color w:val="auto"/>
              </w:rPr>
            </w:pPr>
          </w:p>
        </w:tc>
      </w:tr>
      <w:tr>
        <w:trPr>
          <w:trHeight w:val="142"/>
        </w:trPr>
        <w:tc>
          <w:tcPr>
            <w:tcW w:w="3300" w:type="dxa"/>
            <w:vAlign w:val="bottom"/>
          </w:tcPr>
          <w:p>
            <w:pPr>
              <w:spacing w:after="0" w:line="142" w:lineRule="exact"/>
              <w:rPr>
                <w:sz w:val="20"/>
                <w:szCs w:val="20"/>
                <w:color w:val="auto"/>
              </w:rPr>
            </w:pPr>
            <w:r>
              <w:rPr>
                <w:rFonts w:ascii="Arial" w:cs="Arial" w:eastAsia="Arial" w:hAnsi="Arial"/>
                <w:sz w:val="13"/>
                <w:szCs w:val="13"/>
                <w:b w:val="1"/>
                <w:bCs w:val="1"/>
                <w:color w:val="auto"/>
              </w:rPr>
              <w:t>Second Lien Secured Debt—3.9%</w:t>
            </w:r>
          </w:p>
        </w:tc>
        <w:tc>
          <w:tcPr>
            <w:tcW w:w="9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Affinion Group, Inc.</w:t>
            </w:r>
          </w:p>
        </w:tc>
        <w:tc>
          <w:tcPr>
            <w:tcW w:w="940" w:type="dxa"/>
            <w:vAlign w:val="bottom"/>
            <w:shd w:val="clear" w:color="auto" w:fill="CCEEFF"/>
          </w:tcPr>
          <w:p>
            <w:pPr>
              <w:jc w:val="center"/>
              <w:ind w:right="217"/>
              <w:spacing w:after="0" w:line="135" w:lineRule="exact"/>
              <w:rPr>
                <w:sz w:val="20"/>
                <w:szCs w:val="20"/>
                <w:color w:val="auto"/>
              </w:rPr>
            </w:pPr>
            <w:r>
              <w:rPr>
                <w:rFonts w:ascii="Arial" w:cs="Arial" w:eastAsia="Arial" w:hAnsi="Arial"/>
                <w:sz w:val="13"/>
                <w:szCs w:val="13"/>
                <w:color w:val="auto"/>
                <w:w w:val="89"/>
              </w:rPr>
              <w:t>10/31/2018</w:t>
            </w:r>
          </w:p>
        </w:tc>
        <w:tc>
          <w:tcPr>
            <w:tcW w:w="2460" w:type="dxa"/>
            <w:vAlign w:val="bottom"/>
            <w:shd w:val="clear" w:color="auto" w:fill="CCEEFF"/>
          </w:tcPr>
          <w:p>
            <w:pPr>
              <w:jc w:val="center"/>
              <w:ind w:right="97"/>
              <w:spacing w:after="0" w:line="135" w:lineRule="exact"/>
              <w:rPr>
                <w:sz w:val="20"/>
                <w:szCs w:val="20"/>
                <w:color w:val="auto"/>
              </w:rPr>
            </w:pPr>
            <w:r>
              <w:rPr>
                <w:rFonts w:ascii="Arial" w:cs="Arial" w:eastAsia="Arial" w:hAnsi="Arial"/>
                <w:sz w:val="13"/>
                <w:szCs w:val="13"/>
                <w:color w:val="auto"/>
                <w:w w:val="85"/>
              </w:rPr>
              <w:t>Consumer Products</w:t>
            </w:r>
          </w:p>
        </w:tc>
        <w:tc>
          <w:tcPr>
            <w:tcW w:w="100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8.50%</w:t>
            </w:r>
          </w:p>
        </w:tc>
        <w:tc>
          <w:tcPr>
            <w:tcW w:w="9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L+700</w:t>
            </w:r>
          </w:p>
        </w:tc>
        <w:tc>
          <w:tcPr>
            <w:tcW w:w="7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w w:val="98"/>
              </w:rPr>
              <w:t>18,000,000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5"/>
              </w:rPr>
              <w:t>16,960,967</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5"/>
              </w:rPr>
              <w:t>15,825,060</w:t>
            </w:r>
          </w:p>
        </w:tc>
        <w:tc>
          <w:tcPr>
            <w:tcW w:w="0" w:type="dxa"/>
            <w:vAlign w:val="bottom"/>
          </w:tcPr>
          <w:p>
            <w:pPr>
              <w:spacing w:after="0"/>
              <w:rPr>
                <w:sz w:val="1"/>
                <w:szCs w:val="1"/>
                <w:color w:val="auto"/>
              </w:rPr>
            </w:pPr>
          </w:p>
        </w:tc>
      </w:tr>
      <w:tr>
        <w:trPr>
          <w:trHeight w:val="142"/>
        </w:trPr>
        <w:tc>
          <w:tcPr>
            <w:tcW w:w="3300" w:type="dxa"/>
            <w:vAlign w:val="bottom"/>
          </w:tcPr>
          <w:p>
            <w:pPr>
              <w:spacing w:after="0" w:line="135" w:lineRule="exact"/>
              <w:rPr>
                <w:sz w:val="20"/>
                <w:szCs w:val="20"/>
                <w:color w:val="auto"/>
              </w:rPr>
            </w:pPr>
            <w:r>
              <w:rPr>
                <w:rFonts w:ascii="Arial" w:cs="Arial" w:eastAsia="Arial" w:hAnsi="Arial"/>
                <w:sz w:val="13"/>
                <w:szCs w:val="13"/>
                <w:color w:val="auto"/>
              </w:rPr>
              <w:t>EnviroSolutions Real Property Holdings, Inc.</w:t>
            </w:r>
          </w:p>
        </w:tc>
        <w:tc>
          <w:tcPr>
            <w:tcW w:w="940" w:type="dxa"/>
            <w:vAlign w:val="bottom"/>
          </w:tcPr>
          <w:p>
            <w:pPr>
              <w:jc w:val="center"/>
              <w:ind w:right="217"/>
              <w:spacing w:after="0" w:line="135" w:lineRule="exact"/>
              <w:rPr>
                <w:sz w:val="20"/>
                <w:szCs w:val="20"/>
                <w:color w:val="auto"/>
              </w:rPr>
            </w:pPr>
            <w:r>
              <w:rPr>
                <w:rFonts w:ascii="Arial" w:cs="Arial" w:eastAsia="Arial" w:hAnsi="Arial"/>
                <w:sz w:val="13"/>
                <w:szCs w:val="13"/>
                <w:color w:val="auto"/>
                <w:w w:val="89"/>
              </w:rPr>
              <w:t>12/26/2017</w:t>
            </w:r>
          </w:p>
        </w:tc>
        <w:tc>
          <w:tcPr>
            <w:tcW w:w="2460" w:type="dxa"/>
            <w:vAlign w:val="bottom"/>
          </w:tcPr>
          <w:p>
            <w:pPr>
              <w:jc w:val="center"/>
              <w:ind w:right="77"/>
              <w:spacing w:after="0" w:line="135" w:lineRule="exact"/>
              <w:rPr>
                <w:sz w:val="20"/>
                <w:szCs w:val="20"/>
                <w:color w:val="auto"/>
              </w:rPr>
            </w:pPr>
            <w:r>
              <w:rPr>
                <w:rFonts w:ascii="Arial" w:cs="Arial" w:eastAsia="Arial" w:hAnsi="Arial"/>
                <w:sz w:val="13"/>
                <w:szCs w:val="13"/>
                <w:color w:val="auto"/>
                <w:w w:val="87"/>
              </w:rPr>
              <w:t>Environmental Services</w:t>
            </w:r>
          </w:p>
        </w:tc>
        <w:tc>
          <w:tcPr>
            <w:tcW w:w="10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9.00%</w:t>
            </w:r>
          </w:p>
        </w:tc>
        <w:tc>
          <w:tcPr>
            <w:tcW w:w="9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L+800</w:t>
            </w:r>
          </w:p>
        </w:tc>
        <w:tc>
          <w:tcPr>
            <w:tcW w:w="7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9,409,740</w:t>
            </w: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9,307,548</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9,409,740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Second Lien Secured Debt</w:t>
            </w:r>
          </w:p>
        </w:tc>
        <w:tc>
          <w:tcPr>
            <w:tcW w:w="94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5"/>
              </w:rPr>
              <w:t>26,268,515</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5"/>
              </w:rPr>
              <w:t>25,234,800</w:t>
            </w:r>
          </w:p>
        </w:tc>
        <w:tc>
          <w:tcPr>
            <w:tcW w:w="0" w:type="dxa"/>
            <w:vAlign w:val="bottom"/>
          </w:tcPr>
          <w:p>
            <w:pPr>
              <w:spacing w:after="0"/>
              <w:rPr>
                <w:sz w:val="1"/>
                <w:szCs w:val="1"/>
                <w:color w:val="auto"/>
              </w:rPr>
            </w:pPr>
          </w:p>
        </w:tc>
      </w:tr>
      <w:tr>
        <w:trPr>
          <w:trHeight w:val="142"/>
        </w:trPr>
        <w:tc>
          <w:tcPr>
            <w:tcW w:w="3300" w:type="dxa"/>
            <w:vAlign w:val="bottom"/>
          </w:tcPr>
          <w:p>
            <w:pPr>
              <w:spacing w:after="0" w:line="142" w:lineRule="exact"/>
              <w:rPr>
                <w:sz w:val="20"/>
                <w:szCs w:val="20"/>
                <w:color w:val="auto"/>
              </w:rPr>
            </w:pPr>
            <w:r>
              <w:rPr>
                <w:rFonts w:ascii="Arial" w:cs="Arial" w:eastAsia="Arial" w:hAnsi="Arial"/>
                <w:sz w:val="13"/>
                <w:szCs w:val="13"/>
                <w:b w:val="1"/>
                <w:bCs w:val="1"/>
                <w:color w:val="auto"/>
              </w:rPr>
              <w:t>Subordinated Debt/Corporate Notes—11.7%</w:t>
            </w:r>
          </w:p>
        </w:tc>
        <w:tc>
          <w:tcPr>
            <w:tcW w:w="9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3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 xml:space="preserve">Affinion International Holdings Limited </w:t>
            </w:r>
            <w:r>
              <w:rPr>
                <w:rFonts w:ascii="Arial" w:cs="Arial" w:eastAsia="Arial" w:hAnsi="Arial"/>
                <w:sz w:val="10"/>
                <w:szCs w:val="10"/>
                <w:color w:val="auto"/>
              </w:rPr>
              <w:t>(5), (9), (12)</w:t>
            </w:r>
          </w:p>
        </w:tc>
        <w:tc>
          <w:tcPr>
            <w:tcW w:w="940" w:type="dxa"/>
            <w:vAlign w:val="bottom"/>
            <w:shd w:val="clear" w:color="auto" w:fill="CCEEFF"/>
          </w:tcPr>
          <w:p>
            <w:pPr>
              <w:jc w:val="center"/>
              <w:ind w:right="217"/>
              <w:spacing w:after="0" w:line="121" w:lineRule="exact"/>
              <w:rPr>
                <w:sz w:val="20"/>
                <w:szCs w:val="20"/>
                <w:color w:val="auto"/>
              </w:rPr>
            </w:pPr>
            <w:r>
              <w:rPr>
                <w:rFonts w:ascii="Arial" w:cs="Arial" w:eastAsia="Arial" w:hAnsi="Arial"/>
                <w:sz w:val="13"/>
                <w:szCs w:val="13"/>
                <w:color w:val="auto"/>
                <w:w w:val="89"/>
              </w:rPr>
              <w:t>07/30/2018</w:t>
            </w:r>
          </w:p>
        </w:tc>
        <w:tc>
          <w:tcPr>
            <w:tcW w:w="2460" w:type="dxa"/>
            <w:vAlign w:val="bottom"/>
            <w:shd w:val="clear" w:color="auto" w:fill="CCEEFF"/>
          </w:tcPr>
          <w:p>
            <w:pPr>
              <w:jc w:val="center"/>
              <w:ind w:right="97"/>
              <w:spacing w:after="0" w:line="121" w:lineRule="exact"/>
              <w:rPr>
                <w:sz w:val="20"/>
                <w:szCs w:val="20"/>
                <w:color w:val="auto"/>
              </w:rPr>
            </w:pPr>
            <w:r>
              <w:rPr>
                <w:rFonts w:ascii="Arial" w:cs="Arial" w:eastAsia="Arial" w:hAnsi="Arial"/>
                <w:sz w:val="13"/>
                <w:szCs w:val="13"/>
                <w:color w:val="auto"/>
                <w:w w:val="85"/>
              </w:rPr>
              <w:t>Consumer Products</w:t>
            </w:r>
          </w:p>
        </w:tc>
        <w:tc>
          <w:tcPr>
            <w:tcW w:w="100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7.50%</w:t>
            </w:r>
          </w:p>
        </w:tc>
        <w:tc>
          <w:tcPr>
            <w:tcW w:w="94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9,858,025</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rPr>
              <w:t>8,946,674</w:t>
            </w: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8,995,448</w:t>
            </w:r>
          </w:p>
        </w:tc>
        <w:tc>
          <w:tcPr>
            <w:tcW w:w="0" w:type="dxa"/>
            <w:vAlign w:val="bottom"/>
          </w:tcPr>
          <w:p>
            <w:pPr>
              <w:spacing w:after="0"/>
              <w:rPr>
                <w:sz w:val="1"/>
                <w:szCs w:val="1"/>
                <w:color w:val="auto"/>
              </w:rPr>
            </w:pPr>
          </w:p>
        </w:tc>
      </w:tr>
      <w:tr>
        <w:trPr>
          <w:trHeight w:val="163"/>
        </w:trPr>
        <w:tc>
          <w:tcPr>
            <w:tcW w:w="3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(PIK 4.00%)</w:t>
            </w:r>
          </w:p>
        </w:tc>
        <w:tc>
          <w:tcPr>
            <w:tcW w:w="9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300" w:type="dxa"/>
            <w:vAlign w:val="bottom"/>
          </w:tcPr>
          <w:p>
            <w:pPr>
              <w:spacing w:after="0" w:line="135" w:lineRule="exact"/>
              <w:rPr>
                <w:sz w:val="20"/>
                <w:szCs w:val="20"/>
                <w:color w:val="auto"/>
              </w:rPr>
            </w:pPr>
            <w:r>
              <w:rPr>
                <w:rFonts w:ascii="Arial" w:cs="Arial" w:eastAsia="Arial" w:hAnsi="Arial"/>
                <w:sz w:val="13"/>
                <w:szCs w:val="13"/>
                <w:color w:val="auto"/>
              </w:rPr>
              <w:t>DirectBuy Holdings, Inc.</w:t>
            </w:r>
          </w:p>
        </w:tc>
        <w:tc>
          <w:tcPr>
            <w:tcW w:w="940" w:type="dxa"/>
            <w:vAlign w:val="bottom"/>
          </w:tcPr>
          <w:p>
            <w:pPr>
              <w:jc w:val="center"/>
              <w:ind w:right="217"/>
              <w:spacing w:after="0" w:line="135" w:lineRule="exact"/>
              <w:rPr>
                <w:sz w:val="20"/>
                <w:szCs w:val="20"/>
                <w:color w:val="auto"/>
              </w:rPr>
            </w:pPr>
            <w:r>
              <w:rPr>
                <w:rFonts w:ascii="Arial" w:cs="Arial" w:eastAsia="Arial" w:hAnsi="Arial"/>
                <w:sz w:val="13"/>
                <w:szCs w:val="13"/>
                <w:color w:val="auto"/>
                <w:w w:val="89"/>
              </w:rPr>
              <w:t>11/05/2019</w:t>
            </w:r>
          </w:p>
        </w:tc>
        <w:tc>
          <w:tcPr>
            <w:tcW w:w="2460" w:type="dxa"/>
            <w:vAlign w:val="bottom"/>
          </w:tcPr>
          <w:p>
            <w:pPr>
              <w:jc w:val="center"/>
              <w:ind w:right="97"/>
              <w:spacing w:after="0" w:line="135" w:lineRule="exact"/>
              <w:rPr>
                <w:sz w:val="20"/>
                <w:szCs w:val="20"/>
                <w:color w:val="auto"/>
              </w:rPr>
            </w:pPr>
            <w:r>
              <w:rPr>
                <w:rFonts w:ascii="Arial" w:cs="Arial" w:eastAsia="Arial" w:hAnsi="Arial"/>
                <w:sz w:val="13"/>
                <w:szCs w:val="13"/>
                <w:color w:val="auto"/>
                <w:w w:val="85"/>
              </w:rPr>
              <w:t>Consumer Products</w:t>
            </w:r>
          </w:p>
        </w:tc>
        <w:tc>
          <w:tcPr>
            <w:tcW w:w="100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r>
              <w:rPr>
                <w:rFonts w:ascii="Arial" w:cs="Arial" w:eastAsia="Arial" w:hAnsi="Arial"/>
                <w:sz w:val="10"/>
                <w:szCs w:val="10"/>
                <w:color w:val="auto"/>
              </w:rPr>
              <w:t>(6)</w:t>
            </w:r>
          </w:p>
        </w:tc>
        <w:tc>
          <w:tcPr>
            <w:tcW w:w="9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line="135" w:lineRule="exact"/>
              <w:rPr>
                <w:sz w:val="20"/>
                <w:szCs w:val="20"/>
                <w:color w:val="auto"/>
              </w:rPr>
            </w:pPr>
            <w:r>
              <w:rPr>
                <w:rFonts w:ascii="Arial" w:cs="Arial" w:eastAsia="Arial" w:hAnsi="Arial"/>
                <w:sz w:val="13"/>
                <w:szCs w:val="13"/>
                <w:color w:val="auto"/>
                <w:w w:val="98"/>
              </w:rPr>
              <w:t>14,735,238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5"/>
              </w:rPr>
              <w:t>12,340,534</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2,799,695</w:t>
            </w:r>
          </w:p>
        </w:tc>
        <w:tc>
          <w:tcPr>
            <w:tcW w:w="0" w:type="dxa"/>
            <w:vAlign w:val="bottom"/>
          </w:tcPr>
          <w:p>
            <w:pPr>
              <w:spacing w:after="0"/>
              <w:rPr>
                <w:sz w:val="1"/>
                <w:szCs w:val="1"/>
                <w:color w:val="auto"/>
              </w:rPr>
            </w:pPr>
          </w:p>
        </w:tc>
      </w:tr>
      <w:tr>
        <w:trPr>
          <w:trHeight w:val="121"/>
        </w:trPr>
        <w:tc>
          <w:tcPr>
            <w:tcW w:w="33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ETX Energy, LLC (f/k/a New Gulf Resources, LLC),</w:t>
            </w:r>
          </w:p>
        </w:tc>
        <w:tc>
          <w:tcPr>
            <w:tcW w:w="940" w:type="dxa"/>
            <w:vAlign w:val="bottom"/>
            <w:shd w:val="clear" w:color="auto" w:fill="CCEEFF"/>
          </w:tcPr>
          <w:p>
            <w:pPr>
              <w:jc w:val="center"/>
              <w:ind w:right="217"/>
              <w:spacing w:after="0" w:line="121" w:lineRule="exact"/>
              <w:rPr>
                <w:sz w:val="20"/>
                <w:szCs w:val="20"/>
                <w:color w:val="auto"/>
              </w:rPr>
            </w:pPr>
            <w:r>
              <w:rPr>
                <w:rFonts w:ascii="Arial" w:cs="Arial" w:eastAsia="Arial" w:hAnsi="Arial"/>
                <w:sz w:val="13"/>
                <w:szCs w:val="13"/>
                <w:color w:val="auto"/>
                <w:w w:val="89"/>
              </w:rPr>
              <w:t>05/03/2021</w:t>
            </w:r>
          </w:p>
        </w:tc>
        <w:tc>
          <w:tcPr>
            <w:tcW w:w="2460" w:type="dxa"/>
            <w:vAlign w:val="bottom"/>
            <w:shd w:val="clear" w:color="auto" w:fill="CCEEFF"/>
          </w:tcPr>
          <w:p>
            <w:pPr>
              <w:jc w:val="center"/>
              <w:ind w:right="77"/>
              <w:spacing w:after="0" w:line="121" w:lineRule="exact"/>
              <w:rPr>
                <w:sz w:val="20"/>
                <w:szCs w:val="20"/>
                <w:color w:val="auto"/>
              </w:rPr>
            </w:pPr>
            <w:r>
              <w:rPr>
                <w:rFonts w:ascii="Arial" w:cs="Arial" w:eastAsia="Arial" w:hAnsi="Arial"/>
                <w:sz w:val="13"/>
                <w:szCs w:val="13"/>
                <w:color w:val="auto"/>
                <w:w w:val="87"/>
              </w:rPr>
              <w:t>Oil and Gas</w:t>
            </w:r>
          </w:p>
        </w:tc>
        <w:tc>
          <w:tcPr>
            <w:tcW w:w="100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12.50%</w:t>
            </w:r>
          </w:p>
        </w:tc>
        <w:tc>
          <w:tcPr>
            <w:tcW w:w="94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w w:val="98"/>
              </w:rPr>
              <w:t>25,297,664</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60" w:type="dxa"/>
            <w:vAlign w:val="bottom"/>
            <w:gridSpan w:val="2"/>
            <w:shd w:val="clear" w:color="auto" w:fill="CCEEFF"/>
          </w:tcPr>
          <w:p>
            <w:pPr>
              <w:jc w:val="right"/>
              <w:ind w:right="20"/>
              <w:spacing w:after="0" w:line="121" w:lineRule="exact"/>
              <w:rPr>
                <w:sz w:val="20"/>
                <w:szCs w:val="20"/>
                <w:color w:val="auto"/>
              </w:rPr>
            </w:pPr>
            <w:r>
              <w:rPr>
                <w:rFonts w:ascii="Arial" w:cs="Arial" w:eastAsia="Arial" w:hAnsi="Arial"/>
                <w:sz w:val="13"/>
                <w:szCs w:val="13"/>
                <w:color w:val="auto"/>
                <w:w w:val="95"/>
              </w:rPr>
              <w:t>36,473,119</w:t>
            </w:r>
          </w:p>
        </w:tc>
        <w:tc>
          <w:tcPr>
            <w:tcW w:w="2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w w:val="95"/>
              </w:rPr>
              <w:t>35,416,730</w:t>
            </w:r>
          </w:p>
        </w:tc>
        <w:tc>
          <w:tcPr>
            <w:tcW w:w="0" w:type="dxa"/>
            <w:vAlign w:val="bottom"/>
          </w:tcPr>
          <w:p>
            <w:pPr>
              <w:spacing w:after="0"/>
              <w:rPr>
                <w:sz w:val="1"/>
                <w:szCs w:val="1"/>
                <w:color w:val="auto"/>
              </w:rPr>
            </w:pPr>
          </w:p>
        </w:tc>
      </w:tr>
      <w:tr>
        <w:trPr>
          <w:trHeight w:val="163"/>
        </w:trPr>
        <w:tc>
          <w:tcPr>
            <w:tcW w:w="3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 xml:space="preserve">Convertible Note </w:t>
            </w:r>
            <w:r>
              <w:rPr>
                <w:rFonts w:ascii="Arial" w:cs="Arial" w:eastAsia="Arial" w:hAnsi="Arial"/>
                <w:sz w:val="10"/>
                <w:szCs w:val="10"/>
                <w:color w:val="auto"/>
              </w:rPr>
              <w:t>(5)</w:t>
            </w:r>
          </w:p>
        </w:tc>
        <w:tc>
          <w:tcPr>
            <w:tcW w:w="940" w:type="dxa"/>
            <w:vAlign w:val="bottom"/>
            <w:shd w:val="clear" w:color="auto" w:fill="CCEEFF"/>
          </w:tcPr>
          <w:p>
            <w:pPr>
              <w:spacing w:after="0"/>
              <w:rPr>
                <w:sz w:val="14"/>
                <w:szCs w:val="14"/>
                <w:color w:val="auto"/>
              </w:rPr>
            </w:pPr>
          </w:p>
        </w:tc>
        <w:tc>
          <w:tcPr>
            <w:tcW w:w="246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(PIK 12.50%)</w:t>
            </w:r>
          </w:p>
        </w:tc>
        <w:tc>
          <w:tcPr>
            <w:tcW w:w="9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300" w:type="dxa"/>
            <w:vAlign w:val="bottom"/>
          </w:tcPr>
          <w:p>
            <w:pPr>
              <w:spacing w:after="0" w:line="135" w:lineRule="exact"/>
              <w:rPr>
                <w:sz w:val="20"/>
                <w:szCs w:val="20"/>
                <w:color w:val="auto"/>
              </w:rPr>
            </w:pPr>
            <w:r>
              <w:rPr>
                <w:rFonts w:ascii="Arial" w:cs="Arial" w:eastAsia="Arial" w:hAnsi="Arial"/>
                <w:sz w:val="13"/>
                <w:szCs w:val="13"/>
                <w:color w:val="auto"/>
              </w:rPr>
              <w:t>Service Champ, Inc.</w:t>
            </w:r>
          </w:p>
        </w:tc>
        <w:tc>
          <w:tcPr>
            <w:tcW w:w="940" w:type="dxa"/>
            <w:vAlign w:val="bottom"/>
          </w:tcPr>
          <w:p>
            <w:pPr>
              <w:jc w:val="center"/>
              <w:ind w:right="217"/>
              <w:spacing w:after="0" w:line="135" w:lineRule="exact"/>
              <w:rPr>
                <w:sz w:val="20"/>
                <w:szCs w:val="20"/>
                <w:color w:val="auto"/>
              </w:rPr>
            </w:pPr>
            <w:r>
              <w:rPr>
                <w:rFonts w:ascii="Arial" w:cs="Arial" w:eastAsia="Arial" w:hAnsi="Arial"/>
                <w:sz w:val="13"/>
                <w:szCs w:val="13"/>
                <w:color w:val="auto"/>
                <w:w w:val="89"/>
              </w:rPr>
              <w:t>10/02/2017</w:t>
            </w:r>
          </w:p>
        </w:tc>
        <w:tc>
          <w:tcPr>
            <w:tcW w:w="2460" w:type="dxa"/>
            <w:vAlign w:val="bottom"/>
          </w:tcPr>
          <w:p>
            <w:pPr>
              <w:jc w:val="center"/>
              <w:ind w:right="77"/>
              <w:spacing w:after="0" w:line="135" w:lineRule="exact"/>
              <w:rPr>
                <w:sz w:val="20"/>
                <w:szCs w:val="20"/>
                <w:color w:val="auto"/>
              </w:rPr>
            </w:pPr>
            <w:r>
              <w:rPr>
                <w:rFonts w:ascii="Arial" w:cs="Arial" w:eastAsia="Arial" w:hAnsi="Arial"/>
                <w:sz w:val="13"/>
                <w:szCs w:val="13"/>
                <w:color w:val="auto"/>
                <w:w w:val="88"/>
              </w:rPr>
              <w:t>Auto Sector</w:t>
            </w:r>
          </w:p>
        </w:tc>
        <w:tc>
          <w:tcPr>
            <w:tcW w:w="10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12.50%</w:t>
            </w:r>
          </w:p>
        </w:tc>
        <w:tc>
          <w:tcPr>
            <w:tcW w:w="9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line="135" w:lineRule="exact"/>
              <w:rPr>
                <w:sz w:val="20"/>
                <w:szCs w:val="20"/>
                <w:color w:val="auto"/>
              </w:rPr>
            </w:pPr>
            <w:r>
              <w:rPr>
                <w:rFonts w:ascii="Arial" w:cs="Arial" w:eastAsia="Arial" w:hAnsi="Arial"/>
                <w:sz w:val="13"/>
                <w:szCs w:val="13"/>
                <w:color w:val="auto"/>
                <w:w w:val="98"/>
              </w:rPr>
              <w:t>28,000,000</w:t>
            </w: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95"/>
              </w:rPr>
              <w:t>27,841,741</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w w:val="95"/>
              </w:rPr>
              <w:t>27,908,663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Subordinated Debt/Corporate Notes</w:t>
            </w:r>
          </w:p>
        </w:tc>
        <w:tc>
          <w:tcPr>
            <w:tcW w:w="94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5"/>
              </w:rPr>
              <w:t>85,602,068</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5"/>
              </w:rPr>
              <w:t>75,120,536</w:t>
            </w:r>
          </w:p>
        </w:tc>
        <w:tc>
          <w:tcPr>
            <w:tcW w:w="0" w:type="dxa"/>
            <w:vAlign w:val="bottom"/>
          </w:tcPr>
          <w:p>
            <w:pPr>
              <w:spacing w:after="0"/>
              <w:rPr>
                <w:sz w:val="1"/>
                <w:szCs w:val="1"/>
                <w:color w:val="auto"/>
              </w:rPr>
            </w:pPr>
          </w:p>
        </w:tc>
      </w:tr>
      <w:tr>
        <w:trPr>
          <w:trHeight w:val="142"/>
        </w:trPr>
        <w:tc>
          <w:tcPr>
            <w:tcW w:w="3300" w:type="dxa"/>
            <w:vAlign w:val="bottom"/>
          </w:tcPr>
          <w:p>
            <w:pPr>
              <w:spacing w:after="0" w:line="142" w:lineRule="exact"/>
              <w:rPr>
                <w:sz w:val="20"/>
                <w:szCs w:val="20"/>
                <w:color w:val="auto"/>
              </w:rPr>
            </w:pPr>
            <w:r>
              <w:rPr>
                <w:rFonts w:ascii="Arial" w:cs="Arial" w:eastAsia="Arial" w:hAnsi="Arial"/>
                <w:sz w:val="13"/>
                <w:szCs w:val="13"/>
                <w:b w:val="1"/>
                <w:bCs w:val="1"/>
                <w:color w:val="auto"/>
              </w:rPr>
              <w:t xml:space="preserve">Preferred Equity—0.7% </w:t>
            </w:r>
            <w:r>
              <w:rPr>
                <w:rFonts w:ascii="Arial" w:cs="Arial" w:eastAsia="Arial" w:hAnsi="Arial"/>
                <w:sz w:val="10"/>
                <w:szCs w:val="10"/>
                <w:b w:val="1"/>
                <w:bCs w:val="1"/>
                <w:color w:val="auto"/>
              </w:rPr>
              <w:t>(6)</w:t>
            </w:r>
          </w:p>
        </w:tc>
        <w:tc>
          <w:tcPr>
            <w:tcW w:w="9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PAS International Holdings, Inc.</w:t>
            </w:r>
          </w:p>
        </w:tc>
        <w:tc>
          <w:tcPr>
            <w:tcW w:w="940" w:type="dxa"/>
            <w:vAlign w:val="bottom"/>
            <w:shd w:val="clear" w:color="auto" w:fill="CCEEFF"/>
          </w:tcPr>
          <w:p>
            <w:pPr>
              <w:jc w:val="center"/>
              <w:ind w:right="237"/>
              <w:spacing w:after="0" w:line="135" w:lineRule="exact"/>
              <w:rPr>
                <w:sz w:val="20"/>
                <w:szCs w:val="20"/>
                <w:color w:val="auto"/>
              </w:rPr>
            </w:pPr>
            <w:r>
              <w:rPr>
                <w:rFonts w:ascii="Arial" w:cs="Arial" w:eastAsia="Arial" w:hAnsi="Arial"/>
                <w:sz w:val="13"/>
                <w:szCs w:val="13"/>
                <w:color w:val="auto"/>
                <w:w w:val="91"/>
              </w:rPr>
              <w:t>—</w:t>
            </w:r>
          </w:p>
        </w:tc>
        <w:tc>
          <w:tcPr>
            <w:tcW w:w="2460" w:type="dxa"/>
            <w:vAlign w:val="bottom"/>
            <w:shd w:val="clear" w:color="auto" w:fill="CCEEFF"/>
          </w:tcPr>
          <w:p>
            <w:pPr>
              <w:jc w:val="center"/>
              <w:ind w:right="97"/>
              <w:spacing w:after="0" w:line="135" w:lineRule="exact"/>
              <w:rPr>
                <w:sz w:val="20"/>
                <w:szCs w:val="20"/>
                <w:color w:val="auto"/>
              </w:rPr>
            </w:pPr>
            <w:r>
              <w:rPr>
                <w:rFonts w:ascii="Arial" w:cs="Arial" w:eastAsia="Arial" w:hAnsi="Arial"/>
                <w:sz w:val="13"/>
                <w:szCs w:val="13"/>
                <w:color w:val="auto"/>
                <w:w w:val="84"/>
              </w:rPr>
              <w:t>Aerospace and Defense</w:t>
            </w:r>
          </w:p>
        </w:tc>
        <w:tc>
          <w:tcPr>
            <w:tcW w:w="10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53,071</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5"/>
              </w:rPr>
              <w:t>20,059,340</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4,287,107</w:t>
            </w:r>
          </w:p>
        </w:tc>
        <w:tc>
          <w:tcPr>
            <w:tcW w:w="0" w:type="dxa"/>
            <w:vAlign w:val="bottom"/>
          </w:tcPr>
          <w:p>
            <w:pPr>
              <w:spacing w:after="0"/>
              <w:rPr>
                <w:sz w:val="1"/>
                <w:szCs w:val="1"/>
                <w:color w:val="auto"/>
              </w:rPr>
            </w:pPr>
          </w:p>
        </w:tc>
      </w:tr>
      <w:tr>
        <w:trPr>
          <w:trHeight w:val="142"/>
        </w:trPr>
        <w:tc>
          <w:tcPr>
            <w:tcW w:w="3300" w:type="dxa"/>
            <w:vAlign w:val="bottom"/>
          </w:tcPr>
          <w:p>
            <w:pPr>
              <w:spacing w:after="0" w:line="142" w:lineRule="exact"/>
              <w:rPr>
                <w:sz w:val="20"/>
                <w:szCs w:val="20"/>
                <w:color w:val="auto"/>
              </w:rPr>
            </w:pPr>
            <w:r>
              <w:rPr>
                <w:rFonts w:ascii="Arial" w:cs="Arial" w:eastAsia="Arial" w:hAnsi="Arial"/>
                <w:sz w:val="13"/>
                <w:szCs w:val="13"/>
                <w:b w:val="1"/>
                <w:bCs w:val="1"/>
                <w:color w:val="auto"/>
                <w:w w:val="93"/>
              </w:rPr>
              <w:t xml:space="preserve">Common Equity/Partnership Interests/Warrants—8.9% </w:t>
            </w:r>
            <w:r>
              <w:rPr>
                <w:rFonts w:ascii="Arial" w:cs="Arial" w:eastAsia="Arial" w:hAnsi="Arial"/>
                <w:sz w:val="10"/>
                <w:szCs w:val="10"/>
                <w:b w:val="1"/>
                <w:bCs w:val="1"/>
                <w:color w:val="auto"/>
                <w:w w:val="93"/>
              </w:rPr>
              <w:t>(6)</w:t>
            </w:r>
          </w:p>
        </w:tc>
        <w:tc>
          <w:tcPr>
            <w:tcW w:w="9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Affinion Group Holdings, Inc.</w:t>
            </w:r>
          </w:p>
        </w:tc>
        <w:tc>
          <w:tcPr>
            <w:tcW w:w="940" w:type="dxa"/>
            <w:vAlign w:val="bottom"/>
            <w:shd w:val="clear" w:color="auto" w:fill="CCEEFF"/>
          </w:tcPr>
          <w:p>
            <w:pPr>
              <w:jc w:val="center"/>
              <w:ind w:right="237"/>
              <w:spacing w:after="0" w:line="135" w:lineRule="exact"/>
              <w:rPr>
                <w:sz w:val="20"/>
                <w:szCs w:val="20"/>
                <w:color w:val="auto"/>
              </w:rPr>
            </w:pPr>
            <w:r>
              <w:rPr>
                <w:rFonts w:ascii="Arial" w:cs="Arial" w:eastAsia="Arial" w:hAnsi="Arial"/>
                <w:sz w:val="13"/>
                <w:szCs w:val="13"/>
                <w:color w:val="auto"/>
                <w:w w:val="91"/>
              </w:rPr>
              <w:t>—</w:t>
            </w:r>
          </w:p>
        </w:tc>
        <w:tc>
          <w:tcPr>
            <w:tcW w:w="2460" w:type="dxa"/>
            <w:vAlign w:val="bottom"/>
            <w:shd w:val="clear" w:color="auto" w:fill="CCEEFF"/>
          </w:tcPr>
          <w:p>
            <w:pPr>
              <w:jc w:val="center"/>
              <w:ind w:right="97"/>
              <w:spacing w:after="0" w:line="135" w:lineRule="exact"/>
              <w:rPr>
                <w:sz w:val="20"/>
                <w:szCs w:val="20"/>
                <w:color w:val="auto"/>
              </w:rPr>
            </w:pPr>
            <w:r>
              <w:rPr>
                <w:rFonts w:ascii="Arial" w:cs="Arial" w:eastAsia="Arial" w:hAnsi="Arial"/>
                <w:sz w:val="13"/>
                <w:szCs w:val="13"/>
                <w:color w:val="auto"/>
                <w:w w:val="85"/>
              </w:rPr>
              <w:t>Consumer Products</w:t>
            </w:r>
          </w:p>
        </w:tc>
        <w:tc>
          <w:tcPr>
            <w:tcW w:w="10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859,496</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5"/>
              </w:rPr>
              <w:t>30,503,493</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5"/>
              </w:rPr>
              <w:t>32,115,042</w:t>
            </w:r>
          </w:p>
        </w:tc>
        <w:tc>
          <w:tcPr>
            <w:tcW w:w="0" w:type="dxa"/>
            <w:vAlign w:val="bottom"/>
          </w:tcPr>
          <w:p>
            <w:pPr>
              <w:spacing w:after="0"/>
              <w:rPr>
                <w:sz w:val="1"/>
                <w:szCs w:val="1"/>
                <w:color w:val="auto"/>
              </w:rPr>
            </w:pPr>
          </w:p>
        </w:tc>
      </w:tr>
      <w:tr>
        <w:trPr>
          <w:trHeight w:val="135"/>
        </w:trPr>
        <w:tc>
          <w:tcPr>
            <w:tcW w:w="3300" w:type="dxa"/>
            <w:vAlign w:val="bottom"/>
          </w:tcPr>
          <w:p>
            <w:pPr>
              <w:spacing w:after="0" w:line="135" w:lineRule="exact"/>
              <w:rPr>
                <w:sz w:val="20"/>
                <w:szCs w:val="20"/>
                <w:color w:val="auto"/>
              </w:rPr>
            </w:pPr>
            <w:r>
              <w:rPr>
                <w:rFonts w:ascii="Arial" w:cs="Arial" w:eastAsia="Arial" w:hAnsi="Arial"/>
                <w:sz w:val="13"/>
                <w:szCs w:val="13"/>
                <w:color w:val="auto"/>
              </w:rPr>
              <w:t>Affinion Group Holdings, Inc., Series C and Series D</w:t>
            </w:r>
          </w:p>
        </w:tc>
        <w:tc>
          <w:tcPr>
            <w:tcW w:w="940" w:type="dxa"/>
            <w:vAlign w:val="bottom"/>
          </w:tcPr>
          <w:p>
            <w:pPr>
              <w:jc w:val="center"/>
              <w:ind w:right="237"/>
              <w:spacing w:after="0" w:line="135" w:lineRule="exact"/>
              <w:rPr>
                <w:sz w:val="20"/>
                <w:szCs w:val="20"/>
                <w:color w:val="auto"/>
              </w:rPr>
            </w:pPr>
            <w:r>
              <w:rPr>
                <w:rFonts w:ascii="Arial" w:cs="Arial" w:eastAsia="Arial" w:hAnsi="Arial"/>
                <w:sz w:val="13"/>
                <w:szCs w:val="13"/>
                <w:color w:val="auto"/>
                <w:w w:val="91"/>
              </w:rPr>
              <w:t>—</w:t>
            </w:r>
          </w:p>
        </w:tc>
        <w:tc>
          <w:tcPr>
            <w:tcW w:w="2460" w:type="dxa"/>
            <w:vAlign w:val="bottom"/>
          </w:tcPr>
          <w:p>
            <w:pPr>
              <w:jc w:val="center"/>
              <w:ind w:right="97"/>
              <w:spacing w:after="0" w:line="135" w:lineRule="exact"/>
              <w:rPr>
                <w:sz w:val="20"/>
                <w:szCs w:val="20"/>
                <w:color w:val="auto"/>
              </w:rPr>
            </w:pPr>
            <w:r>
              <w:rPr>
                <w:rFonts w:ascii="Arial" w:cs="Arial" w:eastAsia="Arial" w:hAnsi="Arial"/>
                <w:sz w:val="13"/>
                <w:szCs w:val="13"/>
                <w:color w:val="auto"/>
                <w:w w:val="85"/>
              </w:rPr>
              <w:t>Consumer Products</w:t>
            </w:r>
          </w:p>
        </w:tc>
        <w:tc>
          <w:tcPr>
            <w:tcW w:w="10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37,181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w w:val="95"/>
              </w:rPr>
              <w:t>10,265,972</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173,844</w:t>
            </w:r>
          </w:p>
        </w:tc>
        <w:tc>
          <w:tcPr>
            <w:tcW w:w="0" w:type="dxa"/>
            <w:vAlign w:val="bottom"/>
          </w:tcPr>
          <w:p>
            <w:pPr>
              <w:spacing w:after="0"/>
              <w:rPr>
                <w:sz w:val="1"/>
                <w:szCs w:val="1"/>
                <w:color w:val="auto"/>
              </w:rPr>
            </w:pPr>
          </w:p>
        </w:tc>
      </w:tr>
      <w:tr>
        <w:trPr>
          <w:trHeight w:val="135"/>
        </w:trPr>
        <w:tc>
          <w:tcPr>
            <w:tcW w:w="3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Corfin InvestCo, L.P.</w:t>
            </w:r>
          </w:p>
        </w:tc>
        <w:tc>
          <w:tcPr>
            <w:tcW w:w="940" w:type="dxa"/>
            <w:vAlign w:val="bottom"/>
            <w:shd w:val="clear" w:color="auto" w:fill="CCEEFF"/>
          </w:tcPr>
          <w:p>
            <w:pPr>
              <w:jc w:val="center"/>
              <w:ind w:right="237"/>
              <w:spacing w:after="0" w:line="135" w:lineRule="exact"/>
              <w:rPr>
                <w:sz w:val="20"/>
                <w:szCs w:val="20"/>
                <w:color w:val="auto"/>
              </w:rPr>
            </w:pPr>
            <w:r>
              <w:rPr>
                <w:rFonts w:ascii="Arial" w:cs="Arial" w:eastAsia="Arial" w:hAnsi="Arial"/>
                <w:sz w:val="13"/>
                <w:szCs w:val="13"/>
                <w:color w:val="auto"/>
                <w:w w:val="91"/>
              </w:rPr>
              <w:t>—</w:t>
            </w:r>
          </w:p>
        </w:tc>
        <w:tc>
          <w:tcPr>
            <w:tcW w:w="2460" w:type="dxa"/>
            <w:vAlign w:val="bottom"/>
            <w:shd w:val="clear" w:color="auto" w:fill="CCEEFF"/>
          </w:tcPr>
          <w:p>
            <w:pPr>
              <w:jc w:val="center"/>
              <w:ind w:right="97"/>
              <w:spacing w:after="0" w:line="135" w:lineRule="exact"/>
              <w:rPr>
                <w:sz w:val="20"/>
                <w:szCs w:val="20"/>
                <w:color w:val="auto"/>
              </w:rPr>
            </w:pPr>
            <w:r>
              <w:rPr>
                <w:rFonts w:ascii="Arial" w:cs="Arial" w:eastAsia="Arial" w:hAnsi="Arial"/>
                <w:sz w:val="13"/>
                <w:szCs w:val="13"/>
                <w:color w:val="auto"/>
                <w:w w:val="84"/>
              </w:rPr>
              <w:t>Aerospace and Defense</w:t>
            </w:r>
          </w:p>
        </w:tc>
        <w:tc>
          <w:tcPr>
            <w:tcW w:w="10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11,250</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1,125,000</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2,330,813</w:t>
            </w:r>
          </w:p>
        </w:tc>
        <w:tc>
          <w:tcPr>
            <w:tcW w:w="0" w:type="dxa"/>
            <w:vAlign w:val="bottom"/>
          </w:tcPr>
          <w:p>
            <w:pPr>
              <w:spacing w:after="0"/>
              <w:rPr>
                <w:sz w:val="1"/>
                <w:szCs w:val="1"/>
                <w:color w:val="auto"/>
              </w:rPr>
            </w:pPr>
          </w:p>
        </w:tc>
      </w:tr>
      <w:tr>
        <w:trPr>
          <w:trHeight w:val="135"/>
        </w:trPr>
        <w:tc>
          <w:tcPr>
            <w:tcW w:w="3300" w:type="dxa"/>
            <w:vAlign w:val="bottom"/>
          </w:tcPr>
          <w:p>
            <w:pPr>
              <w:spacing w:after="0" w:line="135" w:lineRule="exact"/>
              <w:rPr>
                <w:sz w:val="20"/>
                <w:szCs w:val="20"/>
                <w:color w:val="auto"/>
              </w:rPr>
            </w:pPr>
            <w:r>
              <w:rPr>
                <w:rFonts w:ascii="Arial" w:cs="Arial" w:eastAsia="Arial" w:hAnsi="Arial"/>
                <w:sz w:val="13"/>
                <w:szCs w:val="13"/>
                <w:color w:val="auto"/>
              </w:rPr>
              <w:t xml:space="preserve">Corfin InvestCo, L.P. </w:t>
            </w:r>
            <w:r>
              <w:rPr>
                <w:rFonts w:ascii="Arial" w:cs="Arial" w:eastAsia="Arial" w:hAnsi="Arial"/>
                <w:sz w:val="10"/>
                <w:szCs w:val="10"/>
                <w:color w:val="auto"/>
              </w:rPr>
              <w:t>(8)</w:t>
            </w:r>
          </w:p>
        </w:tc>
        <w:tc>
          <w:tcPr>
            <w:tcW w:w="940" w:type="dxa"/>
            <w:vAlign w:val="bottom"/>
          </w:tcPr>
          <w:p>
            <w:pPr>
              <w:jc w:val="center"/>
              <w:ind w:right="237"/>
              <w:spacing w:after="0" w:line="135" w:lineRule="exact"/>
              <w:rPr>
                <w:sz w:val="20"/>
                <w:szCs w:val="20"/>
                <w:color w:val="auto"/>
              </w:rPr>
            </w:pPr>
            <w:r>
              <w:rPr>
                <w:rFonts w:ascii="Arial" w:cs="Arial" w:eastAsia="Arial" w:hAnsi="Arial"/>
                <w:sz w:val="13"/>
                <w:szCs w:val="13"/>
                <w:color w:val="auto"/>
                <w:w w:val="91"/>
              </w:rPr>
              <w:t>—</w:t>
            </w:r>
          </w:p>
        </w:tc>
        <w:tc>
          <w:tcPr>
            <w:tcW w:w="2460" w:type="dxa"/>
            <w:vAlign w:val="bottom"/>
          </w:tcPr>
          <w:p>
            <w:pPr>
              <w:jc w:val="center"/>
              <w:ind w:right="97"/>
              <w:spacing w:after="0" w:line="135" w:lineRule="exact"/>
              <w:rPr>
                <w:sz w:val="20"/>
                <w:szCs w:val="20"/>
                <w:color w:val="auto"/>
              </w:rPr>
            </w:pPr>
            <w:r>
              <w:rPr>
                <w:rFonts w:ascii="Arial" w:cs="Arial" w:eastAsia="Arial" w:hAnsi="Arial"/>
                <w:sz w:val="13"/>
                <w:szCs w:val="13"/>
                <w:color w:val="auto"/>
                <w:w w:val="84"/>
              </w:rPr>
              <w:t>Aerospace and Defense</w:t>
            </w:r>
          </w:p>
        </w:tc>
        <w:tc>
          <w:tcPr>
            <w:tcW w:w="10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11,250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DirectBuy Holdings, Inc.</w:t>
            </w:r>
          </w:p>
        </w:tc>
        <w:tc>
          <w:tcPr>
            <w:tcW w:w="940" w:type="dxa"/>
            <w:vAlign w:val="bottom"/>
            <w:shd w:val="clear" w:color="auto" w:fill="CCEEFF"/>
          </w:tcPr>
          <w:p>
            <w:pPr>
              <w:jc w:val="center"/>
              <w:ind w:right="237"/>
              <w:spacing w:after="0" w:line="135" w:lineRule="exact"/>
              <w:rPr>
                <w:sz w:val="20"/>
                <w:szCs w:val="20"/>
                <w:color w:val="auto"/>
              </w:rPr>
            </w:pPr>
            <w:r>
              <w:rPr>
                <w:rFonts w:ascii="Arial" w:cs="Arial" w:eastAsia="Arial" w:hAnsi="Arial"/>
                <w:sz w:val="13"/>
                <w:szCs w:val="13"/>
                <w:color w:val="auto"/>
                <w:w w:val="91"/>
              </w:rPr>
              <w:t>—</w:t>
            </w:r>
          </w:p>
        </w:tc>
        <w:tc>
          <w:tcPr>
            <w:tcW w:w="2460" w:type="dxa"/>
            <w:vAlign w:val="bottom"/>
            <w:shd w:val="clear" w:color="auto" w:fill="CCEEFF"/>
          </w:tcPr>
          <w:p>
            <w:pPr>
              <w:jc w:val="center"/>
              <w:ind w:right="97"/>
              <w:spacing w:after="0" w:line="135" w:lineRule="exact"/>
              <w:rPr>
                <w:sz w:val="20"/>
                <w:szCs w:val="20"/>
                <w:color w:val="auto"/>
              </w:rPr>
            </w:pPr>
            <w:r>
              <w:rPr>
                <w:rFonts w:ascii="Arial" w:cs="Arial" w:eastAsia="Arial" w:hAnsi="Arial"/>
                <w:sz w:val="13"/>
                <w:szCs w:val="13"/>
                <w:color w:val="auto"/>
                <w:w w:val="85"/>
              </w:rPr>
              <w:t>Consumer Products</w:t>
            </w:r>
          </w:p>
        </w:tc>
        <w:tc>
          <w:tcPr>
            <w:tcW w:w="10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104,719</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5"/>
              </w:rPr>
              <w:t>21,492,822</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300" w:type="dxa"/>
            <w:vAlign w:val="bottom"/>
          </w:tcPr>
          <w:p>
            <w:pPr>
              <w:spacing w:after="0" w:line="135" w:lineRule="exact"/>
              <w:rPr>
                <w:sz w:val="20"/>
                <w:szCs w:val="20"/>
                <w:color w:val="auto"/>
              </w:rPr>
            </w:pPr>
            <w:r>
              <w:rPr>
                <w:rFonts w:ascii="Arial" w:cs="Arial" w:eastAsia="Arial" w:hAnsi="Arial"/>
                <w:sz w:val="13"/>
                <w:szCs w:val="13"/>
                <w:color w:val="auto"/>
              </w:rPr>
              <w:t>DirectBuy Holdings, Inc. (Warrants)</w:t>
            </w:r>
          </w:p>
        </w:tc>
        <w:tc>
          <w:tcPr>
            <w:tcW w:w="940" w:type="dxa"/>
            <w:vAlign w:val="bottom"/>
          </w:tcPr>
          <w:p>
            <w:pPr>
              <w:jc w:val="center"/>
              <w:ind w:right="217"/>
              <w:spacing w:after="0" w:line="135" w:lineRule="exact"/>
              <w:rPr>
                <w:sz w:val="20"/>
                <w:szCs w:val="20"/>
                <w:color w:val="auto"/>
              </w:rPr>
            </w:pPr>
            <w:r>
              <w:rPr>
                <w:rFonts w:ascii="Arial" w:cs="Arial" w:eastAsia="Arial" w:hAnsi="Arial"/>
                <w:sz w:val="13"/>
                <w:szCs w:val="13"/>
                <w:color w:val="auto"/>
                <w:w w:val="89"/>
              </w:rPr>
              <w:t>11/05/2022</w:t>
            </w:r>
          </w:p>
        </w:tc>
        <w:tc>
          <w:tcPr>
            <w:tcW w:w="2460" w:type="dxa"/>
            <w:vAlign w:val="bottom"/>
          </w:tcPr>
          <w:p>
            <w:pPr>
              <w:jc w:val="center"/>
              <w:ind w:right="97"/>
              <w:spacing w:after="0" w:line="135" w:lineRule="exact"/>
              <w:rPr>
                <w:sz w:val="20"/>
                <w:szCs w:val="20"/>
                <w:color w:val="auto"/>
              </w:rPr>
            </w:pPr>
            <w:r>
              <w:rPr>
                <w:rFonts w:ascii="Arial" w:cs="Arial" w:eastAsia="Arial" w:hAnsi="Arial"/>
                <w:sz w:val="13"/>
                <w:szCs w:val="13"/>
                <w:color w:val="auto"/>
                <w:w w:val="85"/>
              </w:rPr>
              <w:t>Consumer Products</w:t>
            </w:r>
          </w:p>
        </w:tc>
        <w:tc>
          <w:tcPr>
            <w:tcW w:w="10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15,486</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EnviroSolutions Holdings, Inc.</w:t>
            </w:r>
          </w:p>
        </w:tc>
        <w:tc>
          <w:tcPr>
            <w:tcW w:w="940" w:type="dxa"/>
            <w:vAlign w:val="bottom"/>
            <w:shd w:val="clear" w:color="auto" w:fill="CCEEFF"/>
          </w:tcPr>
          <w:p>
            <w:pPr>
              <w:jc w:val="center"/>
              <w:ind w:right="237"/>
              <w:spacing w:after="0" w:line="135" w:lineRule="exact"/>
              <w:rPr>
                <w:sz w:val="20"/>
                <w:szCs w:val="20"/>
                <w:color w:val="auto"/>
              </w:rPr>
            </w:pPr>
            <w:r>
              <w:rPr>
                <w:rFonts w:ascii="Arial" w:cs="Arial" w:eastAsia="Arial" w:hAnsi="Arial"/>
                <w:sz w:val="13"/>
                <w:szCs w:val="13"/>
                <w:color w:val="auto"/>
                <w:w w:val="91"/>
              </w:rPr>
              <w:t>—</w:t>
            </w:r>
          </w:p>
        </w:tc>
        <w:tc>
          <w:tcPr>
            <w:tcW w:w="2460" w:type="dxa"/>
            <w:vAlign w:val="bottom"/>
            <w:shd w:val="clear" w:color="auto" w:fill="CCEEFF"/>
          </w:tcPr>
          <w:p>
            <w:pPr>
              <w:jc w:val="center"/>
              <w:ind w:right="77"/>
              <w:spacing w:after="0" w:line="135" w:lineRule="exact"/>
              <w:rPr>
                <w:sz w:val="20"/>
                <w:szCs w:val="20"/>
                <w:color w:val="auto"/>
              </w:rPr>
            </w:pPr>
            <w:r>
              <w:rPr>
                <w:rFonts w:ascii="Arial" w:cs="Arial" w:eastAsia="Arial" w:hAnsi="Arial"/>
                <w:sz w:val="13"/>
                <w:szCs w:val="13"/>
                <w:color w:val="auto"/>
                <w:w w:val="87"/>
              </w:rPr>
              <w:t>Environmental Services</w:t>
            </w:r>
          </w:p>
        </w:tc>
        <w:tc>
          <w:tcPr>
            <w:tcW w:w="10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143,668</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5"/>
              </w:rPr>
              <w:t>11,960,702</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5"/>
              </w:rPr>
              <w:t>13,112,260</w:t>
            </w:r>
          </w:p>
        </w:tc>
        <w:tc>
          <w:tcPr>
            <w:tcW w:w="0" w:type="dxa"/>
            <w:vAlign w:val="bottom"/>
          </w:tcPr>
          <w:p>
            <w:pPr>
              <w:spacing w:after="0"/>
              <w:rPr>
                <w:sz w:val="1"/>
                <w:szCs w:val="1"/>
                <w:color w:val="auto"/>
              </w:rPr>
            </w:pPr>
          </w:p>
        </w:tc>
      </w:tr>
      <w:tr>
        <w:trPr>
          <w:trHeight w:val="135"/>
        </w:trPr>
        <w:tc>
          <w:tcPr>
            <w:tcW w:w="3300" w:type="dxa"/>
            <w:vAlign w:val="bottom"/>
          </w:tcPr>
          <w:p>
            <w:pPr>
              <w:spacing w:after="0" w:line="135" w:lineRule="exact"/>
              <w:rPr>
                <w:sz w:val="20"/>
                <w:szCs w:val="20"/>
                <w:color w:val="auto"/>
              </w:rPr>
            </w:pPr>
            <w:r>
              <w:rPr>
                <w:rFonts w:ascii="Arial" w:cs="Arial" w:eastAsia="Arial" w:hAnsi="Arial"/>
                <w:sz w:val="13"/>
                <w:szCs w:val="13"/>
                <w:color w:val="auto"/>
              </w:rPr>
              <w:t xml:space="preserve">ETX Energy, LLC (f/k/a New Gulf Resources, LLC) </w:t>
            </w:r>
            <w:r>
              <w:rPr>
                <w:rFonts w:ascii="Arial" w:cs="Arial" w:eastAsia="Arial" w:hAnsi="Arial"/>
                <w:sz w:val="10"/>
                <w:szCs w:val="10"/>
                <w:color w:val="auto"/>
              </w:rPr>
              <w:t>(10)</w:t>
            </w:r>
          </w:p>
        </w:tc>
        <w:tc>
          <w:tcPr>
            <w:tcW w:w="940" w:type="dxa"/>
            <w:vAlign w:val="bottom"/>
          </w:tcPr>
          <w:p>
            <w:pPr>
              <w:jc w:val="center"/>
              <w:ind w:right="237"/>
              <w:spacing w:after="0" w:line="135" w:lineRule="exact"/>
              <w:rPr>
                <w:sz w:val="20"/>
                <w:szCs w:val="20"/>
                <w:color w:val="auto"/>
              </w:rPr>
            </w:pPr>
            <w:r>
              <w:rPr>
                <w:rFonts w:ascii="Arial" w:cs="Arial" w:eastAsia="Arial" w:hAnsi="Arial"/>
                <w:sz w:val="13"/>
                <w:szCs w:val="13"/>
                <w:color w:val="auto"/>
                <w:w w:val="91"/>
              </w:rPr>
              <w:t>—</w:t>
            </w:r>
          </w:p>
        </w:tc>
        <w:tc>
          <w:tcPr>
            <w:tcW w:w="2460" w:type="dxa"/>
            <w:vAlign w:val="bottom"/>
          </w:tcPr>
          <w:p>
            <w:pPr>
              <w:jc w:val="center"/>
              <w:ind w:right="77"/>
              <w:spacing w:after="0" w:line="135" w:lineRule="exact"/>
              <w:rPr>
                <w:sz w:val="20"/>
                <w:szCs w:val="20"/>
                <w:color w:val="auto"/>
              </w:rPr>
            </w:pPr>
            <w:r>
              <w:rPr>
                <w:rFonts w:ascii="Arial" w:cs="Arial" w:eastAsia="Arial" w:hAnsi="Arial"/>
                <w:sz w:val="13"/>
                <w:szCs w:val="13"/>
                <w:color w:val="auto"/>
                <w:w w:val="87"/>
              </w:rPr>
              <w:t>Oil and Gas</w:t>
            </w:r>
          </w:p>
        </w:tc>
        <w:tc>
          <w:tcPr>
            <w:tcW w:w="10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113,610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gridSpan w:val="3"/>
          </w:tcPr>
          <w:p>
            <w:pPr>
              <w:jc w:val="right"/>
              <w:ind w:right="2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33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ETX Energy Management Company, LLC (f/k/a NGR</w:t>
            </w:r>
          </w:p>
        </w:tc>
        <w:tc>
          <w:tcPr>
            <w:tcW w:w="940" w:type="dxa"/>
            <w:vAlign w:val="bottom"/>
            <w:shd w:val="clear" w:color="auto" w:fill="CCEEFF"/>
          </w:tcPr>
          <w:p>
            <w:pPr>
              <w:jc w:val="center"/>
              <w:ind w:right="237"/>
              <w:spacing w:after="0" w:line="121" w:lineRule="exact"/>
              <w:rPr>
                <w:sz w:val="20"/>
                <w:szCs w:val="20"/>
                <w:color w:val="auto"/>
              </w:rPr>
            </w:pPr>
            <w:r>
              <w:rPr>
                <w:rFonts w:ascii="Arial" w:cs="Arial" w:eastAsia="Arial" w:hAnsi="Arial"/>
                <w:sz w:val="13"/>
                <w:szCs w:val="13"/>
                <w:color w:val="auto"/>
                <w:w w:val="91"/>
              </w:rPr>
              <w:t>—</w:t>
            </w:r>
          </w:p>
        </w:tc>
        <w:tc>
          <w:tcPr>
            <w:tcW w:w="2460" w:type="dxa"/>
            <w:vAlign w:val="bottom"/>
            <w:shd w:val="clear" w:color="auto" w:fill="CCEEFF"/>
          </w:tcPr>
          <w:p>
            <w:pPr>
              <w:jc w:val="center"/>
              <w:ind w:right="77"/>
              <w:spacing w:after="0" w:line="121" w:lineRule="exact"/>
              <w:rPr>
                <w:sz w:val="20"/>
                <w:szCs w:val="20"/>
                <w:color w:val="auto"/>
              </w:rPr>
            </w:pPr>
            <w:r>
              <w:rPr>
                <w:rFonts w:ascii="Arial" w:cs="Arial" w:eastAsia="Arial" w:hAnsi="Arial"/>
                <w:sz w:val="13"/>
                <w:szCs w:val="13"/>
                <w:color w:val="auto"/>
                <w:w w:val="87"/>
              </w:rPr>
              <w:t>Oil and Gas</w:t>
            </w:r>
          </w:p>
        </w:tc>
        <w:tc>
          <w:tcPr>
            <w:tcW w:w="1000" w:type="dxa"/>
            <w:vAlign w:val="bottom"/>
            <w:shd w:val="clear" w:color="auto" w:fill="CCEEFF"/>
          </w:tcPr>
          <w:p>
            <w:pPr>
              <w:jc w:val="right"/>
              <w:ind w:right="157"/>
              <w:spacing w:after="0" w:line="121" w:lineRule="exact"/>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57"/>
              <w:spacing w:after="0" w:line="121"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7"/>
              <w:spacing w:after="0" w:line="121" w:lineRule="exact"/>
              <w:rPr>
                <w:sz w:val="20"/>
                <w:szCs w:val="20"/>
                <w:color w:val="auto"/>
              </w:rPr>
            </w:pPr>
            <w:r>
              <w:rPr>
                <w:rFonts w:ascii="Arial" w:cs="Arial" w:eastAsia="Arial" w:hAnsi="Arial"/>
                <w:sz w:val="13"/>
                <w:szCs w:val="13"/>
                <w:color w:val="auto"/>
              </w:rPr>
              <w:t>119,603</w:t>
            </w: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900" w:type="dxa"/>
            <w:vAlign w:val="bottom"/>
            <w:gridSpan w:val="3"/>
            <w:shd w:val="clear" w:color="auto" w:fill="CCEEFF"/>
          </w:tcPr>
          <w:p>
            <w:pPr>
              <w:jc w:val="right"/>
              <w:ind w:right="260"/>
              <w:spacing w:after="0" w:line="121"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60"/>
              <w:spacing w:after="0" w:line="12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 xml:space="preserve">Management Company LLC) </w:t>
            </w:r>
            <w:r>
              <w:rPr>
                <w:rFonts w:ascii="Arial" w:cs="Arial" w:eastAsia="Arial" w:hAnsi="Arial"/>
                <w:sz w:val="10"/>
                <w:szCs w:val="10"/>
                <w:color w:val="auto"/>
              </w:rPr>
              <w:t>(10)</w:t>
            </w:r>
          </w:p>
        </w:tc>
        <w:tc>
          <w:tcPr>
            <w:tcW w:w="94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00" w:type="dxa"/>
            <w:vAlign w:val="bottom"/>
          </w:tcPr>
          <w:p>
            <w:pPr>
              <w:spacing w:after="0" w:line="135" w:lineRule="exact"/>
              <w:rPr>
                <w:sz w:val="20"/>
                <w:szCs w:val="20"/>
                <w:color w:val="auto"/>
              </w:rPr>
            </w:pPr>
            <w:r>
              <w:rPr>
                <w:rFonts w:ascii="Arial" w:cs="Arial" w:eastAsia="Arial" w:hAnsi="Arial"/>
                <w:sz w:val="13"/>
                <w:szCs w:val="13"/>
                <w:color w:val="auto"/>
              </w:rPr>
              <w:t>New Service Champ Holdings, Inc.</w:t>
            </w:r>
          </w:p>
        </w:tc>
        <w:tc>
          <w:tcPr>
            <w:tcW w:w="940" w:type="dxa"/>
            <w:vAlign w:val="bottom"/>
          </w:tcPr>
          <w:p>
            <w:pPr>
              <w:jc w:val="center"/>
              <w:ind w:right="237"/>
              <w:spacing w:after="0" w:line="135" w:lineRule="exact"/>
              <w:rPr>
                <w:sz w:val="20"/>
                <w:szCs w:val="20"/>
                <w:color w:val="auto"/>
              </w:rPr>
            </w:pPr>
            <w:r>
              <w:rPr>
                <w:rFonts w:ascii="Arial" w:cs="Arial" w:eastAsia="Arial" w:hAnsi="Arial"/>
                <w:sz w:val="13"/>
                <w:szCs w:val="13"/>
                <w:color w:val="auto"/>
                <w:w w:val="91"/>
              </w:rPr>
              <w:t>—</w:t>
            </w:r>
          </w:p>
        </w:tc>
        <w:tc>
          <w:tcPr>
            <w:tcW w:w="2460" w:type="dxa"/>
            <w:vAlign w:val="bottom"/>
          </w:tcPr>
          <w:p>
            <w:pPr>
              <w:jc w:val="center"/>
              <w:ind w:right="77"/>
              <w:spacing w:after="0" w:line="135" w:lineRule="exact"/>
              <w:rPr>
                <w:sz w:val="20"/>
                <w:szCs w:val="20"/>
                <w:color w:val="auto"/>
              </w:rPr>
            </w:pPr>
            <w:r>
              <w:rPr>
                <w:rFonts w:ascii="Arial" w:cs="Arial" w:eastAsia="Arial" w:hAnsi="Arial"/>
                <w:sz w:val="13"/>
                <w:szCs w:val="13"/>
                <w:color w:val="auto"/>
                <w:w w:val="88"/>
              </w:rPr>
              <w:t>Auto Sector</w:t>
            </w:r>
          </w:p>
        </w:tc>
        <w:tc>
          <w:tcPr>
            <w:tcW w:w="10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16,800</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2,721,600</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6,989,362</w:t>
            </w:r>
          </w:p>
        </w:tc>
        <w:tc>
          <w:tcPr>
            <w:tcW w:w="0" w:type="dxa"/>
            <w:vAlign w:val="bottom"/>
          </w:tcPr>
          <w:p>
            <w:pPr>
              <w:spacing w:after="0"/>
              <w:rPr>
                <w:sz w:val="1"/>
                <w:szCs w:val="1"/>
                <w:color w:val="auto"/>
              </w:rPr>
            </w:pPr>
          </w:p>
        </w:tc>
      </w:tr>
      <w:tr>
        <w:trPr>
          <w:trHeight w:val="135"/>
        </w:trPr>
        <w:tc>
          <w:tcPr>
            <w:tcW w:w="33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PAS International Holdings, Inc.</w:t>
            </w:r>
          </w:p>
        </w:tc>
        <w:tc>
          <w:tcPr>
            <w:tcW w:w="940" w:type="dxa"/>
            <w:vAlign w:val="bottom"/>
            <w:shd w:val="clear" w:color="auto" w:fill="CCEEFF"/>
          </w:tcPr>
          <w:p>
            <w:pPr>
              <w:jc w:val="center"/>
              <w:ind w:right="237"/>
              <w:spacing w:after="0" w:line="135" w:lineRule="exact"/>
              <w:rPr>
                <w:sz w:val="20"/>
                <w:szCs w:val="20"/>
                <w:color w:val="auto"/>
              </w:rPr>
            </w:pPr>
            <w:r>
              <w:rPr>
                <w:rFonts w:ascii="Arial" w:cs="Arial" w:eastAsia="Arial" w:hAnsi="Arial"/>
                <w:sz w:val="13"/>
                <w:szCs w:val="13"/>
                <w:color w:val="auto"/>
                <w:w w:val="91"/>
              </w:rPr>
              <w:t>—</w:t>
            </w:r>
          </w:p>
        </w:tc>
        <w:tc>
          <w:tcPr>
            <w:tcW w:w="2460" w:type="dxa"/>
            <w:vAlign w:val="bottom"/>
            <w:shd w:val="clear" w:color="auto" w:fill="CCEEFF"/>
          </w:tcPr>
          <w:p>
            <w:pPr>
              <w:jc w:val="center"/>
              <w:ind w:right="97"/>
              <w:spacing w:after="0" w:line="135" w:lineRule="exact"/>
              <w:rPr>
                <w:sz w:val="20"/>
                <w:szCs w:val="20"/>
                <w:color w:val="auto"/>
              </w:rPr>
            </w:pPr>
            <w:r>
              <w:rPr>
                <w:rFonts w:ascii="Arial" w:cs="Arial" w:eastAsia="Arial" w:hAnsi="Arial"/>
                <w:sz w:val="13"/>
                <w:szCs w:val="13"/>
                <w:color w:val="auto"/>
                <w:w w:val="84"/>
              </w:rPr>
              <w:t>Aerospace and Defense</w:t>
            </w:r>
          </w:p>
        </w:tc>
        <w:tc>
          <w:tcPr>
            <w:tcW w:w="1000" w:type="dxa"/>
            <w:vAlign w:val="bottom"/>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53,071</w:t>
            </w: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202,620</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2"/>
        </w:trPr>
        <w:tc>
          <w:tcPr>
            <w:tcW w:w="3300" w:type="dxa"/>
            <w:vAlign w:val="bottom"/>
          </w:tcPr>
          <w:p>
            <w:pPr>
              <w:spacing w:after="0" w:line="135" w:lineRule="exact"/>
              <w:rPr>
                <w:sz w:val="20"/>
                <w:szCs w:val="20"/>
                <w:color w:val="auto"/>
              </w:rPr>
            </w:pPr>
            <w:r>
              <w:rPr>
                <w:rFonts w:ascii="Arial" w:cs="Arial" w:eastAsia="Arial" w:hAnsi="Arial"/>
                <w:sz w:val="13"/>
                <w:szCs w:val="13"/>
                <w:color w:val="auto"/>
              </w:rPr>
              <w:t>TRAK Acquisition Corp.</w:t>
            </w:r>
          </w:p>
        </w:tc>
        <w:tc>
          <w:tcPr>
            <w:tcW w:w="940" w:type="dxa"/>
            <w:vAlign w:val="bottom"/>
          </w:tcPr>
          <w:p>
            <w:pPr>
              <w:jc w:val="center"/>
              <w:ind w:right="237"/>
              <w:spacing w:after="0" w:line="135" w:lineRule="exact"/>
              <w:rPr>
                <w:sz w:val="20"/>
                <w:szCs w:val="20"/>
                <w:color w:val="auto"/>
              </w:rPr>
            </w:pPr>
            <w:r>
              <w:rPr>
                <w:rFonts w:ascii="Arial" w:cs="Arial" w:eastAsia="Arial" w:hAnsi="Arial"/>
                <w:sz w:val="13"/>
                <w:szCs w:val="13"/>
                <w:color w:val="auto"/>
                <w:w w:val="91"/>
              </w:rPr>
              <w:t>—</w:t>
            </w:r>
          </w:p>
        </w:tc>
        <w:tc>
          <w:tcPr>
            <w:tcW w:w="2460" w:type="dxa"/>
            <w:vAlign w:val="bottom"/>
          </w:tcPr>
          <w:p>
            <w:pPr>
              <w:jc w:val="center"/>
              <w:ind w:right="97"/>
              <w:spacing w:after="0" w:line="135" w:lineRule="exact"/>
              <w:rPr>
                <w:sz w:val="20"/>
                <w:szCs w:val="20"/>
                <w:color w:val="auto"/>
              </w:rPr>
            </w:pPr>
            <w:r>
              <w:rPr>
                <w:rFonts w:ascii="Arial" w:cs="Arial" w:eastAsia="Arial" w:hAnsi="Arial"/>
                <w:sz w:val="13"/>
                <w:szCs w:val="13"/>
                <w:color w:val="auto"/>
                <w:w w:val="84"/>
              </w:rPr>
              <w:t>Business Services</w:t>
            </w:r>
          </w:p>
        </w:tc>
        <w:tc>
          <w:tcPr>
            <w:tcW w:w="100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940" w:type="dxa"/>
            <w:vAlign w:val="bottom"/>
          </w:tcPr>
          <w:p>
            <w:pPr>
              <w:jc w:val="right"/>
              <w:ind w:right="57"/>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491,755</w:t>
            </w:r>
          </w:p>
        </w:tc>
        <w:tc>
          <w:tcPr>
            <w:tcW w:w="10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188,837</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2,595,099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Common Equity/Partnership Interests/Warrants</w:t>
            </w:r>
          </w:p>
        </w:tc>
        <w:tc>
          <w:tcPr>
            <w:tcW w:w="940" w:type="dxa"/>
            <w:vAlign w:val="bottom"/>
            <w:shd w:val="clear" w:color="auto" w:fill="CCEEFF"/>
          </w:tcPr>
          <w:p>
            <w:pPr>
              <w:spacing w:after="0"/>
              <w:rPr>
                <w:sz w:val="11"/>
                <w:szCs w:val="11"/>
                <w:color w:val="auto"/>
              </w:rPr>
            </w:pPr>
          </w:p>
        </w:tc>
        <w:tc>
          <w:tcPr>
            <w:tcW w:w="24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w w:val="95"/>
              </w:rPr>
              <w:t>78,461,046</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w w:val="95"/>
              </w:rPr>
              <w:t>57,316,420</w:t>
            </w:r>
          </w:p>
        </w:tc>
        <w:tc>
          <w:tcPr>
            <w:tcW w:w="0" w:type="dxa"/>
            <w:vAlign w:val="bottom"/>
          </w:tcPr>
          <w:p>
            <w:pPr>
              <w:spacing w:after="0"/>
              <w:rPr>
                <w:sz w:val="1"/>
                <w:szCs w:val="1"/>
                <w:color w:val="auto"/>
              </w:rPr>
            </w:pPr>
          </w:p>
        </w:tc>
      </w:tr>
      <w:tr>
        <w:trPr>
          <w:trHeight w:val="142"/>
        </w:trPr>
        <w:tc>
          <w:tcPr>
            <w:tcW w:w="4240" w:type="dxa"/>
            <w:vAlign w:val="bottom"/>
            <w:gridSpan w:val="2"/>
          </w:tcPr>
          <w:p>
            <w:pPr>
              <w:spacing w:after="0" w:line="142" w:lineRule="exact"/>
              <w:rPr>
                <w:sz w:val="20"/>
                <w:szCs w:val="20"/>
                <w:color w:val="auto"/>
              </w:rPr>
            </w:pPr>
            <w:r>
              <w:rPr>
                <w:rFonts w:ascii="Arial" w:cs="Arial" w:eastAsia="Arial" w:hAnsi="Arial"/>
                <w:sz w:val="13"/>
                <w:szCs w:val="13"/>
                <w:b w:val="1"/>
                <w:bCs w:val="1"/>
                <w:color w:val="auto"/>
              </w:rPr>
              <w:t>Total Investments in Non-Controlled, Affiliated Portfolio Companies</w:t>
            </w:r>
          </w:p>
        </w:tc>
        <w:tc>
          <w:tcPr>
            <w:tcW w:w="2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262,476,906</w:t>
            </w:r>
          </w:p>
        </w:tc>
        <w:tc>
          <w:tcPr>
            <w:tcW w:w="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5"/>
              </w:rPr>
              <w:t>215,192,547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240"/>
          </w:cols>
          <w:pgMar w:left="32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rPr>
          <w:sz w:val="20"/>
          <w:szCs w:val="20"/>
          <w:color w:val="auto"/>
        </w:rPr>
      </w:pPr>
      <w:r>
        <w:rPr>
          <w:rFonts w:ascii="Arial" w:cs="Arial" w:eastAsia="Arial" w:hAnsi="Arial"/>
          <w:sz w:val="14"/>
          <w:szCs w:val="14"/>
          <w:b w:val="1"/>
          <w:bCs w:val="1"/>
          <w:color w:val="auto"/>
        </w:rPr>
        <w:t>SEPTEMBER 30, 2016</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00" w:type="dxa"/>
            <w:vAlign w:val="bottom"/>
          </w:tcPr>
          <w:p>
            <w:pPr>
              <w:spacing w:after="0"/>
              <w:rPr>
                <w:sz w:val="13"/>
                <w:szCs w:val="13"/>
                <w:color w:val="auto"/>
              </w:rPr>
            </w:pPr>
          </w:p>
        </w:tc>
        <w:tc>
          <w:tcPr>
            <w:tcW w:w="12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Maturity /</w:t>
            </w:r>
          </w:p>
        </w:tc>
        <w:tc>
          <w:tcPr>
            <w:tcW w:w="2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4"/>
              </w:rPr>
              <w:t>Basis Point</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3100" w:type="dxa"/>
            <w:vAlign w:val="bottom"/>
          </w:tcPr>
          <w:p>
            <w:pPr>
              <w:spacing w:after="0"/>
              <w:rPr>
                <w:sz w:val="10"/>
                <w:szCs w:val="10"/>
                <w:color w:val="auto"/>
              </w:rPr>
            </w:pPr>
          </w:p>
        </w:tc>
        <w:tc>
          <w:tcPr>
            <w:tcW w:w="1220" w:type="dxa"/>
            <w:vAlign w:val="bottom"/>
            <w:vMerge w:val="continue"/>
          </w:tcPr>
          <w:p>
            <w:pPr>
              <w:spacing w:after="0"/>
              <w:rPr>
                <w:sz w:val="10"/>
                <w:szCs w:val="10"/>
                <w:color w:val="auto"/>
              </w:rPr>
            </w:pPr>
          </w:p>
        </w:tc>
        <w:tc>
          <w:tcPr>
            <w:tcW w:w="2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gridSpan w:val="2"/>
          </w:tcPr>
          <w:p>
            <w:pPr>
              <w:jc w:val="right"/>
              <w:ind w:right="380"/>
              <w:spacing w:after="0" w:line="126" w:lineRule="exact"/>
              <w:rPr>
                <w:sz w:val="20"/>
                <w:szCs w:val="20"/>
                <w:color w:val="auto"/>
              </w:rPr>
            </w:pPr>
            <w:r>
              <w:rPr>
                <w:rFonts w:ascii="Arial" w:cs="Arial" w:eastAsia="Arial" w:hAnsi="Arial"/>
                <w:sz w:val="13"/>
                <w:szCs w:val="13"/>
                <w:b w:val="1"/>
                <w:bCs w:val="1"/>
                <w:color w:val="auto"/>
              </w:rPr>
              <w:t>Current</w:t>
            </w:r>
          </w:p>
        </w:tc>
        <w:tc>
          <w:tcPr>
            <w:tcW w:w="920" w:type="dxa"/>
            <w:vAlign w:val="bottom"/>
            <w:gridSpan w:val="2"/>
          </w:tcPr>
          <w:p>
            <w:pPr>
              <w:jc w:val="center"/>
              <w:ind w:right="180"/>
              <w:spacing w:after="0" w:line="126" w:lineRule="exact"/>
              <w:rPr>
                <w:sz w:val="20"/>
                <w:szCs w:val="20"/>
                <w:color w:val="auto"/>
              </w:rPr>
            </w:pPr>
            <w:r>
              <w:rPr>
                <w:rFonts w:ascii="Arial" w:cs="Arial" w:eastAsia="Arial" w:hAnsi="Arial"/>
                <w:sz w:val="13"/>
                <w:szCs w:val="13"/>
                <w:b w:val="1"/>
                <w:bCs w:val="1"/>
                <w:color w:val="auto"/>
                <w:w w:val="84"/>
              </w:rPr>
              <w:t>Spread Above</w:t>
            </w:r>
          </w:p>
        </w:tc>
        <w:tc>
          <w:tcPr>
            <w:tcW w:w="700" w:type="dxa"/>
            <w:vAlign w:val="bottom"/>
            <w:gridSpan w:val="2"/>
          </w:tcPr>
          <w:p>
            <w:pPr>
              <w:jc w:val="center"/>
              <w:ind w:right="80"/>
              <w:spacing w:after="0" w:line="126" w:lineRule="exact"/>
              <w:rPr>
                <w:sz w:val="20"/>
                <w:szCs w:val="20"/>
                <w:color w:val="auto"/>
              </w:rPr>
            </w:pPr>
            <w:r>
              <w:rPr>
                <w:rFonts w:ascii="Arial" w:cs="Arial" w:eastAsia="Arial" w:hAnsi="Arial"/>
                <w:sz w:val="13"/>
                <w:szCs w:val="13"/>
                <w:b w:val="1"/>
                <w:bCs w:val="1"/>
                <w:color w:val="auto"/>
                <w:w w:val="92"/>
              </w:rPr>
              <w:t>Par /</w:t>
            </w: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3100" w:type="dxa"/>
            <w:vAlign w:val="bottom"/>
          </w:tcPr>
          <w:p>
            <w:pPr>
              <w:spacing w:after="0"/>
              <w:rPr>
                <w:sz w:val="20"/>
                <w:szCs w:val="20"/>
                <w:color w:val="auto"/>
              </w:rPr>
            </w:pPr>
            <w:r>
              <w:rPr>
                <w:rFonts w:ascii="Arial" w:cs="Arial" w:eastAsia="Arial" w:hAnsi="Arial"/>
                <w:sz w:val="13"/>
                <w:szCs w:val="13"/>
                <w:b w:val="1"/>
                <w:bCs w:val="1"/>
                <w:color w:val="auto"/>
              </w:rPr>
              <w:t>Issuer Name</w:t>
            </w:r>
          </w:p>
        </w:tc>
        <w:tc>
          <w:tcPr>
            <w:tcW w:w="1220" w:type="dxa"/>
            <w:vAlign w:val="bottom"/>
          </w:tcPr>
          <w:p>
            <w:pPr>
              <w:spacing w:after="0"/>
              <w:rPr>
                <w:sz w:val="20"/>
                <w:szCs w:val="20"/>
                <w:color w:val="auto"/>
              </w:rPr>
            </w:pPr>
            <w:r>
              <w:rPr>
                <w:rFonts w:ascii="Arial" w:cs="Arial" w:eastAsia="Arial" w:hAnsi="Arial"/>
                <w:sz w:val="13"/>
                <w:szCs w:val="13"/>
                <w:b w:val="1"/>
                <w:bCs w:val="1"/>
                <w:color w:val="auto"/>
              </w:rPr>
              <w:t>Expiration</w:t>
            </w:r>
          </w:p>
        </w:tc>
        <w:tc>
          <w:tcPr>
            <w:tcW w:w="2460" w:type="dxa"/>
            <w:vAlign w:val="bottom"/>
            <w:gridSpan w:val="2"/>
          </w:tcPr>
          <w:p>
            <w:pPr>
              <w:jc w:val="center"/>
              <w:ind w:right="620"/>
              <w:spacing w:after="0"/>
              <w:rPr>
                <w:sz w:val="20"/>
                <w:szCs w:val="20"/>
                <w:color w:val="auto"/>
              </w:rPr>
            </w:pPr>
            <w:r>
              <w:rPr>
                <w:rFonts w:ascii="Arial" w:cs="Arial" w:eastAsia="Arial" w:hAnsi="Arial"/>
                <w:sz w:val="13"/>
                <w:szCs w:val="13"/>
                <w:b w:val="1"/>
                <w:bCs w:val="1"/>
                <w:color w:val="auto"/>
                <w:w w:val="93"/>
              </w:rPr>
              <w:t>Industry</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Coupon</w:t>
            </w:r>
          </w:p>
        </w:tc>
        <w:tc>
          <w:tcPr>
            <w:tcW w:w="9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2"/>
              </w:rPr>
              <w:t xml:space="preserve">Index </w:t>
            </w:r>
            <w:r>
              <w:rPr>
                <w:rFonts w:ascii="Arial" w:cs="Arial" w:eastAsia="Arial" w:hAnsi="Arial"/>
                <w:sz w:val="10"/>
                <w:szCs w:val="10"/>
                <w:b w:val="1"/>
                <w:bCs w:val="1"/>
                <w:color w:val="auto"/>
                <w:w w:val="92"/>
              </w:rPr>
              <w:t>(4)</w:t>
            </w:r>
          </w:p>
        </w:tc>
        <w:tc>
          <w:tcPr>
            <w:tcW w:w="70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2"/>
              </w:rPr>
              <w:t>Shares</w:t>
            </w:r>
          </w:p>
        </w:tc>
        <w:tc>
          <w:tcPr>
            <w:tcW w:w="160" w:type="dxa"/>
            <w:vAlign w:val="bottom"/>
          </w:tcPr>
          <w:p>
            <w:pPr>
              <w:spacing w:after="0"/>
              <w:rPr>
                <w:sz w:val="14"/>
                <w:szCs w:val="14"/>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4"/>
                <w:szCs w:val="14"/>
                <w:color w:val="auto"/>
              </w:rPr>
            </w:pPr>
          </w:p>
        </w:tc>
        <w:tc>
          <w:tcPr>
            <w:tcW w:w="880" w:type="dxa"/>
            <w:vAlign w:val="bottom"/>
            <w:gridSpan w:val="3"/>
          </w:tcPr>
          <w:p>
            <w:pPr>
              <w:ind w:left="4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10"/>
                <w:szCs w:val="10"/>
                <w:b w:val="1"/>
                <w:bCs w:val="1"/>
                <w:color w:val="auto"/>
              </w:rPr>
              <w:t>(3)</w:t>
            </w:r>
          </w:p>
        </w:tc>
        <w:tc>
          <w:tcPr>
            <w:tcW w:w="0" w:type="dxa"/>
            <w:vAlign w:val="bottom"/>
          </w:tcPr>
          <w:p>
            <w:pPr>
              <w:spacing w:after="0"/>
              <w:rPr>
                <w:sz w:val="1"/>
                <w:szCs w:val="1"/>
                <w:color w:val="auto"/>
              </w:rPr>
            </w:pPr>
          </w:p>
        </w:tc>
      </w:tr>
      <w:tr>
        <w:trPr>
          <w:trHeight w:val="128"/>
        </w:trPr>
        <w:tc>
          <w:tcPr>
            <w:tcW w:w="4320" w:type="dxa"/>
            <w:vAlign w:val="bottom"/>
            <w:tcBorders>
              <w:top w:val="single" w:sz="8" w:color="auto"/>
            </w:tcBorders>
            <w:gridSpan w:val="2"/>
            <w:shd w:val="clear" w:color="auto" w:fill="CCEEFF"/>
          </w:tcPr>
          <w:p>
            <w:pPr>
              <w:spacing w:after="0" w:line="129" w:lineRule="exact"/>
              <w:rPr>
                <w:sz w:val="20"/>
                <w:szCs w:val="20"/>
                <w:color w:val="auto"/>
              </w:rPr>
            </w:pPr>
            <w:r>
              <w:rPr>
                <w:rFonts w:ascii="Arial" w:cs="Arial" w:eastAsia="Arial" w:hAnsi="Arial"/>
                <w:sz w:val="13"/>
                <w:szCs w:val="13"/>
                <w:b w:val="1"/>
                <w:bCs w:val="1"/>
                <w:color w:val="auto"/>
                <w:w w:val="98"/>
              </w:rPr>
              <w:t xml:space="preserve">Investments in Controlled, Affiliated Portfolio Companies—19.4% </w:t>
            </w:r>
            <w:r>
              <w:rPr>
                <w:rFonts w:ascii="Arial" w:cs="Arial" w:eastAsia="Arial" w:hAnsi="Arial"/>
                <w:sz w:val="10"/>
                <w:szCs w:val="10"/>
                <w:b w:val="1"/>
                <w:bCs w:val="1"/>
                <w:color w:val="auto"/>
                <w:w w:val="98"/>
              </w:rPr>
              <w:t>(1), (2)</w:t>
            </w:r>
          </w:p>
        </w:tc>
        <w:tc>
          <w:tcPr>
            <w:tcW w:w="23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right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Arial" w:cs="Arial" w:eastAsia="Arial" w:hAnsi="Arial"/>
                <w:sz w:val="13"/>
                <w:szCs w:val="13"/>
                <w:b w:val="1"/>
                <w:bCs w:val="1"/>
                <w:color w:val="auto"/>
              </w:rPr>
              <w:t>First Lien Secured Debt—14.7%</w:t>
            </w:r>
          </w:p>
        </w:tc>
        <w:tc>
          <w:tcPr>
            <w:tcW w:w="1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1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RAM Energy LLC</w:t>
            </w:r>
          </w:p>
        </w:tc>
        <w:tc>
          <w:tcPr>
            <w:tcW w:w="1220" w:type="dxa"/>
            <w:vAlign w:val="bottom"/>
            <w:shd w:val="clear" w:color="auto" w:fill="CCEEFF"/>
          </w:tcPr>
          <w:p>
            <w:pPr>
              <w:jc w:val="center"/>
              <w:ind w:right="577"/>
              <w:spacing w:after="0" w:line="121" w:lineRule="exact"/>
              <w:rPr>
                <w:sz w:val="20"/>
                <w:szCs w:val="20"/>
                <w:color w:val="auto"/>
              </w:rPr>
            </w:pPr>
            <w:r>
              <w:rPr>
                <w:rFonts w:ascii="Arial" w:cs="Arial" w:eastAsia="Arial" w:hAnsi="Arial"/>
                <w:sz w:val="13"/>
                <w:szCs w:val="13"/>
                <w:color w:val="auto"/>
                <w:w w:val="89"/>
              </w:rPr>
              <w:t>07/18/2019</w:t>
            </w:r>
          </w:p>
        </w:tc>
        <w:tc>
          <w:tcPr>
            <w:tcW w:w="2460" w:type="dxa"/>
            <w:vAlign w:val="bottom"/>
            <w:gridSpan w:val="2"/>
            <w:shd w:val="clear" w:color="auto" w:fill="CCEEFF"/>
          </w:tcPr>
          <w:p>
            <w:pPr>
              <w:jc w:val="center"/>
              <w:ind w:right="620"/>
              <w:spacing w:after="0" w:line="121" w:lineRule="exact"/>
              <w:rPr>
                <w:sz w:val="20"/>
                <w:szCs w:val="20"/>
                <w:color w:val="auto"/>
              </w:rPr>
            </w:pPr>
            <w:r>
              <w:rPr>
                <w:rFonts w:ascii="Arial" w:cs="Arial" w:eastAsia="Arial" w:hAnsi="Arial"/>
                <w:sz w:val="13"/>
                <w:szCs w:val="13"/>
                <w:color w:val="auto"/>
                <w:w w:val="89"/>
              </w:rPr>
              <w:t>Energy and Utilities</w:t>
            </w:r>
          </w:p>
        </w:tc>
        <w:tc>
          <w:tcPr>
            <w:tcW w:w="90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10.00%</w:t>
            </w:r>
          </w:p>
        </w:tc>
        <w:tc>
          <w:tcPr>
            <w:tcW w:w="92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L+800</w:t>
            </w:r>
          </w:p>
        </w:tc>
        <w:tc>
          <w:tcPr>
            <w:tcW w:w="70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w w:val="92"/>
              </w:rPr>
              <w:t>84,606,067</w:t>
            </w:r>
          </w:p>
        </w:tc>
        <w:tc>
          <w:tcPr>
            <w:tcW w:w="160" w:type="dxa"/>
            <w:vAlign w:val="bottom"/>
            <w:tcBorders>
              <w:right w:val="single" w:sz="8" w:color="CCEEFF"/>
            </w:tcBorders>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3"/>
                <w:szCs w:val="13"/>
                <w:color w:val="auto"/>
              </w:rPr>
              <w:t>83,653,689</w:t>
            </w:r>
          </w:p>
        </w:tc>
        <w:tc>
          <w:tcPr>
            <w:tcW w:w="160" w:type="dxa"/>
            <w:vAlign w:val="bottom"/>
            <w:gridSpan w:val="2"/>
            <w:shd w:val="clear" w:color="auto" w:fill="CCEEFF"/>
          </w:tcPr>
          <w:p>
            <w:pPr>
              <w:jc w:val="right"/>
              <w:spacing w:after="0" w:line="121"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68,319,399</w:t>
            </w:r>
          </w:p>
        </w:tc>
        <w:tc>
          <w:tcPr>
            <w:tcW w:w="0" w:type="dxa"/>
            <w:vAlign w:val="bottom"/>
          </w:tcPr>
          <w:p>
            <w:pPr>
              <w:spacing w:after="0"/>
              <w:rPr>
                <w:sz w:val="1"/>
                <w:szCs w:val="1"/>
                <w:color w:val="auto"/>
              </w:rPr>
            </w:pPr>
          </w:p>
        </w:tc>
      </w:tr>
      <w:tr>
        <w:trPr>
          <w:trHeight w:val="163"/>
        </w:trPr>
        <w:tc>
          <w:tcPr>
            <w:tcW w:w="3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5"/>
              </w:rPr>
              <w:t>(PIK 10.00%)</w:t>
            </w: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100" w:type="dxa"/>
            <w:vAlign w:val="bottom"/>
          </w:tcPr>
          <w:p>
            <w:pPr>
              <w:spacing w:after="0" w:line="121" w:lineRule="exact"/>
              <w:rPr>
                <w:sz w:val="20"/>
                <w:szCs w:val="20"/>
                <w:color w:val="auto"/>
              </w:rPr>
            </w:pPr>
            <w:r>
              <w:rPr>
                <w:rFonts w:ascii="Arial" w:cs="Arial" w:eastAsia="Arial" w:hAnsi="Arial"/>
                <w:sz w:val="13"/>
                <w:szCs w:val="13"/>
                <w:color w:val="auto"/>
              </w:rPr>
              <w:t>Superior Digital Displays, LLC</w:t>
            </w:r>
          </w:p>
        </w:tc>
        <w:tc>
          <w:tcPr>
            <w:tcW w:w="1220" w:type="dxa"/>
            <w:vAlign w:val="bottom"/>
          </w:tcPr>
          <w:p>
            <w:pPr>
              <w:jc w:val="center"/>
              <w:ind w:right="577"/>
              <w:spacing w:after="0" w:line="121" w:lineRule="exact"/>
              <w:rPr>
                <w:sz w:val="20"/>
                <w:szCs w:val="20"/>
                <w:color w:val="auto"/>
              </w:rPr>
            </w:pPr>
            <w:r>
              <w:rPr>
                <w:rFonts w:ascii="Arial" w:cs="Arial" w:eastAsia="Arial" w:hAnsi="Arial"/>
                <w:sz w:val="13"/>
                <w:szCs w:val="13"/>
                <w:color w:val="auto"/>
                <w:w w:val="89"/>
              </w:rPr>
              <w:t>12/31/2018</w:t>
            </w:r>
          </w:p>
        </w:tc>
        <w:tc>
          <w:tcPr>
            <w:tcW w:w="2460" w:type="dxa"/>
            <w:vAlign w:val="bottom"/>
            <w:gridSpan w:val="2"/>
          </w:tcPr>
          <w:p>
            <w:pPr>
              <w:jc w:val="center"/>
              <w:ind w:right="620"/>
              <w:spacing w:after="0" w:line="121" w:lineRule="exact"/>
              <w:rPr>
                <w:sz w:val="20"/>
                <w:szCs w:val="20"/>
                <w:color w:val="auto"/>
              </w:rPr>
            </w:pPr>
            <w:r>
              <w:rPr>
                <w:rFonts w:ascii="Arial" w:cs="Arial" w:eastAsia="Arial" w:hAnsi="Arial"/>
                <w:sz w:val="13"/>
                <w:szCs w:val="13"/>
                <w:color w:val="auto"/>
                <w:w w:val="90"/>
              </w:rPr>
              <w:t>Media</w:t>
            </w:r>
          </w:p>
        </w:tc>
        <w:tc>
          <w:tcPr>
            <w:tcW w:w="900" w:type="dxa"/>
            <w:vAlign w:val="bottom"/>
            <w:gridSpan w:val="2"/>
          </w:tcPr>
          <w:p>
            <w:pPr>
              <w:jc w:val="right"/>
              <w:ind w:right="180"/>
              <w:spacing w:after="0" w:line="121" w:lineRule="exact"/>
              <w:rPr>
                <w:sz w:val="20"/>
                <w:szCs w:val="20"/>
                <w:color w:val="auto"/>
              </w:rPr>
            </w:pPr>
            <w:r>
              <w:rPr>
                <w:rFonts w:ascii="Arial" w:cs="Arial" w:eastAsia="Arial" w:hAnsi="Arial"/>
                <w:sz w:val="13"/>
                <w:szCs w:val="13"/>
                <w:color w:val="auto"/>
              </w:rPr>
              <w:t>14.00%</w:t>
            </w:r>
          </w:p>
        </w:tc>
        <w:tc>
          <w:tcPr>
            <w:tcW w:w="920" w:type="dxa"/>
            <w:vAlign w:val="bottom"/>
            <w:gridSpan w:val="2"/>
          </w:tcPr>
          <w:p>
            <w:pPr>
              <w:jc w:val="right"/>
              <w:ind w:right="160"/>
              <w:spacing w:after="0" w:line="121" w:lineRule="exact"/>
              <w:rPr>
                <w:sz w:val="20"/>
                <w:szCs w:val="20"/>
                <w:color w:val="auto"/>
              </w:rPr>
            </w:pPr>
            <w:r>
              <w:rPr>
                <w:rFonts w:ascii="Arial" w:cs="Arial" w:eastAsia="Arial" w:hAnsi="Arial"/>
                <w:sz w:val="13"/>
                <w:szCs w:val="13"/>
                <w:color w:val="auto"/>
              </w:rPr>
              <w:t>L+1,300</w:t>
            </w:r>
          </w:p>
        </w:tc>
        <w:tc>
          <w:tcPr>
            <w:tcW w:w="7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w w:val="92"/>
              </w:rPr>
              <w:t>26,516,321</w:t>
            </w:r>
          </w:p>
        </w:tc>
        <w:tc>
          <w:tcPr>
            <w:tcW w:w="160" w:type="dxa"/>
            <w:vAlign w:val="bottom"/>
          </w:tcPr>
          <w:p>
            <w:pPr>
              <w:spacing w:after="0"/>
              <w:rPr>
                <w:sz w:val="10"/>
                <w:szCs w:val="10"/>
                <w:color w:val="auto"/>
              </w:rPr>
            </w:pPr>
          </w:p>
        </w:tc>
        <w:tc>
          <w:tcPr>
            <w:tcW w:w="820" w:type="dxa"/>
            <w:vAlign w:val="bottom"/>
            <w:gridSpan w:val="2"/>
          </w:tcPr>
          <w:p>
            <w:pPr>
              <w:jc w:val="right"/>
              <w:ind w:right="100"/>
              <w:spacing w:after="0" w:line="121" w:lineRule="exact"/>
              <w:rPr>
                <w:sz w:val="20"/>
                <w:szCs w:val="20"/>
                <w:color w:val="auto"/>
              </w:rPr>
            </w:pPr>
            <w:r>
              <w:rPr>
                <w:rFonts w:ascii="Arial" w:cs="Arial" w:eastAsia="Arial" w:hAnsi="Arial"/>
                <w:sz w:val="13"/>
                <w:szCs w:val="13"/>
                <w:color w:val="auto"/>
              </w:rPr>
              <w:t>24,845,647</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gridSpan w:val="2"/>
          </w:tcPr>
          <w:p>
            <w:pPr>
              <w:jc w:val="right"/>
              <w:ind w:right="80"/>
              <w:spacing w:after="0" w:line="121" w:lineRule="exact"/>
              <w:rPr>
                <w:sz w:val="20"/>
                <w:szCs w:val="20"/>
                <w:color w:val="auto"/>
              </w:rPr>
            </w:pPr>
            <w:r>
              <w:rPr>
                <w:rFonts w:ascii="Arial" w:cs="Arial" w:eastAsia="Arial" w:hAnsi="Arial"/>
                <w:sz w:val="13"/>
                <w:szCs w:val="13"/>
                <w:color w:val="auto"/>
              </w:rPr>
              <w:t>26,516,321</w:t>
            </w:r>
          </w:p>
        </w:tc>
        <w:tc>
          <w:tcPr>
            <w:tcW w:w="0" w:type="dxa"/>
            <w:vAlign w:val="bottom"/>
          </w:tcPr>
          <w:p>
            <w:pPr>
              <w:spacing w:after="0"/>
              <w:rPr>
                <w:sz w:val="1"/>
                <w:szCs w:val="1"/>
                <w:color w:val="auto"/>
              </w:rPr>
            </w:pPr>
          </w:p>
        </w:tc>
      </w:tr>
      <w:tr>
        <w:trPr>
          <w:trHeight w:val="170"/>
        </w:trPr>
        <w:tc>
          <w:tcPr>
            <w:tcW w:w="3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3"/>
                <w:szCs w:val="13"/>
                <w:color w:val="auto"/>
                <w:w w:val="95"/>
              </w:rPr>
              <w:t>(PIK 14.00%)</w:t>
            </w: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First Lien Secured Debt</w:t>
            </w:r>
          </w:p>
        </w:tc>
        <w:tc>
          <w:tcPr>
            <w:tcW w:w="122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6"/>
              </w:rPr>
              <w:t>108,499,336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94,835,720</w:t>
            </w:r>
          </w:p>
        </w:tc>
        <w:tc>
          <w:tcPr>
            <w:tcW w:w="0" w:type="dxa"/>
            <w:vAlign w:val="bottom"/>
          </w:tcPr>
          <w:p>
            <w:pPr>
              <w:spacing w:after="0"/>
              <w:rPr>
                <w:sz w:val="1"/>
                <w:szCs w:val="1"/>
                <w:color w:val="auto"/>
              </w:rPr>
            </w:pPr>
          </w:p>
        </w:tc>
      </w:tr>
      <w:tr>
        <w:trPr>
          <w:trHeight w:val="142"/>
        </w:trPr>
        <w:tc>
          <w:tcPr>
            <w:tcW w:w="3100" w:type="dxa"/>
            <w:vAlign w:val="bottom"/>
          </w:tcPr>
          <w:p>
            <w:pPr>
              <w:spacing w:after="0" w:line="142" w:lineRule="exact"/>
              <w:rPr>
                <w:sz w:val="20"/>
                <w:szCs w:val="20"/>
                <w:color w:val="auto"/>
              </w:rPr>
            </w:pPr>
            <w:r>
              <w:rPr>
                <w:rFonts w:ascii="Arial" w:cs="Arial" w:eastAsia="Arial" w:hAnsi="Arial"/>
                <w:sz w:val="13"/>
                <w:szCs w:val="13"/>
                <w:b w:val="1"/>
                <w:bCs w:val="1"/>
                <w:color w:val="auto"/>
              </w:rPr>
              <w:t>Second Lien Secured Debt—1.2%</w:t>
            </w:r>
          </w:p>
        </w:tc>
        <w:tc>
          <w:tcPr>
            <w:tcW w:w="12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1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Superior Digital Displays, LLC</w:t>
            </w:r>
          </w:p>
        </w:tc>
        <w:tc>
          <w:tcPr>
            <w:tcW w:w="1220" w:type="dxa"/>
            <w:vAlign w:val="bottom"/>
            <w:shd w:val="clear" w:color="auto" w:fill="CCEEFF"/>
          </w:tcPr>
          <w:p>
            <w:pPr>
              <w:jc w:val="center"/>
              <w:ind w:right="577"/>
              <w:spacing w:after="0" w:line="121" w:lineRule="exact"/>
              <w:rPr>
                <w:sz w:val="20"/>
                <w:szCs w:val="20"/>
                <w:color w:val="auto"/>
              </w:rPr>
            </w:pPr>
            <w:r>
              <w:rPr>
                <w:rFonts w:ascii="Arial" w:cs="Arial" w:eastAsia="Arial" w:hAnsi="Arial"/>
                <w:sz w:val="13"/>
                <w:szCs w:val="13"/>
                <w:color w:val="auto"/>
                <w:w w:val="89"/>
              </w:rPr>
              <w:t>07/01/2019</w:t>
            </w:r>
          </w:p>
        </w:tc>
        <w:tc>
          <w:tcPr>
            <w:tcW w:w="2460" w:type="dxa"/>
            <w:vAlign w:val="bottom"/>
            <w:gridSpan w:val="2"/>
            <w:shd w:val="clear" w:color="auto" w:fill="CCEEFF"/>
          </w:tcPr>
          <w:p>
            <w:pPr>
              <w:jc w:val="center"/>
              <w:ind w:right="620"/>
              <w:spacing w:after="0" w:line="121" w:lineRule="exact"/>
              <w:rPr>
                <w:sz w:val="20"/>
                <w:szCs w:val="20"/>
                <w:color w:val="auto"/>
              </w:rPr>
            </w:pPr>
            <w:r>
              <w:rPr>
                <w:rFonts w:ascii="Arial" w:cs="Arial" w:eastAsia="Arial" w:hAnsi="Arial"/>
                <w:sz w:val="13"/>
                <w:szCs w:val="13"/>
                <w:color w:val="auto"/>
                <w:w w:val="90"/>
              </w:rPr>
              <w:t>Media</w:t>
            </w:r>
          </w:p>
        </w:tc>
        <w:tc>
          <w:tcPr>
            <w:tcW w:w="900" w:type="dxa"/>
            <w:vAlign w:val="bottom"/>
            <w:gridSpan w:val="2"/>
            <w:shd w:val="clear" w:color="auto" w:fill="CCEEFF"/>
          </w:tcPr>
          <w:p>
            <w:pPr>
              <w:jc w:val="right"/>
              <w:ind w:right="180"/>
              <w:spacing w:after="0" w:line="121" w:lineRule="exact"/>
              <w:rPr>
                <w:sz w:val="20"/>
                <w:szCs w:val="20"/>
                <w:color w:val="auto"/>
              </w:rPr>
            </w:pPr>
            <w:r>
              <w:rPr>
                <w:rFonts w:ascii="Arial" w:cs="Arial" w:eastAsia="Arial" w:hAnsi="Arial"/>
                <w:sz w:val="13"/>
                <w:szCs w:val="13"/>
                <w:color w:val="auto"/>
              </w:rPr>
              <w:t>16.00%</w:t>
            </w:r>
          </w:p>
        </w:tc>
        <w:tc>
          <w:tcPr>
            <w:tcW w:w="920" w:type="dxa"/>
            <w:vAlign w:val="bottom"/>
            <w:gridSpan w:val="2"/>
            <w:shd w:val="clear" w:color="auto" w:fill="CCEEFF"/>
          </w:tcPr>
          <w:p>
            <w:pPr>
              <w:jc w:val="right"/>
              <w:ind w:right="160"/>
              <w:spacing w:after="0" w:line="121" w:lineRule="exact"/>
              <w:rPr>
                <w:sz w:val="20"/>
                <w:szCs w:val="20"/>
                <w:color w:val="auto"/>
              </w:rPr>
            </w:pPr>
            <w:r>
              <w:rPr>
                <w:rFonts w:ascii="Arial" w:cs="Arial" w:eastAsia="Arial" w:hAnsi="Arial"/>
                <w:sz w:val="13"/>
                <w:szCs w:val="13"/>
                <w:color w:val="auto"/>
              </w:rPr>
              <w:t>L+1,500</w:t>
            </w:r>
          </w:p>
        </w:tc>
        <w:tc>
          <w:tcPr>
            <w:tcW w:w="70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8,675,815</w:t>
            </w:r>
          </w:p>
        </w:tc>
        <w:tc>
          <w:tcPr>
            <w:tcW w:w="160" w:type="dxa"/>
            <w:vAlign w:val="bottom"/>
            <w:tcBorders>
              <w:right w:val="single" w:sz="8" w:color="CCEEFF"/>
            </w:tcBorders>
            <w:shd w:val="clear" w:color="auto" w:fill="CCEEFF"/>
          </w:tcPr>
          <w:p>
            <w:pPr>
              <w:spacing w:after="0"/>
              <w:rPr>
                <w:sz w:val="10"/>
                <w:szCs w:val="10"/>
                <w:color w:val="auto"/>
              </w:rPr>
            </w:pPr>
          </w:p>
        </w:tc>
        <w:tc>
          <w:tcPr>
            <w:tcW w:w="820" w:type="dxa"/>
            <w:vAlign w:val="bottom"/>
            <w:gridSpan w:val="2"/>
            <w:shd w:val="clear" w:color="auto" w:fill="CCEEFF"/>
          </w:tcPr>
          <w:p>
            <w:pPr>
              <w:jc w:val="right"/>
              <w:ind w:right="100"/>
              <w:spacing w:after="0" w:line="121" w:lineRule="exact"/>
              <w:rPr>
                <w:sz w:val="20"/>
                <w:szCs w:val="20"/>
                <w:color w:val="auto"/>
              </w:rPr>
            </w:pPr>
            <w:r>
              <w:rPr>
                <w:rFonts w:ascii="Arial" w:cs="Arial" w:eastAsia="Arial" w:hAnsi="Arial"/>
                <w:sz w:val="13"/>
                <w:szCs w:val="13"/>
                <w:color w:val="auto"/>
              </w:rPr>
              <w:t>8,675,815</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80"/>
              <w:spacing w:after="0" w:line="121" w:lineRule="exact"/>
              <w:rPr>
                <w:sz w:val="20"/>
                <w:szCs w:val="20"/>
                <w:color w:val="auto"/>
              </w:rPr>
            </w:pPr>
            <w:r>
              <w:rPr>
                <w:rFonts w:ascii="Arial" w:cs="Arial" w:eastAsia="Arial" w:hAnsi="Arial"/>
                <w:sz w:val="13"/>
                <w:szCs w:val="13"/>
                <w:color w:val="auto"/>
              </w:rPr>
              <w:t>7,346,315</w:t>
            </w:r>
          </w:p>
        </w:tc>
        <w:tc>
          <w:tcPr>
            <w:tcW w:w="0" w:type="dxa"/>
            <w:vAlign w:val="bottom"/>
          </w:tcPr>
          <w:p>
            <w:pPr>
              <w:spacing w:after="0"/>
              <w:rPr>
                <w:sz w:val="1"/>
                <w:szCs w:val="1"/>
                <w:color w:val="auto"/>
              </w:rPr>
            </w:pPr>
          </w:p>
        </w:tc>
      </w:tr>
      <w:tr>
        <w:trPr>
          <w:trHeight w:val="163"/>
        </w:trPr>
        <w:tc>
          <w:tcPr>
            <w:tcW w:w="310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w w:val="95"/>
              </w:rPr>
              <w:t>(PIK 16.00%)</w:t>
            </w: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100" w:type="dxa"/>
            <w:vAlign w:val="bottom"/>
          </w:tcPr>
          <w:p>
            <w:pPr>
              <w:spacing w:after="0" w:line="142" w:lineRule="exact"/>
              <w:rPr>
                <w:sz w:val="20"/>
                <w:szCs w:val="20"/>
                <w:color w:val="auto"/>
              </w:rPr>
            </w:pPr>
            <w:r>
              <w:rPr>
                <w:rFonts w:ascii="Arial" w:cs="Arial" w:eastAsia="Arial" w:hAnsi="Arial"/>
                <w:sz w:val="13"/>
                <w:szCs w:val="13"/>
                <w:b w:val="1"/>
                <w:bCs w:val="1"/>
                <w:color w:val="auto"/>
              </w:rPr>
              <w:t xml:space="preserve">Preferred Equity—3.1% </w:t>
            </w:r>
            <w:r>
              <w:rPr>
                <w:rFonts w:ascii="Arial" w:cs="Arial" w:eastAsia="Arial" w:hAnsi="Arial"/>
                <w:sz w:val="10"/>
                <w:szCs w:val="10"/>
                <w:b w:val="1"/>
                <w:bCs w:val="1"/>
                <w:color w:val="auto"/>
              </w:rPr>
              <w:t>(6)</w:t>
            </w:r>
          </w:p>
        </w:tc>
        <w:tc>
          <w:tcPr>
            <w:tcW w:w="12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MidOcean JF Holdings Corp.</w:t>
            </w:r>
          </w:p>
        </w:tc>
        <w:tc>
          <w:tcPr>
            <w:tcW w:w="1220" w:type="dxa"/>
            <w:vAlign w:val="bottom"/>
            <w:shd w:val="clear" w:color="auto" w:fill="CCEEFF"/>
          </w:tcPr>
          <w:p>
            <w:pPr>
              <w:jc w:val="center"/>
              <w:ind w:right="557"/>
              <w:spacing w:after="0" w:line="135" w:lineRule="exact"/>
              <w:rPr>
                <w:sz w:val="20"/>
                <w:szCs w:val="20"/>
                <w:color w:val="auto"/>
              </w:rPr>
            </w:pPr>
            <w:r>
              <w:rPr>
                <w:rFonts w:ascii="Arial" w:cs="Arial" w:eastAsia="Arial" w:hAnsi="Arial"/>
                <w:sz w:val="13"/>
                <w:szCs w:val="13"/>
                <w:color w:val="auto"/>
                <w:w w:val="91"/>
              </w:rPr>
              <w:t>—</w:t>
            </w:r>
          </w:p>
        </w:tc>
        <w:tc>
          <w:tcPr>
            <w:tcW w:w="2460" w:type="dxa"/>
            <w:vAlign w:val="bottom"/>
            <w:gridSpan w:val="2"/>
            <w:shd w:val="clear" w:color="auto" w:fill="CCEEFF"/>
          </w:tcPr>
          <w:p>
            <w:pPr>
              <w:jc w:val="center"/>
              <w:ind w:right="620"/>
              <w:spacing w:after="0" w:line="135" w:lineRule="exact"/>
              <w:rPr>
                <w:sz w:val="20"/>
                <w:szCs w:val="20"/>
                <w:color w:val="auto"/>
              </w:rPr>
            </w:pPr>
            <w:r>
              <w:rPr>
                <w:rFonts w:ascii="Arial" w:cs="Arial" w:eastAsia="Arial" w:hAnsi="Arial"/>
                <w:sz w:val="13"/>
                <w:szCs w:val="13"/>
                <w:color w:val="auto"/>
                <w:w w:val="92"/>
              </w:rPr>
              <w:t>Distribution</w:t>
            </w:r>
          </w:p>
        </w:tc>
        <w:tc>
          <w:tcPr>
            <w:tcW w:w="9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143,183</w:t>
            </w:r>
          </w:p>
        </w:tc>
        <w:tc>
          <w:tcPr>
            <w:tcW w:w="160" w:type="dxa"/>
            <w:vAlign w:val="bottom"/>
            <w:tcBorders>
              <w:right w:val="single" w:sz="8" w:color="CCEEFF"/>
            </w:tcBorders>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14,318,325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20,151,529</w:t>
            </w: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Arial" w:cs="Arial" w:eastAsia="Arial" w:hAnsi="Arial"/>
                <w:sz w:val="13"/>
                <w:szCs w:val="13"/>
                <w:color w:val="auto"/>
              </w:rPr>
              <w:t>Superior Digital Displays Holdings, Inc.</w:t>
            </w:r>
          </w:p>
        </w:tc>
        <w:tc>
          <w:tcPr>
            <w:tcW w:w="1220" w:type="dxa"/>
            <w:vAlign w:val="bottom"/>
          </w:tcPr>
          <w:p>
            <w:pPr>
              <w:jc w:val="center"/>
              <w:ind w:right="557"/>
              <w:spacing w:after="0" w:line="135" w:lineRule="exact"/>
              <w:rPr>
                <w:sz w:val="20"/>
                <w:szCs w:val="20"/>
                <w:color w:val="auto"/>
              </w:rPr>
            </w:pPr>
            <w:r>
              <w:rPr>
                <w:rFonts w:ascii="Arial" w:cs="Arial" w:eastAsia="Arial" w:hAnsi="Arial"/>
                <w:sz w:val="13"/>
                <w:szCs w:val="13"/>
                <w:color w:val="auto"/>
                <w:w w:val="91"/>
              </w:rPr>
              <w:t>—</w:t>
            </w:r>
          </w:p>
        </w:tc>
        <w:tc>
          <w:tcPr>
            <w:tcW w:w="2460" w:type="dxa"/>
            <w:vAlign w:val="bottom"/>
            <w:gridSpan w:val="2"/>
          </w:tcPr>
          <w:p>
            <w:pPr>
              <w:jc w:val="center"/>
              <w:ind w:right="620"/>
              <w:spacing w:after="0" w:line="135" w:lineRule="exact"/>
              <w:rPr>
                <w:sz w:val="20"/>
                <w:szCs w:val="20"/>
                <w:color w:val="auto"/>
              </w:rPr>
            </w:pPr>
            <w:r>
              <w:rPr>
                <w:rFonts w:ascii="Arial" w:cs="Arial" w:eastAsia="Arial" w:hAnsi="Arial"/>
                <w:sz w:val="13"/>
                <w:szCs w:val="13"/>
                <w:color w:val="auto"/>
                <w:w w:val="90"/>
              </w:rPr>
              <w:t>Media</w:t>
            </w:r>
          </w:p>
        </w:tc>
        <w:tc>
          <w:tcPr>
            <w:tcW w:w="9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15.00%</w:t>
            </w:r>
          </w:p>
        </w:tc>
        <w:tc>
          <w:tcPr>
            <w:tcW w:w="9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103,916</w:t>
            </w:r>
          </w:p>
        </w:tc>
        <w:tc>
          <w:tcPr>
            <w:tcW w:w="160" w:type="dxa"/>
            <w:vAlign w:val="bottom"/>
          </w:tcPr>
          <w:p>
            <w:pPr>
              <w:spacing w:after="0"/>
              <w:rPr>
                <w:sz w:val="11"/>
                <w:szCs w:val="11"/>
                <w:color w:val="auto"/>
              </w:rPr>
            </w:pP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7,000,000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31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Preferred Equity</w:t>
            </w:r>
          </w:p>
        </w:tc>
        <w:tc>
          <w:tcPr>
            <w:tcW w:w="122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21,318,325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20,151,529</w:t>
            </w:r>
          </w:p>
        </w:tc>
        <w:tc>
          <w:tcPr>
            <w:tcW w:w="0" w:type="dxa"/>
            <w:vAlign w:val="bottom"/>
          </w:tcPr>
          <w:p>
            <w:pPr>
              <w:spacing w:after="0"/>
              <w:rPr>
                <w:sz w:val="1"/>
                <w:szCs w:val="1"/>
                <w:color w:val="auto"/>
              </w:rPr>
            </w:pPr>
          </w:p>
        </w:tc>
      </w:tr>
      <w:tr>
        <w:trPr>
          <w:trHeight w:val="142"/>
        </w:trPr>
        <w:tc>
          <w:tcPr>
            <w:tcW w:w="3100" w:type="dxa"/>
            <w:vAlign w:val="bottom"/>
          </w:tcPr>
          <w:p>
            <w:pPr>
              <w:spacing w:after="0" w:line="142" w:lineRule="exact"/>
              <w:rPr>
                <w:sz w:val="20"/>
                <w:szCs w:val="20"/>
                <w:color w:val="auto"/>
              </w:rPr>
            </w:pPr>
            <w:r>
              <w:rPr>
                <w:rFonts w:ascii="Arial" w:cs="Arial" w:eastAsia="Arial" w:hAnsi="Arial"/>
                <w:sz w:val="13"/>
                <w:szCs w:val="13"/>
                <w:b w:val="1"/>
                <w:bCs w:val="1"/>
                <w:color w:val="auto"/>
              </w:rPr>
              <w:t xml:space="preserve">Common Equity—0.4% </w:t>
            </w:r>
            <w:r>
              <w:rPr>
                <w:rFonts w:ascii="Arial" w:cs="Arial" w:eastAsia="Arial" w:hAnsi="Arial"/>
                <w:sz w:val="10"/>
                <w:szCs w:val="10"/>
                <w:b w:val="1"/>
                <w:bCs w:val="1"/>
                <w:color w:val="auto"/>
              </w:rPr>
              <w:t>(6)</w:t>
            </w:r>
          </w:p>
        </w:tc>
        <w:tc>
          <w:tcPr>
            <w:tcW w:w="12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MidOcean JF Holdings Corp.</w:t>
            </w:r>
          </w:p>
        </w:tc>
        <w:tc>
          <w:tcPr>
            <w:tcW w:w="1220" w:type="dxa"/>
            <w:vAlign w:val="bottom"/>
            <w:shd w:val="clear" w:color="auto" w:fill="CCEEFF"/>
          </w:tcPr>
          <w:p>
            <w:pPr>
              <w:jc w:val="center"/>
              <w:ind w:right="557"/>
              <w:spacing w:after="0" w:line="135" w:lineRule="exact"/>
              <w:rPr>
                <w:sz w:val="20"/>
                <w:szCs w:val="20"/>
                <w:color w:val="auto"/>
              </w:rPr>
            </w:pPr>
            <w:r>
              <w:rPr>
                <w:rFonts w:ascii="Arial" w:cs="Arial" w:eastAsia="Arial" w:hAnsi="Arial"/>
                <w:sz w:val="13"/>
                <w:szCs w:val="13"/>
                <w:color w:val="auto"/>
                <w:w w:val="91"/>
              </w:rPr>
              <w:t>—</w:t>
            </w:r>
          </w:p>
        </w:tc>
        <w:tc>
          <w:tcPr>
            <w:tcW w:w="2460" w:type="dxa"/>
            <w:vAlign w:val="bottom"/>
            <w:gridSpan w:val="2"/>
            <w:shd w:val="clear" w:color="auto" w:fill="CCEEFF"/>
          </w:tcPr>
          <w:p>
            <w:pPr>
              <w:jc w:val="center"/>
              <w:ind w:right="620"/>
              <w:spacing w:after="0" w:line="135" w:lineRule="exact"/>
              <w:rPr>
                <w:sz w:val="20"/>
                <w:szCs w:val="20"/>
                <w:color w:val="auto"/>
              </w:rPr>
            </w:pPr>
            <w:r>
              <w:rPr>
                <w:rFonts w:ascii="Arial" w:cs="Arial" w:eastAsia="Arial" w:hAnsi="Arial"/>
                <w:sz w:val="13"/>
                <w:szCs w:val="13"/>
                <w:color w:val="auto"/>
                <w:w w:val="92"/>
              </w:rPr>
              <w:t>Distribution</w:t>
            </w:r>
          </w:p>
        </w:tc>
        <w:tc>
          <w:tcPr>
            <w:tcW w:w="9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65,933</w:t>
            </w:r>
          </w:p>
        </w:tc>
        <w:tc>
          <w:tcPr>
            <w:tcW w:w="160" w:type="dxa"/>
            <w:vAlign w:val="bottom"/>
            <w:tcBorders>
              <w:right w:val="single" w:sz="8" w:color="CCEEFF"/>
            </w:tcBorders>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24,761,831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2,686,073</w:t>
            </w: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Arial" w:cs="Arial" w:eastAsia="Arial" w:hAnsi="Arial"/>
                <w:sz w:val="13"/>
                <w:szCs w:val="13"/>
                <w:color w:val="auto"/>
              </w:rPr>
              <w:t>RAM Energy Holdings LLC</w:t>
            </w:r>
          </w:p>
        </w:tc>
        <w:tc>
          <w:tcPr>
            <w:tcW w:w="1220" w:type="dxa"/>
            <w:vAlign w:val="bottom"/>
          </w:tcPr>
          <w:p>
            <w:pPr>
              <w:jc w:val="center"/>
              <w:ind w:right="557"/>
              <w:spacing w:after="0" w:line="135" w:lineRule="exact"/>
              <w:rPr>
                <w:sz w:val="20"/>
                <w:szCs w:val="20"/>
                <w:color w:val="auto"/>
              </w:rPr>
            </w:pPr>
            <w:r>
              <w:rPr>
                <w:rFonts w:ascii="Arial" w:cs="Arial" w:eastAsia="Arial" w:hAnsi="Arial"/>
                <w:sz w:val="13"/>
                <w:szCs w:val="13"/>
                <w:color w:val="auto"/>
                <w:w w:val="91"/>
              </w:rPr>
              <w:t>—</w:t>
            </w:r>
          </w:p>
        </w:tc>
        <w:tc>
          <w:tcPr>
            <w:tcW w:w="2460" w:type="dxa"/>
            <w:vAlign w:val="bottom"/>
            <w:gridSpan w:val="2"/>
          </w:tcPr>
          <w:p>
            <w:pPr>
              <w:jc w:val="center"/>
              <w:ind w:right="620"/>
              <w:spacing w:after="0" w:line="135" w:lineRule="exact"/>
              <w:rPr>
                <w:sz w:val="20"/>
                <w:szCs w:val="20"/>
                <w:color w:val="auto"/>
              </w:rPr>
            </w:pPr>
            <w:r>
              <w:rPr>
                <w:rFonts w:ascii="Arial" w:cs="Arial" w:eastAsia="Arial" w:hAnsi="Arial"/>
                <w:sz w:val="13"/>
                <w:szCs w:val="13"/>
                <w:color w:val="auto"/>
                <w:w w:val="89"/>
              </w:rPr>
              <w:t>Energy and Utilities</w:t>
            </w:r>
          </w:p>
        </w:tc>
        <w:tc>
          <w:tcPr>
            <w:tcW w:w="900" w:type="dxa"/>
            <w:vAlign w:val="bottom"/>
            <w:gridSpan w:val="2"/>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23,141</w:t>
            </w:r>
          </w:p>
        </w:tc>
        <w:tc>
          <w:tcPr>
            <w:tcW w:w="160" w:type="dxa"/>
            <w:vAlign w:val="bottom"/>
          </w:tcPr>
          <w:p>
            <w:pPr>
              <w:spacing w:after="0"/>
              <w:rPr>
                <w:sz w:val="11"/>
                <w:szCs w:val="11"/>
                <w:color w:val="auto"/>
              </w:rPr>
            </w:pP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20,824,388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3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Superior Digital Displays Holdings, Inc.</w:t>
            </w:r>
          </w:p>
        </w:tc>
        <w:tc>
          <w:tcPr>
            <w:tcW w:w="1220" w:type="dxa"/>
            <w:vAlign w:val="bottom"/>
            <w:shd w:val="clear" w:color="auto" w:fill="CCEEFF"/>
          </w:tcPr>
          <w:p>
            <w:pPr>
              <w:jc w:val="center"/>
              <w:ind w:right="557"/>
              <w:spacing w:after="0" w:line="135" w:lineRule="exact"/>
              <w:rPr>
                <w:sz w:val="20"/>
                <w:szCs w:val="20"/>
                <w:color w:val="auto"/>
              </w:rPr>
            </w:pPr>
            <w:r>
              <w:rPr>
                <w:rFonts w:ascii="Arial" w:cs="Arial" w:eastAsia="Arial" w:hAnsi="Arial"/>
                <w:sz w:val="13"/>
                <w:szCs w:val="13"/>
                <w:color w:val="auto"/>
                <w:w w:val="91"/>
              </w:rPr>
              <w:t>—</w:t>
            </w:r>
          </w:p>
        </w:tc>
        <w:tc>
          <w:tcPr>
            <w:tcW w:w="2460" w:type="dxa"/>
            <w:vAlign w:val="bottom"/>
            <w:gridSpan w:val="2"/>
            <w:shd w:val="clear" w:color="auto" w:fill="CCEEFF"/>
          </w:tcPr>
          <w:p>
            <w:pPr>
              <w:jc w:val="center"/>
              <w:ind w:right="620"/>
              <w:spacing w:after="0" w:line="135" w:lineRule="exact"/>
              <w:rPr>
                <w:sz w:val="20"/>
                <w:szCs w:val="20"/>
                <w:color w:val="auto"/>
              </w:rPr>
            </w:pPr>
            <w:r>
              <w:rPr>
                <w:rFonts w:ascii="Arial" w:cs="Arial" w:eastAsia="Arial" w:hAnsi="Arial"/>
                <w:sz w:val="13"/>
                <w:szCs w:val="13"/>
                <w:color w:val="auto"/>
                <w:w w:val="90"/>
              </w:rPr>
              <w:t>Media</w:t>
            </w:r>
          </w:p>
        </w:tc>
        <w:tc>
          <w:tcPr>
            <w:tcW w:w="90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11,100</w:t>
            </w:r>
          </w:p>
        </w:tc>
        <w:tc>
          <w:tcPr>
            <w:tcW w:w="160" w:type="dxa"/>
            <w:vAlign w:val="bottom"/>
            <w:tcBorders>
              <w:right w:val="single" w:sz="8" w:color="CCEEFF"/>
            </w:tcBorders>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2,211,000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100" w:type="dxa"/>
            <w:vAlign w:val="bottom"/>
          </w:tcPr>
          <w:p>
            <w:pPr>
              <w:spacing w:after="0" w:line="142" w:lineRule="exact"/>
              <w:rPr>
                <w:sz w:val="20"/>
                <w:szCs w:val="20"/>
                <w:color w:val="auto"/>
              </w:rPr>
            </w:pPr>
            <w:r>
              <w:rPr>
                <w:rFonts w:ascii="Arial" w:cs="Arial" w:eastAsia="Arial" w:hAnsi="Arial"/>
                <w:sz w:val="13"/>
                <w:szCs w:val="13"/>
                <w:b w:val="1"/>
                <w:bCs w:val="1"/>
                <w:color w:val="auto"/>
              </w:rPr>
              <w:t>Total Common Equity</w:t>
            </w:r>
          </w:p>
        </w:tc>
        <w:tc>
          <w:tcPr>
            <w:tcW w:w="12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47,797,219</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2,686,073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3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 in Controlled, Affiliated Portfolio Companies</w:t>
            </w:r>
          </w:p>
        </w:tc>
        <w:tc>
          <w:tcPr>
            <w:tcW w:w="2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96"/>
              </w:rPr>
              <w:t>186,290,695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6"/>
              </w:rPr>
              <w:t>125,019,637</w:t>
            </w:r>
          </w:p>
        </w:tc>
        <w:tc>
          <w:tcPr>
            <w:tcW w:w="0" w:type="dxa"/>
            <w:vAlign w:val="bottom"/>
          </w:tcPr>
          <w:p>
            <w:pPr>
              <w:spacing w:after="0"/>
              <w:rPr>
                <w:sz w:val="1"/>
                <w:szCs w:val="1"/>
                <w:color w:val="auto"/>
              </w:rPr>
            </w:pPr>
          </w:p>
        </w:tc>
      </w:tr>
      <w:tr>
        <w:trPr>
          <w:trHeight w:val="149"/>
        </w:trPr>
        <w:tc>
          <w:tcPr>
            <w:tcW w:w="3100" w:type="dxa"/>
            <w:vAlign w:val="bottom"/>
          </w:tcPr>
          <w:p>
            <w:pPr>
              <w:spacing w:after="0" w:line="142" w:lineRule="exact"/>
              <w:rPr>
                <w:sz w:val="20"/>
                <w:szCs w:val="20"/>
                <w:color w:val="auto"/>
              </w:rPr>
            </w:pPr>
            <w:r>
              <w:rPr>
                <w:rFonts w:ascii="Arial" w:cs="Arial" w:eastAsia="Arial" w:hAnsi="Arial"/>
                <w:sz w:val="13"/>
                <w:szCs w:val="13"/>
                <w:b w:val="1"/>
                <w:bCs w:val="1"/>
                <w:color w:val="auto"/>
              </w:rPr>
              <w:t>Total Investments—179.3%</w:t>
            </w:r>
          </w:p>
        </w:tc>
        <w:tc>
          <w:tcPr>
            <w:tcW w:w="12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4"/>
              </w:rPr>
              <w:t>1,253,957,146</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4"/>
              </w:rPr>
              <w:t>1,153,679,675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Cash and Cash Equivalents—11.8%</w:t>
            </w:r>
          </w:p>
        </w:tc>
        <w:tc>
          <w:tcPr>
            <w:tcW w:w="122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tcPr>
          <w:p>
            <w:pPr>
              <w:spacing w:after="0" w:line="135" w:lineRule="exact"/>
              <w:rPr>
                <w:sz w:val="20"/>
                <w:szCs w:val="20"/>
                <w:color w:val="auto"/>
              </w:rPr>
            </w:pPr>
            <w:r>
              <w:rPr>
                <w:rFonts w:ascii="Arial" w:cs="Arial" w:eastAsia="Arial" w:hAnsi="Arial"/>
                <w:sz w:val="13"/>
                <w:szCs w:val="13"/>
                <w:color w:val="auto"/>
                <w:w w:val="89"/>
              </w:rPr>
              <w:t>BlackRock Liquidity Funds, Temp Cash, Institutional Shares</w:t>
            </w:r>
          </w:p>
        </w:tc>
        <w:tc>
          <w:tcPr>
            <w:tcW w:w="1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64,897,736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64,897,736</w:t>
            </w:r>
          </w:p>
        </w:tc>
        <w:tc>
          <w:tcPr>
            <w:tcW w:w="0" w:type="dxa"/>
            <w:vAlign w:val="bottom"/>
          </w:tcPr>
          <w:p>
            <w:pPr>
              <w:spacing w:after="0"/>
              <w:rPr>
                <w:sz w:val="1"/>
                <w:szCs w:val="1"/>
                <w:color w:val="auto"/>
              </w:rPr>
            </w:pPr>
          </w:p>
        </w:tc>
      </w:tr>
      <w:tr>
        <w:trPr>
          <w:trHeight w:val="135"/>
        </w:trPr>
        <w:tc>
          <w:tcPr>
            <w:tcW w:w="31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BNY Mellon Cash Reserve and Cash</w:t>
            </w:r>
          </w:p>
        </w:tc>
        <w:tc>
          <w:tcPr>
            <w:tcW w:w="122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10,719,397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10,710,377</w:t>
            </w:r>
          </w:p>
        </w:tc>
        <w:tc>
          <w:tcPr>
            <w:tcW w:w="0" w:type="dxa"/>
            <w:vAlign w:val="bottom"/>
          </w:tcPr>
          <w:p>
            <w:pPr>
              <w:spacing w:after="0"/>
              <w:rPr>
                <w:sz w:val="1"/>
                <w:szCs w:val="1"/>
                <w:color w:val="auto"/>
              </w:rPr>
            </w:pPr>
          </w:p>
        </w:tc>
      </w:tr>
      <w:tr>
        <w:trPr>
          <w:trHeight w:val="149"/>
        </w:trPr>
        <w:tc>
          <w:tcPr>
            <w:tcW w:w="3100" w:type="dxa"/>
            <w:vAlign w:val="bottom"/>
          </w:tcPr>
          <w:p>
            <w:pPr>
              <w:spacing w:after="0" w:line="142" w:lineRule="exact"/>
              <w:rPr>
                <w:sz w:val="20"/>
                <w:szCs w:val="20"/>
                <w:color w:val="auto"/>
              </w:rPr>
            </w:pPr>
            <w:r>
              <w:rPr>
                <w:rFonts w:ascii="Arial" w:cs="Arial" w:eastAsia="Arial" w:hAnsi="Arial"/>
                <w:sz w:val="13"/>
                <w:szCs w:val="13"/>
                <w:b w:val="1"/>
                <w:bCs w:val="1"/>
                <w:color w:val="auto"/>
              </w:rPr>
              <w:t>Total Cash and Cash Equivalents</w:t>
            </w:r>
          </w:p>
        </w:tc>
        <w:tc>
          <w:tcPr>
            <w:tcW w:w="12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75,617,133</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75,608,113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Total Investments and Cash Equivalents—191.1%</w:t>
            </w:r>
          </w:p>
        </w:tc>
        <w:tc>
          <w:tcPr>
            <w:tcW w:w="122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jc w:val="right"/>
              <w:spacing w:after="0" w:line="135" w:lineRule="exact"/>
              <w:rPr>
                <w:sz w:val="20"/>
                <w:szCs w:val="20"/>
                <w:color w:val="auto"/>
              </w:rPr>
            </w:pPr>
            <w:r>
              <w:rPr>
                <w:rFonts w:ascii="Arial" w:cs="Arial" w:eastAsia="Arial" w:hAnsi="Arial"/>
                <w:sz w:val="13"/>
                <w:szCs w:val="13"/>
                <w:u w:val="single" w:color="auto"/>
                <w:color w:val="auto"/>
              </w:rPr>
              <w:t>$</w:t>
            </w:r>
          </w:p>
        </w:tc>
        <w:tc>
          <w:tcPr>
            <w:tcW w:w="82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w w:val="84"/>
              </w:rPr>
              <w:t>1,329,574,279</w:t>
            </w:r>
          </w:p>
        </w:tc>
        <w:tc>
          <w:tcPr>
            <w:tcW w:w="1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u w:val="single" w:color="auto"/>
                <w:color w:val="auto"/>
              </w:rPr>
              <w:t>$</w:t>
            </w: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84"/>
              </w:rPr>
              <w:t>1,229,287,788</w:t>
            </w: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rPr>
                <w:sz w:val="20"/>
                <w:szCs w:val="20"/>
                <w:color w:val="auto"/>
              </w:rPr>
            </w:pPr>
            <w:r>
              <w:rPr>
                <w:rFonts w:ascii="Arial" w:cs="Arial" w:eastAsia="Arial" w:hAnsi="Arial"/>
                <w:sz w:val="13"/>
                <w:szCs w:val="13"/>
                <w:b w:val="1"/>
                <w:bCs w:val="1"/>
                <w:color w:val="auto"/>
              </w:rPr>
              <w:t>Liabilities in Excess of Other Assets—(91.1%)</w:t>
            </w:r>
          </w:p>
        </w:tc>
        <w:tc>
          <w:tcPr>
            <w:tcW w:w="12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100" w:type="dxa"/>
            <w:vAlign w:val="bottom"/>
            <w:vMerge w:val="continue"/>
          </w:tcPr>
          <w:p>
            <w:pPr>
              <w:spacing w:after="0"/>
              <w:rPr>
                <w:sz w:val="11"/>
                <w:szCs w:val="11"/>
                <w:color w:val="auto"/>
              </w:rPr>
            </w:pPr>
          </w:p>
        </w:tc>
        <w:tc>
          <w:tcPr>
            <w:tcW w:w="12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3"/>
                <w:szCs w:val="13"/>
                <w:color w:val="auto"/>
                <w:w w:val="86"/>
              </w:rPr>
              <w:t>(585,920,932)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1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Net Assets—100.0%</w:t>
            </w:r>
          </w:p>
        </w:tc>
        <w:tc>
          <w:tcPr>
            <w:tcW w:w="1220" w:type="dxa"/>
            <w:vAlign w:val="bottom"/>
            <w:shd w:val="clear" w:color="auto" w:fill="CCEEFF"/>
          </w:tcPr>
          <w:p>
            <w:pPr>
              <w:spacing w:after="0"/>
              <w:rPr>
                <w:sz w:val="11"/>
                <w:szCs w:val="11"/>
                <w:color w:val="auto"/>
              </w:rPr>
            </w:pPr>
          </w:p>
        </w:tc>
        <w:tc>
          <w:tcPr>
            <w:tcW w:w="2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w w:val="96"/>
              </w:rPr>
              <w:t>643,366,856</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516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298" w:lineRule="exact"/>
        <w:rPr>
          <w:sz w:val="20"/>
          <w:szCs w:val="20"/>
          <w:color w:val="auto"/>
        </w:rPr>
      </w:pPr>
    </w:p>
    <w:p>
      <w:pPr>
        <w:ind w:left="340" w:right="40" w:hanging="332"/>
        <w:spacing w:after="0" w:line="243"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340" w:right="4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ind w:left="34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340" w:right="20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 The spread provided includes PIK, interest and other fee rates, if any.</w:t>
      </w:r>
    </w:p>
    <w:p>
      <w:pPr>
        <w:ind w:left="340" w:hanging="332"/>
        <w:spacing w:after="0"/>
        <w:tabs>
          <w:tab w:leader="none" w:pos="340" w:val="left"/>
        </w:tabs>
        <w:numPr>
          <w:ilvl w:val="0"/>
          <w:numId w:val="4"/>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8" w:lineRule="exact"/>
        <w:rPr>
          <w:rFonts w:ascii="Arial" w:cs="Arial" w:eastAsia="Arial" w:hAnsi="Arial"/>
          <w:sz w:val="11"/>
          <w:szCs w:val="11"/>
          <w:color w:val="auto"/>
        </w:rPr>
      </w:pPr>
    </w:p>
    <w:p>
      <w:pPr>
        <w:ind w:left="34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34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ind w:left="340" w:hanging="332"/>
        <w:spacing w:after="0"/>
        <w:tabs>
          <w:tab w:leader="none" w:pos="340" w:val="left"/>
        </w:tabs>
        <w:numPr>
          <w:ilvl w:val="0"/>
          <w:numId w:val="4"/>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34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U.S.</w:t>
      </w:r>
    </w:p>
    <w:p>
      <w:pPr>
        <w:ind w:left="34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Investment is held through our consolidated Taxable Subsidiaries (See Note 1).</w:t>
      </w:r>
    </w:p>
    <w:p>
      <w:pPr>
        <w:ind w:left="340" w:hanging="332"/>
        <w:spacing w:after="0" w:line="234"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Par amount is denominated in British Pounds.</w:t>
      </w:r>
    </w:p>
    <w:p>
      <w:pPr>
        <w:ind w:left="340" w:right="60" w:hanging="332"/>
        <w:spacing w:after="0" w:line="237"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investment is treated as a non-qualifying asset under Section 55(a) of the 1940 Act. Under the 1940 Act, we may not acquire any non-qualifying asset unless, at the time the acquisition is made, qualifying assets represent at least 70% of our total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NOTES TO CONSOLIDATED FINANCIAL STATEMENTS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ectPr>
          <w:pgSz w:w="11900" w:h="16838" w:orient="portrait"/>
          <w:cols w:equalWidth="0" w:num="1">
            <w:col w:w="11240"/>
          </w:cols>
          <w:pgMar w:left="320" w:top="45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19"/>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19"/>
        <w:spacing w:after="0" w:line="221" w:lineRule="auto"/>
        <w:rPr>
          <w:sz w:val="20"/>
          <w:szCs w:val="20"/>
          <w:color w:val="auto"/>
        </w:rPr>
      </w:pPr>
      <w:r>
        <w:rPr>
          <w:rFonts w:ascii="Arial" w:cs="Arial" w:eastAsia="Arial" w:hAnsi="Arial"/>
          <w:sz w:val="14"/>
          <w:szCs w:val="14"/>
          <w:b w:val="1"/>
          <w:bCs w:val="1"/>
          <w:color w:val="auto"/>
        </w:rPr>
        <w:t>DECEMBER 31, 2016</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00" w:lineRule="exact"/>
        <w:rPr>
          <w:sz w:val="20"/>
          <w:szCs w:val="20"/>
          <w:color w:val="auto"/>
        </w:rPr>
      </w:pPr>
    </w:p>
    <w:p>
      <w:pPr>
        <w:ind w:right="80" w:firstLine="562"/>
        <w:spacing w:after="0" w:line="231" w:lineRule="auto"/>
        <w:rPr>
          <w:sz w:val="20"/>
          <w:szCs w:val="20"/>
          <w:color w:val="auto"/>
        </w:rPr>
      </w:pPr>
      <w:r>
        <w:rPr>
          <w:rFonts w:ascii="Arial" w:cs="Arial" w:eastAsia="Arial" w:hAnsi="Arial"/>
          <w:sz w:val="14"/>
          <w:szCs w:val="14"/>
          <w:color w:val="auto"/>
        </w:rPr>
        <w:t>PennantPark Investment Corporation was organized as a Maryland corporation in January 2007. We are a closed-end, externally managed, non-diversified investment company that has elected to be treated as a BDC under the 1940 Act. PennantPark Investment’s objective is to generate both current income and capital appreciation while seeking to preserve capital through debt and equity investments. We invest primarily in U.S. middle-market companies in the form of senior secured debt, mezzanine debt and, to a lesser extent, equity investments. On April 24, 2007, we closed our initial public offering and our common stock trades on the NASDAQ Global Select Market under the symbol “PNNT.” Our 2025 Notes trade on the New York Stock Exchange, or the NYSE, under the symbol “PNTA.”</w:t>
      </w:r>
    </w:p>
    <w:p>
      <w:pPr>
        <w:spacing w:after="0" w:line="76" w:lineRule="exact"/>
        <w:rPr>
          <w:sz w:val="20"/>
          <w:szCs w:val="20"/>
          <w:color w:val="auto"/>
        </w:rPr>
      </w:pPr>
    </w:p>
    <w:p>
      <w:pPr>
        <w:ind w:right="20" w:firstLine="562"/>
        <w:spacing w:after="0" w:line="255" w:lineRule="auto"/>
        <w:rPr>
          <w:sz w:val="20"/>
          <w:szCs w:val="20"/>
          <w:color w:val="auto"/>
        </w:rPr>
      </w:pPr>
      <w:r>
        <w:rPr>
          <w:rFonts w:ascii="Arial" w:cs="Arial" w:eastAsia="Arial" w:hAnsi="Arial"/>
          <w:sz w:val="13"/>
          <w:szCs w:val="13"/>
          <w:color w:val="auto"/>
        </w:rPr>
        <w:t>We have entered into an investment management agreement, or the Investment Management Agreement, with the Investment Adviser, an external adviser that manages our day-to-day operations. PennantPark Investment, through the Investment Adviser, manages day-to-day operations of and provides investment advisory services to each of our SBIC Funds under separate investment management agreements. We have also entered into an administration agreement, or the Administration Agreement, with the Administrator, which provides the administrative services necessary for us to operate. PennantPark Investment, through the Administrator, also provides similar services to each of our SBIC Funds under a separate administration agreement. See Note 3.</w:t>
      </w:r>
    </w:p>
    <w:p>
      <w:pPr>
        <w:spacing w:after="0" w:line="67" w:lineRule="exact"/>
        <w:rPr>
          <w:sz w:val="20"/>
          <w:szCs w:val="20"/>
          <w:color w:val="auto"/>
        </w:rPr>
      </w:pPr>
    </w:p>
    <w:p>
      <w:pPr>
        <w:jc w:val="both"/>
        <w:ind w:right="240" w:firstLine="562"/>
        <w:spacing w:after="0" w:line="238" w:lineRule="auto"/>
        <w:rPr>
          <w:sz w:val="20"/>
          <w:szCs w:val="20"/>
          <w:color w:val="auto"/>
        </w:rPr>
      </w:pPr>
      <w:r>
        <w:rPr>
          <w:rFonts w:ascii="Arial" w:cs="Arial" w:eastAsia="Arial" w:hAnsi="Arial"/>
          <w:sz w:val="14"/>
          <w:szCs w:val="14"/>
          <w:color w:val="auto"/>
        </w:rPr>
        <w:t>Our wholly owned subsidiaries, SBIC I and SBIC II, were organized as Delaware limited partnerships in 2010 and 2012, respectively. SBIC I and SBIC II received licenses from the SBA to operate as SBICs, under Section 301(c) of the 1958 Act. Our SBIC Funds’ objectives are to generate both current income and capital appreciation through debt and equity investments generally by investing with us in SBA eligible businesses that meet the investment selection criteria used by PennantPark Investment.</w:t>
      </w:r>
    </w:p>
    <w:p>
      <w:pPr>
        <w:spacing w:after="0" w:line="75" w:lineRule="exact"/>
        <w:rPr>
          <w:sz w:val="20"/>
          <w:szCs w:val="20"/>
          <w:color w:val="auto"/>
        </w:rPr>
      </w:pPr>
    </w:p>
    <w:p>
      <w:pPr>
        <w:ind w:right="180" w:firstLine="562"/>
        <w:spacing w:after="0" w:line="290" w:lineRule="auto"/>
        <w:rPr>
          <w:sz w:val="20"/>
          <w:szCs w:val="20"/>
          <w:color w:val="auto"/>
        </w:rPr>
      </w:pPr>
      <w:r>
        <w:rPr>
          <w:rFonts w:ascii="Arial" w:cs="Arial" w:eastAsia="Arial" w:hAnsi="Arial"/>
          <w:sz w:val="13"/>
          <w:szCs w:val="13"/>
          <w:color w:val="auto"/>
        </w:rPr>
        <w:t>We have formed and expect to continue to form certain Taxable Subsidiaries, which are subject to tax as corporations. These Taxable Subsidiaries allow us to hold equity securities of certain portfolio companies treated as pass-through entities for U.S. federal income tax purposes while allowing us to maintain our ability to qualify as a RIC under the Code.</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00" w:lineRule="exact"/>
        <w:rPr>
          <w:sz w:val="20"/>
          <w:szCs w:val="20"/>
          <w:color w:val="auto"/>
        </w:rPr>
      </w:pPr>
    </w:p>
    <w:p>
      <w:pPr>
        <w:ind w:right="20" w:firstLine="562"/>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Financial Accounting Standards Board’s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71" w:lineRule="exact"/>
        <w:rPr>
          <w:sz w:val="20"/>
          <w:szCs w:val="20"/>
          <w:color w:val="auto"/>
        </w:rPr>
      </w:pPr>
    </w:p>
    <w:p>
      <w:pPr>
        <w:jc w:val="both"/>
        <w:ind w:right="60" w:firstLine="562"/>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consistent with ASC 946, Financial Services – Investment Companies,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(a)  Investment Valuations</w:t>
      </w:r>
    </w:p>
    <w:p>
      <w:pPr>
        <w:spacing w:after="0" w:line="96"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71" w:lineRule="exact"/>
        <w:rPr>
          <w:sz w:val="20"/>
          <w:szCs w:val="20"/>
          <w:color w:val="auto"/>
        </w:rPr>
      </w:pPr>
    </w:p>
    <w:p>
      <w:pPr>
        <w:ind w:right="240" w:firstLine="562"/>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7" w:lineRule="exact"/>
        <w:rPr>
          <w:sz w:val="20"/>
          <w:szCs w:val="20"/>
          <w:color w:val="auto"/>
        </w:rPr>
      </w:pPr>
    </w:p>
    <w:p>
      <w:pPr>
        <w:ind w:left="780" w:right="160" w:hanging="327"/>
        <w:spacing w:after="0" w:line="253" w:lineRule="auto"/>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79" w:lineRule="exact"/>
        <w:rPr>
          <w:rFonts w:ascii="Arial" w:cs="Arial" w:eastAsia="Arial" w:hAnsi="Arial"/>
          <w:sz w:val="14"/>
          <w:szCs w:val="14"/>
          <w:color w:val="auto"/>
        </w:rPr>
      </w:pPr>
    </w:p>
    <w:p>
      <w:pPr>
        <w:ind w:left="780" w:hanging="327"/>
        <w:spacing w:after="0"/>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09" w:lineRule="exact"/>
        <w:rPr>
          <w:rFonts w:ascii="Arial" w:cs="Arial" w:eastAsia="Arial" w:hAnsi="Arial"/>
          <w:sz w:val="14"/>
          <w:szCs w:val="14"/>
          <w:color w:val="auto"/>
        </w:rPr>
      </w:pPr>
    </w:p>
    <w:p>
      <w:pPr>
        <w:jc w:val="both"/>
        <w:ind w:left="780" w:right="220" w:hanging="327"/>
        <w:spacing w:after="0" w:line="264" w:lineRule="auto"/>
        <w:tabs>
          <w:tab w:leader="none" w:pos="78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3" w:lineRule="exact"/>
        <w:rPr>
          <w:rFonts w:ascii="Arial" w:cs="Arial" w:eastAsia="Arial" w:hAnsi="Arial"/>
          <w:sz w:val="13"/>
          <w:szCs w:val="13"/>
          <w:color w:val="auto"/>
        </w:rPr>
      </w:pPr>
    </w:p>
    <w:p>
      <w:pPr>
        <w:ind w:left="780" w:right="100" w:hanging="327"/>
        <w:spacing w:after="0" w:line="238" w:lineRule="auto"/>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88" w:lineRule="exact"/>
        <w:rPr>
          <w:rFonts w:ascii="Arial" w:cs="Arial" w:eastAsia="Arial" w:hAnsi="Arial"/>
          <w:sz w:val="14"/>
          <w:szCs w:val="14"/>
          <w:color w:val="auto"/>
        </w:rPr>
      </w:pPr>
    </w:p>
    <w:p>
      <w:pPr>
        <w:ind w:left="780" w:right="220" w:hanging="327"/>
        <w:spacing w:after="0" w:line="253" w:lineRule="auto"/>
        <w:tabs>
          <w:tab w:leader="none" w:pos="780" w:val="left"/>
        </w:tabs>
        <w:numPr>
          <w:ilvl w:val="0"/>
          <w:numId w:val="5"/>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ectPr>
          <w:pgSz w:w="11900" w:h="16838" w:orient="portrait"/>
          <w:cols w:equalWidth="0" w:num="1">
            <w:col w:w="11240"/>
          </w:cols>
          <w:pgMar w:left="320" w:top="459"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59"/>
        <w:spacing w:after="0" w:line="221" w:lineRule="auto"/>
        <w:rPr>
          <w:sz w:val="20"/>
          <w:szCs w:val="20"/>
          <w:color w:val="auto"/>
        </w:rPr>
      </w:pPr>
      <w:r>
        <w:rPr>
          <w:rFonts w:ascii="Arial" w:cs="Arial" w:eastAsia="Arial" w:hAnsi="Arial"/>
          <w:sz w:val="14"/>
          <w:szCs w:val="14"/>
          <w:b w:val="1"/>
          <w:bCs w:val="1"/>
          <w:color w:val="auto"/>
        </w:rPr>
        <w:t>DECEMBER 31, 2016</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jc w:val="both"/>
        <w:ind w:right="140" w:firstLine="562"/>
        <w:spacing w:after="0" w:line="255"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by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67"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(b)  Security Transactions, Revenue Recognition, and Realized/Unrealized Gains or Losses</w:t>
      </w:r>
    </w:p>
    <w:p>
      <w:pPr>
        <w:spacing w:after="0" w:line="96" w:lineRule="exact"/>
        <w:rPr>
          <w:sz w:val="20"/>
          <w:szCs w:val="20"/>
          <w:color w:val="auto"/>
        </w:rPr>
      </w:pPr>
    </w:p>
    <w:p>
      <w:pPr>
        <w:ind w:right="100" w:firstLine="562"/>
        <w:spacing w:after="0" w:line="233" w:lineRule="auto"/>
        <w:rPr>
          <w:sz w:val="20"/>
          <w:szCs w:val="20"/>
          <w:color w:val="auto"/>
        </w:rPr>
      </w:pPr>
      <w:r>
        <w:rPr>
          <w:rFonts w:ascii="Arial" w:cs="Arial" w:eastAsia="Arial" w:hAnsi="Arial"/>
          <w:sz w:val="14"/>
          <w:szCs w:val="14"/>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the change in the fair values of our portfolio investments, our Credit Facility and our Notes during the reporting period, including any reversal of previously recorded unrealized appreciation or depreciation, when gains or losses are realized.</w:t>
      </w:r>
    </w:p>
    <w:p>
      <w:pPr>
        <w:spacing w:after="0" w:line="77" w:lineRule="exact"/>
        <w:rPr>
          <w:sz w:val="20"/>
          <w:szCs w:val="20"/>
          <w:color w:val="auto"/>
        </w:rPr>
      </w:pPr>
    </w:p>
    <w:p>
      <w:pPr>
        <w:ind w:right="140" w:firstLine="562"/>
        <w:spacing w:after="0" w:line="248"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collectible.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w:t>
      </w:r>
    </w:p>
    <w:p>
      <w:pPr>
        <w:spacing w:after="0" w:line="72" w:lineRule="exact"/>
        <w:rPr>
          <w:sz w:val="20"/>
          <w:szCs w:val="20"/>
          <w:color w:val="auto"/>
        </w:rPr>
      </w:pPr>
    </w:p>
    <w:p>
      <w:pPr>
        <w:ind w:right="300" w:firstLine="562"/>
        <w:spacing w:after="0" w:line="233" w:lineRule="auto"/>
        <w:rPr>
          <w:sz w:val="20"/>
          <w:szCs w:val="20"/>
          <w:color w:val="auto"/>
        </w:rPr>
      </w:pPr>
      <w:r>
        <w:rPr>
          <w:rFonts w:ascii="Arial" w:cs="Arial" w:eastAsia="Arial" w:hAnsi="Arial"/>
          <w:sz w:val="14"/>
          <w:szCs w:val="14"/>
          <w:color w:val="auto"/>
        </w:rPr>
        <w:t>Loans are placed on non-accrual status when principal or interest payments are past due 30 days or more and/or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(c)  Income Taxes</w:t>
      </w:r>
    </w:p>
    <w:p>
      <w:pPr>
        <w:spacing w:after="0" w:line="96" w:lineRule="exact"/>
        <w:rPr>
          <w:sz w:val="20"/>
          <w:szCs w:val="20"/>
          <w:color w:val="auto"/>
        </w:rPr>
      </w:pPr>
    </w:p>
    <w:p>
      <w:pPr>
        <w:ind w:right="160" w:firstLine="562"/>
        <w:spacing w:after="0" w:line="229" w:lineRule="auto"/>
        <w:rPr>
          <w:sz w:val="20"/>
          <w:szCs w:val="20"/>
          <w:color w:val="auto"/>
        </w:rPr>
      </w:pPr>
      <w:r>
        <w:rPr>
          <w:rFonts w:ascii="Arial" w:cs="Arial" w:eastAsia="Arial" w:hAnsi="Arial"/>
          <w:sz w:val="14"/>
          <w:szCs w:val="14"/>
          <w:color w:val="auto"/>
        </w:rPr>
        <w:t>We have complied with the requirements of Subchapter M of the Code and have qualified to be treated as a RIC for federal income tax purposes. As a result, we account for income taxes using the asset and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we do not anticipate paying any material level of federal income taxes. Although we generally do not incur federal income taxes as a RIC for federal income tax purposes, we may elect to retain a portion of our calendar year income, which may result in an excise tax, or we may incur taxes through our Taxable Subsidiaries. For the three months ended December 31, 2016 and 2015, we recorded a provision for taxes of $0.4 million and $1.3 million, respectively.</w:t>
      </w:r>
    </w:p>
    <w:p>
      <w:pPr>
        <w:spacing w:after="0" w:line="77" w:lineRule="exact"/>
        <w:rPr>
          <w:sz w:val="20"/>
          <w:szCs w:val="20"/>
          <w:color w:val="auto"/>
        </w:rPr>
      </w:pPr>
    </w:p>
    <w:p>
      <w:pPr>
        <w:ind w:right="40" w:firstLine="562"/>
        <w:spacing w:after="0" w:line="264" w:lineRule="auto"/>
        <w:rPr>
          <w:sz w:val="20"/>
          <w:szCs w:val="20"/>
          <w:color w:val="auto"/>
        </w:rPr>
      </w:pPr>
      <w:r>
        <w:rPr>
          <w:rFonts w:ascii="Arial" w:cs="Arial" w:eastAsia="Arial" w:hAnsi="Arial"/>
          <w:sz w:val="13"/>
          <w:szCs w:val="13"/>
          <w:color w:val="auto"/>
        </w:rPr>
        <w:t>We recognize the effect of a tax position in our Consolidated Financial Statements when it is more likely than not, based on the technical merits, that the position will be sustained upon examination by the applicable tax authority. Tax positions not considered to satisfy the “more-likely-than-not” threshold would be recorded as a tax expense or benefit. We did not have any material uncertain tax positions or any unrecognized tax benefits that met the recognition or measurement criteria of ASC 740-10-25 as of the periods presented herein.</w:t>
      </w:r>
    </w:p>
    <w:p>
      <w:pPr>
        <w:spacing w:after="0" w:line="60" w:lineRule="exact"/>
        <w:rPr>
          <w:sz w:val="20"/>
          <w:szCs w:val="20"/>
          <w:color w:val="auto"/>
        </w:rPr>
      </w:pPr>
    </w:p>
    <w:p>
      <w:pPr>
        <w:jc w:val="both"/>
        <w:ind w:right="100" w:firstLine="562"/>
        <w:spacing w:after="0" w:line="264" w:lineRule="auto"/>
        <w:rPr>
          <w:sz w:val="20"/>
          <w:szCs w:val="20"/>
          <w:color w:val="auto"/>
        </w:rPr>
      </w:pPr>
      <w:r>
        <w:rPr>
          <w:rFonts w:ascii="Arial" w:cs="Arial" w:eastAsia="Arial" w:hAnsi="Arial"/>
          <w:sz w:val="13"/>
          <w:szCs w:val="13"/>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(d)  Distributions and Capital Transactions</w:t>
      </w:r>
    </w:p>
    <w:p>
      <w:pPr>
        <w:spacing w:after="0" w:line="96" w:lineRule="exact"/>
        <w:rPr>
          <w:sz w:val="20"/>
          <w:szCs w:val="20"/>
          <w:color w:val="auto"/>
        </w:rPr>
      </w:pPr>
    </w:p>
    <w:p>
      <w:pPr>
        <w:ind w:right="60" w:firstLine="562"/>
        <w:spacing w:after="0" w:line="238"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ratified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return of capital.</w:t>
      </w:r>
    </w:p>
    <w:p>
      <w:pPr>
        <w:spacing w:after="0" w:line="75" w:lineRule="exact"/>
        <w:rPr>
          <w:sz w:val="20"/>
          <w:szCs w:val="20"/>
          <w:color w:val="auto"/>
        </w:rPr>
      </w:pPr>
    </w:p>
    <w:p>
      <w:pPr>
        <w:ind w:right="520" w:firstLine="562"/>
        <w:spacing w:after="0" w:line="253"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66"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(e)  Foreign Currency Translation</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09" w:lineRule="exact"/>
        <w:rPr>
          <w:sz w:val="20"/>
          <w:szCs w:val="20"/>
          <w:color w:val="auto"/>
        </w:rPr>
      </w:pPr>
    </w:p>
    <w:p>
      <w:pPr>
        <w:ind w:left="1120" w:hanging="329"/>
        <w:spacing w:after="0"/>
        <w:tabs>
          <w:tab w:leader="none" w:pos="1120" w:val="left"/>
        </w:tabs>
        <w:numPr>
          <w:ilvl w:val="0"/>
          <w:numId w:val="6"/>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6"/>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96" w:lineRule="exact"/>
        <w:rPr>
          <w:sz w:val="20"/>
          <w:szCs w:val="20"/>
          <w:color w:val="auto"/>
        </w:rPr>
      </w:pPr>
    </w:p>
    <w:p>
      <w:pPr>
        <w:ind w:firstLine="562"/>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75" w:lineRule="exact"/>
        <w:rPr>
          <w:sz w:val="20"/>
          <w:szCs w:val="20"/>
          <w:color w:val="auto"/>
        </w:rPr>
      </w:pPr>
    </w:p>
    <w:p>
      <w:pPr>
        <w:ind w:right="20" w:firstLine="562"/>
        <w:spacing w:after="0" w:line="238" w:lineRule="auto"/>
        <w:rPr>
          <w:sz w:val="20"/>
          <w:szCs w:val="20"/>
          <w:color w:val="auto"/>
        </w:rPr>
      </w:pPr>
      <w:r>
        <w:rPr>
          <w:rFonts w:ascii="Arial" w:cs="Arial" w:eastAsia="Arial" w:hAnsi="Arial"/>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1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15</w:t>
      </w:r>
    </w:p>
    <w:p>
      <w:pPr>
        <w:sectPr>
          <w:pgSz w:w="11900" w:h="16838" w:orient="portrait"/>
          <w:cols w:equalWidth="0" w:num="1">
            <w:col w:w="11200"/>
          </w:cols>
          <w:pgMar w:left="320" w:top="459" w:right="3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DECEMBER 31, 2016</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4"/>
          <w:szCs w:val="14"/>
          <w:b w:val="1"/>
          <w:bCs w:val="1"/>
          <w:i w:val="1"/>
          <w:iCs w:val="1"/>
          <w:color w:val="auto"/>
        </w:rPr>
        <w:t>(f)  Consolidation</w:t>
      </w:r>
    </w:p>
    <w:p>
      <w:pPr>
        <w:spacing w:after="0" w:line="96" w:lineRule="exact"/>
        <w:rPr>
          <w:sz w:val="20"/>
          <w:szCs w:val="20"/>
          <w:color w:val="auto"/>
        </w:rPr>
      </w:pPr>
    </w:p>
    <w:p>
      <w:pPr>
        <w:ind w:right="100" w:firstLine="562"/>
        <w:spacing w:after="0" w:line="238" w:lineRule="auto"/>
        <w:rPr>
          <w:sz w:val="20"/>
          <w:szCs w:val="20"/>
          <w:color w:val="auto"/>
        </w:rPr>
      </w:pPr>
      <w:r>
        <w:rPr>
          <w:rFonts w:ascii="Arial" w:cs="Arial" w:eastAsia="Arial" w:hAnsi="Arial"/>
          <w:sz w:val="14"/>
          <w:szCs w:val="14"/>
          <w:color w:val="auto"/>
        </w:rPr>
        <w:t>As permitted under Regulation S-X and as explained by ASC 946-810-45, PennantPark Investment will generally not consolidate its investment in a company other than an investment company subsidiary or a controlled operating company whose business consists of providing services to us. Accordingly, we have consolidated the results of our SBIC Funds and our Taxable Subsidiaries in our Consolidated Financial Statements.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w:t>
      </w:r>
    </w:p>
    <w:p>
      <w:pPr>
        <w:spacing w:after="0" w:line="100" w:lineRule="exact"/>
        <w:rPr>
          <w:sz w:val="20"/>
          <w:szCs w:val="20"/>
          <w:color w:val="auto"/>
        </w:rPr>
      </w:pPr>
    </w:p>
    <w:p>
      <w:pPr>
        <w:ind w:right="20" w:firstLine="562"/>
        <w:spacing w:after="0" w:line="231" w:lineRule="auto"/>
        <w:rPr>
          <w:sz w:val="20"/>
          <w:szCs w:val="20"/>
          <w:color w:val="auto"/>
        </w:rPr>
      </w:pPr>
      <w:r>
        <w:rPr>
          <w:rFonts w:ascii="Arial" w:cs="Arial" w:eastAsia="Arial" w:hAnsi="Arial"/>
          <w:sz w:val="14"/>
          <w:szCs w:val="14"/>
          <w:color w:val="auto"/>
        </w:rPr>
        <w:t>The Investment Management Agreement with the Investment Adviser was reapproved by our board of directors, including a majority of our directors who are not interested persons of us or the Investment Adviser, in February 2017. Under the Investment Management Agreement, the Investment Adviser, subject to the overall supervision of our board of directors, manages the day-to-day operations of and provides investment advisory services to us. Our SBIC Funds’ investment management agreements do not affect the management or incentive fees that we pay to the Investment Adviser on a consolidated basis. For providing these services, the Investment Adviser receives a fee from us, consisting of two components—a base management fee and an incentive fee, or collectively referred to as Management Fees.</w:t>
      </w:r>
    </w:p>
    <w:p>
      <w:pPr>
        <w:spacing w:after="0" w:line="76" w:lineRule="exact"/>
        <w:rPr>
          <w:sz w:val="20"/>
          <w:szCs w:val="20"/>
          <w:color w:val="auto"/>
        </w:rPr>
      </w:pPr>
    </w:p>
    <w:p>
      <w:pPr>
        <w:ind w:right="60" w:firstLine="562"/>
        <w:spacing w:after="0" w:line="244" w:lineRule="auto"/>
        <w:rPr>
          <w:sz w:val="20"/>
          <w:szCs w:val="20"/>
          <w:color w:val="auto"/>
        </w:rPr>
      </w:pPr>
      <w:r>
        <w:rPr>
          <w:rFonts w:ascii="Arial" w:cs="Arial" w:eastAsia="Arial" w:hAnsi="Arial"/>
          <w:sz w:val="13"/>
          <w:szCs w:val="13"/>
          <w:color w:val="auto"/>
        </w:rPr>
        <w:t>The base management fee is calculated at an annual rate of 2.00%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adjusted to exclude cash, cash equivalents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Since December 31, 2015 and through December 31, 2017, the Investment Adviser has voluntarily agreed, in consultation with the board of directors, to waive 16% of base management fees, correlated to our 16% energy cost exposure (oil &amp; gas and energy &amp; utilities industries) at cost as of December 31, 2015. For the three months ended December 31, 2016 and 2015, the Investment Adviser earned a base management fee of $5.3 million (after a waiver of $1.0 million) and $5.5 million (after a waiver of $1.0 million), respectively, from us.</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incentive fee has two parts, as follows: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w:t>
      </w:r>
    </w:p>
    <w:p>
      <w:pPr>
        <w:spacing w:after="0" w:line="10" w:lineRule="exact"/>
        <w:rPr>
          <w:sz w:val="20"/>
          <w:szCs w:val="20"/>
          <w:color w:val="auto"/>
        </w:rPr>
      </w:pPr>
    </w:p>
    <w:p>
      <w:pPr>
        <w:spacing w:after="0"/>
        <w:rPr>
          <w:sz w:val="20"/>
          <w:szCs w:val="20"/>
          <w:color w:val="auto"/>
        </w:rPr>
      </w:pPr>
      <w:r>
        <w:rPr>
          <w:rFonts w:ascii="Arial" w:cs="Arial" w:eastAsia="Arial" w:hAnsi="Arial"/>
          <w:sz w:val="13"/>
          <w:szCs w:val="13"/>
          <w:color w:val="auto"/>
        </w:rPr>
        <w:t>Pre-Incentive Fee Net Investment Income means interest income, dividend income and any other income, including any other fees (other than fees for providing managerial assistance), such as</w:t>
      </w:r>
    </w:p>
    <w:p>
      <w:pPr>
        <w:spacing w:after="0"/>
        <w:rPr>
          <w:sz w:val="20"/>
          <w:szCs w:val="20"/>
          <w:color w:val="auto"/>
        </w:rPr>
      </w:pPr>
      <w:r>
        <w:rPr>
          <w:rFonts w:ascii="Arial" w:cs="Arial" w:eastAsia="Arial" w:hAnsi="Arial"/>
          <w:sz w:val="13"/>
          <w:szCs w:val="13"/>
          <w:color w:val="auto"/>
        </w:rPr>
        <w:t>amendment, commitment, origination, prepayment penalties, structuring, diligence and consulting fees or other fees received from portfolio companies, accrued during the calendar quarter, minus</w:t>
      </w:r>
    </w:p>
    <w:p>
      <w:pPr>
        <w:spacing w:after="0"/>
        <w:rPr>
          <w:sz w:val="20"/>
          <w:szCs w:val="20"/>
          <w:color w:val="auto"/>
        </w:rPr>
      </w:pPr>
      <w:r>
        <w:rPr>
          <w:rFonts w:ascii="Arial" w:cs="Arial" w:eastAsia="Arial" w:hAnsi="Arial"/>
          <w:sz w:val="13"/>
          <w:szCs w:val="13"/>
          <w:color w:val="auto"/>
        </w:rPr>
        <w:t>our operating expenses for the quarter (including the base management fee, any expenses payable under the Administration Agreement and any interest expense or amendment fees under any</w:t>
      </w:r>
    </w:p>
    <w:p>
      <w:pPr>
        <w:spacing w:after="0"/>
        <w:rPr>
          <w:sz w:val="20"/>
          <w:szCs w:val="20"/>
          <w:color w:val="auto"/>
        </w:rPr>
      </w:pPr>
      <w:r>
        <w:rPr>
          <w:rFonts w:ascii="Arial" w:cs="Arial" w:eastAsia="Arial" w:hAnsi="Arial"/>
          <w:sz w:val="13"/>
          <w:szCs w:val="13"/>
          <w:color w:val="auto"/>
        </w:rPr>
        <w:t>credit facility and distribution paid on any issued and outstanding preferred stock, but excluding the incentive fee). Pre-Incentive Fee Net Investment Income includes, in the case of investments</w:t>
      </w:r>
    </w:p>
    <w:p>
      <w:pPr>
        <w:spacing w:after="0"/>
        <w:rPr>
          <w:sz w:val="20"/>
          <w:szCs w:val="20"/>
          <w:color w:val="auto"/>
        </w:rPr>
      </w:pPr>
      <w:r>
        <w:rPr>
          <w:rFonts w:ascii="Arial" w:cs="Arial" w:eastAsia="Arial" w:hAnsi="Arial"/>
          <w:sz w:val="13"/>
          <w:szCs w:val="13"/>
          <w:color w:val="auto"/>
        </w:rPr>
        <w:t>with a deferred interest feature (such as OID, debt instruments with PIK interest and zero coupon securities), accrued income not yet received in cash. Pre-Incentive Fee Net Investment Income</w:t>
      </w:r>
    </w:p>
    <w:p>
      <w:pPr>
        <w:spacing w:after="0"/>
        <w:rPr>
          <w:sz w:val="20"/>
          <w:szCs w:val="20"/>
          <w:color w:val="auto"/>
        </w:rPr>
      </w:pPr>
      <w:r>
        <w:rPr>
          <w:rFonts w:ascii="Arial" w:cs="Arial" w:eastAsia="Arial" w:hAnsi="Arial"/>
          <w:sz w:val="13"/>
          <w:szCs w:val="13"/>
          <w:color w:val="auto"/>
        </w:rPr>
        <w:t>does not include any realized capital gains, computed net of all realized capital losses or unrealized capital appreciation or depreciation. Pre-Incentive Fee Net Investment Income, expressed as a</w:t>
      </w:r>
    </w:p>
    <w:p>
      <w:pPr>
        <w:spacing w:after="0"/>
        <w:rPr>
          <w:sz w:val="20"/>
          <w:szCs w:val="20"/>
          <w:color w:val="auto"/>
        </w:rPr>
      </w:pPr>
      <w:r>
        <w:rPr>
          <w:rFonts w:ascii="Arial" w:cs="Arial" w:eastAsia="Arial" w:hAnsi="Arial"/>
          <w:sz w:val="13"/>
          <w:szCs w:val="13"/>
          <w:color w:val="auto"/>
        </w:rPr>
        <w:t>percentage of the value of our net assets at the end of the immediately preceding calendar quarter, is compared to the hurdle rate of 1.75% per quarter (7.00% annualized). We pay the Investment</w:t>
      </w:r>
    </w:p>
    <w:p>
      <w:pPr>
        <w:spacing w:after="0"/>
        <w:rPr>
          <w:sz w:val="20"/>
          <w:szCs w:val="20"/>
          <w:color w:val="auto"/>
        </w:rPr>
      </w:pPr>
      <w:r>
        <w:rPr>
          <w:rFonts w:ascii="Arial" w:cs="Arial" w:eastAsia="Arial" w:hAnsi="Arial"/>
          <w:sz w:val="13"/>
          <w:szCs w:val="13"/>
          <w:color w:val="auto"/>
        </w:rPr>
        <w:t>Adviser an incentive fee with respect to our Pre-Incentive Fee Net Investment Income in each calendar quarter as follows: (1) no incentive fee in any calendar quarter in which our Pre-Incentive</w:t>
      </w:r>
    </w:p>
    <w:p>
      <w:pPr>
        <w:spacing w:after="0"/>
        <w:rPr>
          <w:sz w:val="20"/>
          <w:szCs w:val="20"/>
          <w:color w:val="auto"/>
        </w:rPr>
      </w:pPr>
      <w:r>
        <w:rPr>
          <w:rFonts w:ascii="Arial" w:cs="Arial" w:eastAsia="Arial" w:hAnsi="Arial"/>
          <w:sz w:val="13"/>
          <w:szCs w:val="13"/>
          <w:color w:val="auto"/>
        </w:rPr>
        <w:t>Fee Net Investment Income does not exceed the hurdle rate of 1.75%, (2) 100% of our Pre-Incentive Fee Net Investment Income with respect to that portion of such Pre-Incentive Fee Net</w:t>
      </w:r>
    </w:p>
    <w:p>
      <w:pPr>
        <w:spacing w:after="0"/>
        <w:rPr>
          <w:sz w:val="20"/>
          <w:szCs w:val="20"/>
          <w:color w:val="auto"/>
        </w:rPr>
      </w:pPr>
      <w:r>
        <w:rPr>
          <w:rFonts w:ascii="Arial" w:cs="Arial" w:eastAsia="Arial" w:hAnsi="Arial"/>
          <w:sz w:val="13"/>
          <w:szCs w:val="13"/>
          <w:color w:val="auto"/>
        </w:rPr>
        <w:t>Investment Income, if any, that exceeds the hurdle rate but is less than 2.1875% in any calendar quarter (8.75% annualized), and (3) 20% of the amount of our Pre-Incentive Fee Net Investment</w:t>
      </w:r>
    </w:p>
    <w:p>
      <w:pPr>
        <w:spacing w:after="0"/>
        <w:rPr>
          <w:sz w:val="20"/>
          <w:szCs w:val="20"/>
          <w:color w:val="auto"/>
        </w:rPr>
      </w:pPr>
      <w:r>
        <w:rPr>
          <w:rFonts w:ascii="Arial" w:cs="Arial" w:eastAsia="Arial" w:hAnsi="Arial"/>
          <w:sz w:val="13"/>
          <w:szCs w:val="13"/>
          <w:color w:val="auto"/>
        </w:rPr>
        <w:t>Income, if any, that exceeds 2.1875% in any calendar quarter. These calculations are pro-rated for any share issuances or repurchases during the relevant quarter, if applicable. Since</w:t>
      </w:r>
    </w:p>
    <w:p>
      <w:pPr>
        <w:spacing w:after="0"/>
        <w:rPr>
          <w:sz w:val="20"/>
          <w:szCs w:val="20"/>
          <w:color w:val="auto"/>
        </w:rPr>
      </w:pPr>
      <w:r>
        <w:rPr>
          <w:rFonts w:ascii="Arial" w:cs="Arial" w:eastAsia="Arial" w:hAnsi="Arial"/>
          <w:sz w:val="13"/>
          <w:szCs w:val="13"/>
          <w:color w:val="auto"/>
        </w:rPr>
        <w:t>December 31, 2015 and through December 31, 2017, the Investment Adviser has voluntarily agreed, in consultation with the board of directors, to waive 16% of incentive fees, correlated to our</w:t>
      </w:r>
    </w:p>
    <w:p>
      <w:pPr>
        <w:spacing w:after="0"/>
        <w:rPr>
          <w:sz w:val="20"/>
          <w:szCs w:val="20"/>
          <w:color w:val="auto"/>
        </w:rPr>
      </w:pPr>
      <w:r>
        <w:rPr>
          <w:rFonts w:ascii="Arial" w:cs="Arial" w:eastAsia="Arial" w:hAnsi="Arial"/>
          <w:sz w:val="13"/>
          <w:szCs w:val="13"/>
          <w:color w:val="auto"/>
        </w:rPr>
        <w:t>16% energy cost exposure (oil &amp; gas and energy &amp; utilities industries) at cost as of December 31, 2015. For the three months ended December 31, 2016 and 2015, the Investment Adviser earned</w:t>
      </w:r>
    </w:p>
    <w:p>
      <w:pPr>
        <w:spacing w:after="0"/>
        <w:rPr>
          <w:sz w:val="20"/>
          <w:szCs w:val="20"/>
          <w:color w:val="auto"/>
        </w:rPr>
      </w:pPr>
      <w:r>
        <w:rPr>
          <w:rFonts w:ascii="Arial" w:cs="Arial" w:eastAsia="Arial" w:hAnsi="Arial"/>
          <w:sz w:val="14"/>
          <w:szCs w:val="14"/>
          <w:color w:val="auto"/>
        </w:rPr>
        <w:t>an incentive fee of $2.9 million (after a waiver of $0.5 million) and $3.2 million (after a waiver of $0.6 million), respectively, from us.</w:t>
      </w:r>
    </w:p>
    <w:p>
      <w:pPr>
        <w:spacing w:after="0" w:line="84" w:lineRule="exact"/>
        <w:rPr>
          <w:sz w:val="20"/>
          <w:szCs w:val="20"/>
          <w:color w:val="auto"/>
        </w:rPr>
      </w:pPr>
    </w:p>
    <w:p>
      <w:pPr>
        <w:ind w:right="160" w:firstLine="562"/>
        <w:spacing w:after="0" w:line="255" w:lineRule="auto"/>
        <w:rPr>
          <w:sz w:val="20"/>
          <w:szCs w:val="20"/>
          <w:color w:val="auto"/>
        </w:rPr>
      </w:pPr>
      <w:r>
        <w:rPr>
          <w:rFonts w:ascii="Arial" w:cs="Arial" w:eastAsia="Arial" w:hAnsi="Arial"/>
          <w:sz w:val="13"/>
          <w:szCs w:val="13"/>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For each of the three months ended December 31, 2016 and 2015, the Investment Adviser did not earn an incentive fee on capital gains as calculated under the Investment Management Agreement (as described above).</w:t>
      </w:r>
    </w:p>
    <w:p>
      <w:pPr>
        <w:spacing w:after="0" w:line="67" w:lineRule="exact"/>
        <w:rPr>
          <w:sz w:val="20"/>
          <w:szCs w:val="20"/>
          <w:color w:val="auto"/>
        </w:rPr>
      </w:pPr>
    </w:p>
    <w:p>
      <w:pPr>
        <w:ind w:right="20" w:firstLine="562"/>
        <w:spacing w:after="0" w:line="247" w:lineRule="auto"/>
        <w:rPr>
          <w:sz w:val="20"/>
          <w:szCs w:val="20"/>
          <w:color w:val="auto"/>
        </w:rPr>
      </w:pPr>
      <w:r>
        <w:rPr>
          <w:rFonts w:ascii="Arial" w:cs="Arial" w:eastAsia="Arial" w:hAnsi="Arial"/>
          <w:sz w:val="13"/>
          <w:szCs w:val="13"/>
          <w:color w:val="auto"/>
        </w:rPr>
        <w:t>Under GAAP, we are required to accrue a capital gains incentive fee based upon net realized capital gains and net unrealized capital appreciation and depreciation on investments and foreign currencies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if any, will be realized in the future. For each of the three months ended December 31, 2016 and 2015, the Investment Adviser did not accrue such an incentive fee.</w:t>
      </w:r>
    </w:p>
    <w:p>
      <w:pPr>
        <w:spacing w:after="0" w:line="71" w:lineRule="exact"/>
        <w:rPr>
          <w:sz w:val="20"/>
          <w:szCs w:val="20"/>
          <w:color w:val="auto"/>
        </w:rPr>
      </w:pPr>
    </w:p>
    <w:p>
      <w:pPr>
        <w:ind w:right="100" w:firstLine="562"/>
        <w:spacing w:after="0" w:line="245" w:lineRule="auto"/>
        <w:rPr>
          <w:sz w:val="20"/>
          <w:szCs w:val="20"/>
          <w:color w:val="auto"/>
        </w:rPr>
      </w:pPr>
      <w:r>
        <w:rPr>
          <w:rFonts w:ascii="Arial" w:cs="Arial" w:eastAsia="Arial" w:hAnsi="Arial"/>
          <w:sz w:val="13"/>
          <w:szCs w:val="13"/>
          <w:color w:val="auto"/>
        </w:rPr>
        <w:t>The Administration Agreement with the Administrator was reapproved by our board of directors, including a majority of our directors who are not interested persons of us, in February 2017. Under the Administration Agreement, the Administrator provides administrative services and office facilities to us. The Administrator provides similar services to our SBIC Funds under each of their administration agreements with PennantPark Investment. For providing these services, facilities and personnel, PennantPark Investment has agreed to reimburse the Administrator for our allocable portion of overhead and other expenses incurred by the Administrator in performing its obligations under our Administration Agreement, including rent and PennantPark Investment’s allocable portion of the costs of compensation and related expenses for its Chief Compliance Officer, Chief Financial Officer and their respective staffs. The Administrator also offers, on PennantPark Investment’s behalf, managerial assistance to portfolio companies to which PennantPark Investment is required to offer such assistance. Reimbursement for certain of these costs is included in administrative services expenses in the Consolidated Statements of Operations. For the three months ended December 31, 2016 and 2015, the Investment Adviser was reimbursed $0.5 million and $0.3 million, respectively, from us, including expenses incurred on behalf of the Administrator, for the services described above.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ectPr>
          <w:pgSz w:w="11900" w:h="16838" w:orient="portrait"/>
          <w:cols w:equalWidth="0" w:num="1">
            <w:col w:w="11240"/>
          </w:cols>
          <w:pgMar w:left="320" w:top="459"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DECEMBER 31, 2016</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00"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Purchases of investments, including PIK interest, for the three months ended December 31, 2016 and 2015 totaled $232.1 million and $134.8 million, respectively. Sales and repayments of investments for the same periods totaled $64.2 million and $108.1 million, respectively. For the three months ended December 31, 2016, the Company bought $5.0 million in total investments from an affiliated fund managed by our Investment Adviser in accordance with, and pursuant to procedures adopted under, Rule 17a-7 of the 1940 Act. The affiliated fund realized a gain of less than $0.1 million.</w:t>
      </w:r>
    </w:p>
    <w:p>
      <w:pPr>
        <w:spacing w:after="0" w:line="77" w:lineRule="exact"/>
        <w:rPr>
          <w:sz w:val="20"/>
          <w:szCs w:val="20"/>
          <w:color w:val="auto"/>
        </w:rPr>
      </w:pPr>
    </w:p>
    <w:tbl>
      <w:tblPr>
        <w:tblLayout w:type="fixed"/>
        <w:tblInd w:w="560" w:type="dxa"/>
        <w:tblCellMar>
          <w:top w:w="0" w:type="dxa"/>
          <w:left w:w="0" w:type="dxa"/>
          <w:bottom w:w="0" w:type="dxa"/>
          <w:right w:w="0" w:type="dxa"/>
        </w:tblCellMar>
      </w:tblPr>
      <w:tr>
        <w:trPr>
          <w:trHeight w:val="182"/>
        </w:trPr>
        <w:tc>
          <w:tcPr>
            <w:tcW w:w="4380" w:type="dxa"/>
            <w:vAlign w:val="bottom"/>
            <w:gridSpan w:val="2"/>
          </w:tcPr>
          <w:p>
            <w:pPr>
              <w:spacing w:after="0"/>
              <w:rPr>
                <w:sz w:val="20"/>
                <w:szCs w:val="20"/>
                <w:color w:val="auto"/>
              </w:rPr>
            </w:pPr>
            <w:r>
              <w:rPr>
                <w:rFonts w:ascii="Arial" w:cs="Arial" w:eastAsia="Arial" w:hAnsi="Arial"/>
                <w:sz w:val="14"/>
                <w:szCs w:val="14"/>
                <w:color w:val="auto"/>
              </w:rPr>
              <w:t>Investments, cash and cash equivalents consisted of the following:</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438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Investment Classification</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400" w:type="dxa"/>
            <w:vAlign w:val="bottom"/>
            <w:gridSpan w:val="6"/>
          </w:tcPr>
          <w:p>
            <w:pPr>
              <w:ind w:left="480"/>
              <w:spacing w:after="0"/>
              <w:rPr>
                <w:sz w:val="20"/>
                <w:szCs w:val="20"/>
                <w:color w:val="auto"/>
              </w:rPr>
            </w:pPr>
            <w:r>
              <w:rPr>
                <w:rFonts w:ascii="Arial" w:cs="Arial" w:eastAsia="Arial" w:hAnsi="Arial"/>
                <w:sz w:val="14"/>
                <w:szCs w:val="14"/>
                <w:b w:val="1"/>
                <w:bCs w:val="1"/>
                <w:color w:val="auto"/>
              </w:rPr>
              <w:t>December 31, 2016</w:t>
            </w:r>
          </w:p>
        </w:tc>
        <w:tc>
          <w:tcPr>
            <w:tcW w:w="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340" w:type="dxa"/>
            <w:vAlign w:val="bottom"/>
            <w:gridSpan w:val="6"/>
          </w:tcPr>
          <w:p>
            <w:pPr>
              <w:ind w:left="460"/>
              <w:spacing w:after="0"/>
              <w:rPr>
                <w:sz w:val="20"/>
                <w:szCs w:val="20"/>
                <w:color w:val="auto"/>
              </w:rPr>
            </w:pPr>
            <w:r>
              <w:rPr>
                <w:rFonts w:ascii="Arial" w:cs="Arial" w:eastAsia="Arial" w:hAnsi="Arial"/>
                <w:sz w:val="14"/>
                <w:szCs w:val="14"/>
                <w:b w:val="1"/>
                <w:bCs w:val="1"/>
                <w:color w:val="auto"/>
              </w:rPr>
              <w:t>September 30, 2016</w:t>
            </w:r>
          </w:p>
        </w:tc>
        <w:tc>
          <w:tcPr>
            <w:tcW w:w="0" w:type="dxa"/>
            <w:vAlign w:val="bottom"/>
          </w:tcPr>
          <w:p>
            <w:pPr>
              <w:spacing w:after="0"/>
              <w:rPr>
                <w:sz w:val="1"/>
                <w:szCs w:val="1"/>
                <w:color w:val="auto"/>
              </w:rPr>
            </w:pPr>
          </w:p>
        </w:tc>
      </w:tr>
      <w:tr>
        <w:trPr>
          <w:trHeight w:val="142"/>
        </w:trPr>
        <w:tc>
          <w:tcPr>
            <w:tcW w:w="43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Cost</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Cost</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128"/>
              <w:spacing w:after="0" w:line="142" w:lineRule="exact"/>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40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First lien</w:t>
            </w: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543,041,856</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522,190,511</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418,873,576</w:t>
            </w: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397,102,721</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Arial" w:cs="Arial" w:eastAsia="Arial" w:hAnsi="Arial"/>
                <w:sz w:val="14"/>
                <w:szCs w:val="14"/>
                <w:color w:val="auto"/>
              </w:rPr>
              <w:t>Second lien</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441,804,534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442,872,294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451,756,995</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425,412,443</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211,801,413</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206,702,440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189,453,101</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177,631,517</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4020" w:type="dxa"/>
            <w:vAlign w:val="bottom"/>
          </w:tcPr>
          <w:p>
            <w:pPr>
              <w:spacing w:after="0" w:line="149" w:lineRule="exact"/>
              <w:rPr>
                <w:sz w:val="20"/>
                <w:szCs w:val="20"/>
                <w:color w:val="auto"/>
              </w:rPr>
            </w:pPr>
            <w:r>
              <w:rPr>
                <w:rFonts w:ascii="Arial" w:cs="Arial" w:eastAsia="Arial" w:hAnsi="Arial"/>
                <w:sz w:val="14"/>
                <w:szCs w:val="14"/>
                <w:color w:val="auto"/>
              </w:rPr>
              <w:t>Equity</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203,814,838</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153,778,534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193,873,474</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153,532,994</w:t>
            </w:r>
          </w:p>
        </w:tc>
        <w:tc>
          <w:tcPr>
            <w:tcW w:w="0" w:type="dxa"/>
            <w:vAlign w:val="bottom"/>
          </w:tcPr>
          <w:p>
            <w:pPr>
              <w:spacing w:after="0"/>
              <w:rPr>
                <w:sz w:val="1"/>
                <w:szCs w:val="1"/>
                <w:color w:val="auto"/>
              </w:rPr>
            </w:pPr>
          </w:p>
        </w:tc>
      </w:tr>
      <w:tr>
        <w:trPr>
          <w:trHeight w:val="27"/>
        </w:trPr>
        <w:tc>
          <w:tcPr>
            <w:tcW w:w="360" w:type="dxa"/>
            <w:vAlign w:val="bottom"/>
            <w:vMerge w:val="restart"/>
          </w:tcPr>
          <w:p>
            <w:pPr>
              <w:spacing w:after="0"/>
              <w:rPr>
                <w:sz w:val="2"/>
                <w:szCs w:val="2"/>
                <w:color w:val="auto"/>
              </w:rPr>
            </w:pPr>
          </w:p>
        </w:tc>
        <w:tc>
          <w:tcPr>
            <w:tcW w:w="4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60" w:type="dxa"/>
            <w:vAlign w:val="bottom"/>
            <w:vMerge w:val="continue"/>
          </w:tcPr>
          <w:p>
            <w:pPr>
              <w:spacing w:after="0"/>
              <w:rPr>
                <w:sz w:val="12"/>
                <w:szCs w:val="12"/>
                <w:color w:val="auto"/>
              </w:rPr>
            </w:pPr>
          </w:p>
        </w:tc>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investments</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8"/>
              </w:rPr>
              <w:t>1,400,462,641</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1,325,543,779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8"/>
              </w:rPr>
              <w:t>1,253,957,146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1,153,679,675</w:t>
            </w:r>
          </w:p>
        </w:tc>
        <w:tc>
          <w:tcPr>
            <w:tcW w:w="0" w:type="dxa"/>
            <w:vAlign w:val="bottom"/>
          </w:tcPr>
          <w:p>
            <w:pPr>
              <w:spacing w:after="0"/>
              <w:rPr>
                <w:sz w:val="1"/>
                <w:szCs w:val="1"/>
                <w:color w:val="auto"/>
              </w:rPr>
            </w:pPr>
          </w:p>
        </w:tc>
      </w:tr>
      <w:tr>
        <w:trPr>
          <w:trHeight w:val="163"/>
        </w:trPr>
        <w:tc>
          <w:tcPr>
            <w:tcW w:w="4380" w:type="dxa"/>
            <w:vAlign w:val="bottom"/>
            <w:gridSpan w:val="2"/>
          </w:tcPr>
          <w:p>
            <w:pPr>
              <w:ind w:left="360"/>
              <w:spacing w:after="0" w:line="155" w:lineRule="exact"/>
              <w:rPr>
                <w:sz w:val="20"/>
                <w:szCs w:val="20"/>
                <w:color w:val="auto"/>
              </w:rPr>
            </w:pPr>
            <w:r>
              <w:rPr>
                <w:rFonts w:ascii="Arial" w:cs="Arial" w:eastAsia="Arial" w:hAnsi="Arial"/>
                <w:sz w:val="14"/>
                <w:szCs w:val="14"/>
                <w:color w:val="auto"/>
              </w:rPr>
              <w:t>Cash and cash equivalents</w:t>
            </w: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45,335,225</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45,340,576</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75,617,133</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75,608,113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4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investments, cash and cash equivalents</w:t>
            </w:r>
          </w:p>
        </w:tc>
        <w:tc>
          <w:tcPr>
            <w:tcW w:w="36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8"/>
              </w:rPr>
              <w:t>1,445,797,866</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1,370,884,355</w:t>
            </w:r>
          </w:p>
        </w:tc>
        <w:tc>
          <w:tcPr>
            <w:tcW w:w="300" w:type="dxa"/>
            <w:vAlign w:val="bottom"/>
            <w:gridSpan w:val="2"/>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8"/>
              </w:rPr>
              <w:t>1,329,574,279</w:t>
            </w:r>
          </w:p>
        </w:tc>
        <w:tc>
          <w:tcPr>
            <w:tcW w:w="2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1,229,287,788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80" w:firstLine="562"/>
        <w:spacing w:after="0" w:line="253" w:lineRule="auto"/>
        <w:rPr>
          <w:sz w:val="20"/>
          <w:szCs w:val="20"/>
          <w:color w:val="auto"/>
        </w:rPr>
      </w:pPr>
      <w:r>
        <w:rPr>
          <w:rFonts w:ascii="Arial" w:cs="Arial" w:eastAsia="Arial" w:hAnsi="Arial"/>
          <w:sz w:val="14"/>
          <w:szCs w:val="14"/>
          <w:color w:val="auto"/>
        </w:rPr>
        <w:t>The table below describes investments by industry classification and enumerates the percentage, by fair value, of the total portfolio assets (excluding cash and cash equivalents) in such industries as of:</w:t>
      </w:r>
    </w:p>
    <w:p>
      <w:pPr>
        <w:spacing w:after="0" w:line="197"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3680" w:type="dxa"/>
            <w:vAlign w:val="bottom"/>
            <w:gridSpan w:val="2"/>
          </w:tcPr>
          <w:p>
            <w:pPr>
              <w:spacing w:after="0"/>
              <w:rPr>
                <w:sz w:val="20"/>
                <w:szCs w:val="20"/>
                <w:color w:val="auto"/>
              </w:rPr>
            </w:pPr>
            <w:r>
              <w:rPr>
                <w:rFonts w:ascii="Arial" w:cs="Arial" w:eastAsia="Arial" w:hAnsi="Arial"/>
                <w:sz w:val="14"/>
                <w:szCs w:val="14"/>
                <w:b w:val="1"/>
                <w:bCs w:val="1"/>
                <w:color w:val="auto"/>
              </w:rPr>
              <w:t>Industry Classification</w:t>
            </w: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1"/>
              </w:rPr>
              <w:t>December 31, 2016</w:t>
            </w:r>
          </w:p>
        </w:tc>
        <w:tc>
          <w:tcPr>
            <w:tcW w:w="13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0"/>
              </w:rPr>
              <w:t>September 30, 2016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Hotels, Motels, Inns and Gaming</w:t>
            </w:r>
          </w:p>
        </w:tc>
        <w:tc>
          <w:tcPr>
            <w:tcW w:w="1220" w:type="dxa"/>
            <w:vAlign w:val="bottom"/>
            <w:shd w:val="clear" w:color="auto" w:fill="CCEEFF"/>
          </w:tcPr>
          <w:p>
            <w:pPr>
              <w:spacing w:after="0"/>
              <w:rPr>
                <w:sz w:val="12"/>
                <w:szCs w:val="12"/>
                <w:color w:val="auto"/>
              </w:rPr>
            </w:pPr>
          </w:p>
        </w:tc>
        <w:tc>
          <w:tcPr>
            <w:tcW w:w="120" w:type="dxa"/>
            <w:vAlign w:val="bottom"/>
            <w:vMerge w:val="continue"/>
            <w:shd w:val="clear" w:color="auto" w:fill="CCEEFF"/>
          </w:tcPr>
          <w:p>
            <w:pPr>
              <w:spacing w:after="0"/>
              <w:rPr>
                <w:sz w:val="12"/>
                <w:szCs w:val="12"/>
                <w:color w:val="auto"/>
              </w:rPr>
            </w:pPr>
          </w:p>
        </w:tc>
        <w:tc>
          <w:tcPr>
            <w:tcW w:w="1460" w:type="dxa"/>
            <w:vAlign w:val="bottom"/>
            <w:gridSpan w:val="2"/>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17%</w:t>
            </w:r>
          </w:p>
        </w:tc>
        <w:tc>
          <w:tcPr>
            <w:tcW w:w="138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60" w:type="dxa"/>
            <w:vAlign w:val="bottom"/>
          </w:tcPr>
          <w:p>
            <w:pPr>
              <w:spacing w:after="0" w:line="149" w:lineRule="exact"/>
              <w:rPr>
                <w:sz w:val="20"/>
                <w:szCs w:val="20"/>
                <w:color w:val="auto"/>
              </w:rPr>
            </w:pPr>
            <w:r>
              <w:rPr>
                <w:rFonts w:ascii="Arial" w:cs="Arial" w:eastAsia="Arial" w:hAnsi="Arial"/>
                <w:sz w:val="14"/>
                <w:szCs w:val="14"/>
                <w:color w:val="auto"/>
              </w:rPr>
              <w:t>Consumer Products</w:t>
            </w:r>
          </w:p>
        </w:tc>
        <w:tc>
          <w:tcPr>
            <w:tcW w:w="2800" w:type="dxa"/>
            <w:vAlign w:val="bottom"/>
            <w:gridSpan w:val="4"/>
          </w:tcPr>
          <w:p>
            <w:pPr>
              <w:jc w:val="right"/>
              <w:ind w:right="260"/>
              <w:spacing w:after="0" w:line="149" w:lineRule="exact"/>
              <w:rPr>
                <w:sz w:val="20"/>
                <w:szCs w:val="20"/>
                <w:color w:val="auto"/>
              </w:rPr>
            </w:pPr>
            <w:r>
              <w:rPr>
                <w:rFonts w:ascii="Arial" w:cs="Arial" w:eastAsia="Arial" w:hAnsi="Arial"/>
                <w:sz w:val="14"/>
                <w:szCs w:val="14"/>
                <w:color w:val="auto"/>
              </w:rPr>
              <w:t>8</w:t>
            </w:r>
          </w:p>
        </w:tc>
        <w:tc>
          <w:tcPr>
            <w:tcW w:w="13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Personal, Food and Miscellaneous Services</w:t>
            </w:r>
          </w:p>
        </w:tc>
        <w:tc>
          <w:tcPr>
            <w:tcW w:w="2800" w:type="dxa"/>
            <w:vAlign w:val="bottom"/>
            <w:gridSpan w:val="4"/>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w:t>
            </w:r>
          </w:p>
        </w:tc>
        <w:tc>
          <w:tcPr>
            <w:tcW w:w="13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line="149" w:lineRule="exact"/>
              <w:rPr>
                <w:sz w:val="20"/>
                <w:szCs w:val="20"/>
                <w:color w:val="auto"/>
              </w:rPr>
            </w:pPr>
            <w:r>
              <w:rPr>
                <w:rFonts w:ascii="Arial" w:cs="Arial" w:eastAsia="Arial" w:hAnsi="Arial"/>
                <w:sz w:val="14"/>
                <w:szCs w:val="14"/>
                <w:color w:val="auto"/>
              </w:rPr>
              <w:t>Aerospace and Defense</w:t>
            </w:r>
          </w:p>
        </w:tc>
        <w:tc>
          <w:tcPr>
            <w:tcW w:w="2800" w:type="dxa"/>
            <w:vAlign w:val="bottom"/>
            <w:gridSpan w:val="4"/>
          </w:tcPr>
          <w:p>
            <w:pPr>
              <w:jc w:val="right"/>
              <w:ind w:right="260"/>
              <w:spacing w:after="0" w:line="149" w:lineRule="exact"/>
              <w:rPr>
                <w:sz w:val="20"/>
                <w:szCs w:val="20"/>
                <w:color w:val="auto"/>
              </w:rPr>
            </w:pPr>
            <w:r>
              <w:rPr>
                <w:rFonts w:ascii="Arial" w:cs="Arial" w:eastAsia="Arial" w:hAnsi="Arial"/>
                <w:sz w:val="14"/>
                <w:szCs w:val="14"/>
                <w:color w:val="auto"/>
              </w:rPr>
              <w:t>6</w:t>
            </w:r>
          </w:p>
        </w:tc>
        <w:tc>
          <w:tcPr>
            <w:tcW w:w="13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Business Services</w:t>
            </w:r>
          </w:p>
        </w:tc>
        <w:tc>
          <w:tcPr>
            <w:tcW w:w="2800" w:type="dxa"/>
            <w:vAlign w:val="bottom"/>
            <w:gridSpan w:val="4"/>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w:t>
            </w:r>
          </w:p>
        </w:tc>
        <w:tc>
          <w:tcPr>
            <w:tcW w:w="13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60" w:type="dxa"/>
            <w:vAlign w:val="bottom"/>
          </w:tcPr>
          <w:p>
            <w:pPr>
              <w:spacing w:after="0" w:line="149" w:lineRule="exact"/>
              <w:rPr>
                <w:sz w:val="20"/>
                <w:szCs w:val="20"/>
                <w:color w:val="auto"/>
              </w:rPr>
            </w:pPr>
            <w:r>
              <w:rPr>
                <w:rFonts w:ascii="Arial" w:cs="Arial" w:eastAsia="Arial" w:hAnsi="Arial"/>
                <w:sz w:val="14"/>
                <w:szCs w:val="14"/>
                <w:color w:val="auto"/>
              </w:rPr>
              <w:t>Energy and Utilities</w:t>
            </w:r>
          </w:p>
        </w:tc>
        <w:tc>
          <w:tcPr>
            <w:tcW w:w="2800" w:type="dxa"/>
            <w:vAlign w:val="bottom"/>
            <w:gridSpan w:val="4"/>
          </w:tcPr>
          <w:p>
            <w:pPr>
              <w:jc w:val="right"/>
              <w:ind w:right="260"/>
              <w:spacing w:after="0" w:line="149" w:lineRule="exact"/>
              <w:rPr>
                <w:sz w:val="20"/>
                <w:szCs w:val="20"/>
                <w:color w:val="auto"/>
              </w:rPr>
            </w:pPr>
            <w:r>
              <w:rPr>
                <w:rFonts w:ascii="Arial" w:cs="Arial" w:eastAsia="Arial" w:hAnsi="Arial"/>
                <w:sz w:val="14"/>
                <w:szCs w:val="14"/>
                <w:color w:val="auto"/>
              </w:rPr>
              <w:t>5</w:t>
            </w:r>
          </w:p>
        </w:tc>
        <w:tc>
          <w:tcPr>
            <w:tcW w:w="13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Environmental Services</w:t>
            </w:r>
          </w:p>
        </w:tc>
        <w:tc>
          <w:tcPr>
            <w:tcW w:w="2800" w:type="dxa"/>
            <w:vAlign w:val="bottom"/>
            <w:gridSpan w:val="4"/>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w:t>
            </w:r>
          </w:p>
        </w:tc>
        <w:tc>
          <w:tcPr>
            <w:tcW w:w="13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60" w:type="dxa"/>
            <w:vAlign w:val="bottom"/>
          </w:tcPr>
          <w:p>
            <w:pPr>
              <w:spacing w:after="0" w:line="149" w:lineRule="exact"/>
              <w:rPr>
                <w:sz w:val="20"/>
                <w:szCs w:val="20"/>
                <w:color w:val="auto"/>
              </w:rPr>
            </w:pPr>
            <w:r>
              <w:rPr>
                <w:rFonts w:ascii="Arial" w:cs="Arial" w:eastAsia="Arial" w:hAnsi="Arial"/>
                <w:sz w:val="14"/>
                <w:szCs w:val="14"/>
                <w:color w:val="auto"/>
              </w:rPr>
              <w:t>Financial Services</w:t>
            </w:r>
          </w:p>
        </w:tc>
        <w:tc>
          <w:tcPr>
            <w:tcW w:w="2800" w:type="dxa"/>
            <w:vAlign w:val="bottom"/>
            <w:gridSpan w:val="4"/>
          </w:tcPr>
          <w:p>
            <w:pPr>
              <w:jc w:val="right"/>
              <w:ind w:right="260"/>
              <w:spacing w:after="0" w:line="149" w:lineRule="exact"/>
              <w:rPr>
                <w:sz w:val="20"/>
                <w:szCs w:val="20"/>
                <w:color w:val="auto"/>
              </w:rPr>
            </w:pPr>
            <w:r>
              <w:rPr>
                <w:rFonts w:ascii="Arial" w:cs="Arial" w:eastAsia="Arial" w:hAnsi="Arial"/>
                <w:sz w:val="14"/>
                <w:szCs w:val="14"/>
                <w:color w:val="auto"/>
              </w:rPr>
              <w:t>5</w:t>
            </w:r>
          </w:p>
        </w:tc>
        <w:tc>
          <w:tcPr>
            <w:tcW w:w="13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Distribution</w:t>
            </w:r>
          </w:p>
        </w:tc>
        <w:tc>
          <w:tcPr>
            <w:tcW w:w="2800" w:type="dxa"/>
            <w:vAlign w:val="bottom"/>
            <w:gridSpan w:val="4"/>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w:t>
            </w:r>
          </w:p>
        </w:tc>
        <w:tc>
          <w:tcPr>
            <w:tcW w:w="13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60" w:type="dxa"/>
            <w:vAlign w:val="bottom"/>
          </w:tcPr>
          <w:p>
            <w:pPr>
              <w:spacing w:after="0" w:line="149" w:lineRule="exact"/>
              <w:rPr>
                <w:sz w:val="20"/>
                <w:szCs w:val="20"/>
                <w:color w:val="auto"/>
              </w:rPr>
            </w:pPr>
            <w:r>
              <w:rPr>
                <w:rFonts w:ascii="Arial" w:cs="Arial" w:eastAsia="Arial" w:hAnsi="Arial"/>
                <w:sz w:val="14"/>
                <w:szCs w:val="14"/>
                <w:color w:val="auto"/>
              </w:rPr>
              <w:t>Electronics</w:t>
            </w:r>
          </w:p>
        </w:tc>
        <w:tc>
          <w:tcPr>
            <w:tcW w:w="2800" w:type="dxa"/>
            <w:vAlign w:val="bottom"/>
            <w:gridSpan w:val="4"/>
          </w:tcPr>
          <w:p>
            <w:pPr>
              <w:jc w:val="right"/>
              <w:ind w:right="260"/>
              <w:spacing w:after="0" w:line="149" w:lineRule="exact"/>
              <w:rPr>
                <w:sz w:val="20"/>
                <w:szCs w:val="20"/>
                <w:color w:val="auto"/>
              </w:rPr>
            </w:pPr>
            <w:r>
              <w:rPr>
                <w:rFonts w:ascii="Arial" w:cs="Arial" w:eastAsia="Arial" w:hAnsi="Arial"/>
                <w:sz w:val="14"/>
                <w:szCs w:val="14"/>
                <w:color w:val="auto"/>
              </w:rPr>
              <w:t>4</w:t>
            </w:r>
          </w:p>
        </w:tc>
        <w:tc>
          <w:tcPr>
            <w:tcW w:w="13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Manufacturing / Basic Industries</w:t>
            </w:r>
          </w:p>
        </w:tc>
        <w:tc>
          <w:tcPr>
            <w:tcW w:w="2800" w:type="dxa"/>
            <w:vAlign w:val="bottom"/>
            <w:gridSpan w:val="4"/>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w:t>
            </w:r>
          </w:p>
        </w:tc>
        <w:tc>
          <w:tcPr>
            <w:tcW w:w="13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60" w:type="dxa"/>
            <w:vAlign w:val="bottom"/>
          </w:tcPr>
          <w:p>
            <w:pPr>
              <w:spacing w:after="0" w:line="149" w:lineRule="exact"/>
              <w:rPr>
                <w:sz w:val="20"/>
                <w:szCs w:val="20"/>
                <w:color w:val="auto"/>
              </w:rPr>
            </w:pPr>
            <w:r>
              <w:rPr>
                <w:rFonts w:ascii="Arial" w:cs="Arial" w:eastAsia="Arial" w:hAnsi="Arial"/>
                <w:sz w:val="14"/>
                <w:szCs w:val="14"/>
                <w:color w:val="auto"/>
              </w:rPr>
              <w:t>Oil and Gas</w:t>
            </w:r>
          </w:p>
        </w:tc>
        <w:tc>
          <w:tcPr>
            <w:tcW w:w="2800" w:type="dxa"/>
            <w:vAlign w:val="bottom"/>
            <w:gridSpan w:val="4"/>
          </w:tcPr>
          <w:p>
            <w:pPr>
              <w:jc w:val="right"/>
              <w:ind w:right="260"/>
              <w:spacing w:after="0" w:line="149" w:lineRule="exact"/>
              <w:rPr>
                <w:sz w:val="20"/>
                <w:szCs w:val="20"/>
                <w:color w:val="auto"/>
              </w:rPr>
            </w:pPr>
            <w:r>
              <w:rPr>
                <w:rFonts w:ascii="Arial" w:cs="Arial" w:eastAsia="Arial" w:hAnsi="Arial"/>
                <w:sz w:val="14"/>
                <w:szCs w:val="14"/>
                <w:color w:val="auto"/>
              </w:rPr>
              <w:t>4</w:t>
            </w:r>
          </w:p>
        </w:tc>
        <w:tc>
          <w:tcPr>
            <w:tcW w:w="13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Auto Sector</w:t>
            </w:r>
          </w:p>
        </w:tc>
        <w:tc>
          <w:tcPr>
            <w:tcW w:w="2800" w:type="dxa"/>
            <w:vAlign w:val="bottom"/>
            <w:gridSpan w:val="4"/>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w:t>
            </w:r>
          </w:p>
        </w:tc>
        <w:tc>
          <w:tcPr>
            <w:tcW w:w="13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60" w:type="dxa"/>
            <w:vAlign w:val="bottom"/>
          </w:tcPr>
          <w:p>
            <w:pPr>
              <w:spacing w:after="0" w:line="149" w:lineRule="exact"/>
              <w:rPr>
                <w:sz w:val="20"/>
                <w:szCs w:val="20"/>
                <w:color w:val="auto"/>
              </w:rPr>
            </w:pPr>
            <w:r>
              <w:rPr>
                <w:rFonts w:ascii="Arial" w:cs="Arial" w:eastAsia="Arial" w:hAnsi="Arial"/>
                <w:sz w:val="14"/>
                <w:szCs w:val="14"/>
                <w:color w:val="auto"/>
              </w:rPr>
              <w:t>Healthcare, Education and Childcare</w:t>
            </w:r>
          </w:p>
        </w:tc>
        <w:tc>
          <w:tcPr>
            <w:tcW w:w="2800" w:type="dxa"/>
            <w:vAlign w:val="bottom"/>
            <w:gridSpan w:val="4"/>
          </w:tcPr>
          <w:p>
            <w:pPr>
              <w:jc w:val="right"/>
              <w:ind w:right="260"/>
              <w:spacing w:after="0" w:line="149" w:lineRule="exact"/>
              <w:rPr>
                <w:sz w:val="20"/>
                <w:szCs w:val="20"/>
                <w:color w:val="auto"/>
              </w:rPr>
            </w:pPr>
            <w:r>
              <w:rPr>
                <w:rFonts w:ascii="Arial" w:cs="Arial" w:eastAsia="Arial" w:hAnsi="Arial"/>
                <w:sz w:val="14"/>
                <w:szCs w:val="14"/>
                <w:color w:val="auto"/>
              </w:rPr>
              <w:t>3</w:t>
            </w:r>
          </w:p>
        </w:tc>
        <w:tc>
          <w:tcPr>
            <w:tcW w:w="13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Retail</w:t>
            </w:r>
          </w:p>
        </w:tc>
        <w:tc>
          <w:tcPr>
            <w:tcW w:w="2800" w:type="dxa"/>
            <w:vAlign w:val="bottom"/>
            <w:gridSpan w:val="4"/>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w:t>
            </w:r>
          </w:p>
        </w:tc>
        <w:tc>
          <w:tcPr>
            <w:tcW w:w="13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tcPr>
          <w:p>
            <w:pPr>
              <w:spacing w:after="0" w:line="149" w:lineRule="exact"/>
              <w:rPr>
                <w:sz w:val="20"/>
                <w:szCs w:val="20"/>
                <w:color w:val="auto"/>
              </w:rPr>
            </w:pPr>
            <w:r>
              <w:rPr>
                <w:rFonts w:ascii="Arial" w:cs="Arial" w:eastAsia="Arial" w:hAnsi="Arial"/>
                <w:sz w:val="14"/>
                <w:szCs w:val="14"/>
                <w:color w:val="auto"/>
              </w:rPr>
              <w:t>Buildings and Real Estate</w:t>
            </w:r>
          </w:p>
        </w:tc>
        <w:tc>
          <w:tcPr>
            <w:tcW w:w="2800" w:type="dxa"/>
            <w:vAlign w:val="bottom"/>
            <w:gridSpan w:val="4"/>
          </w:tcPr>
          <w:p>
            <w:pPr>
              <w:jc w:val="right"/>
              <w:ind w:right="260"/>
              <w:spacing w:after="0" w:line="149" w:lineRule="exact"/>
              <w:rPr>
                <w:sz w:val="20"/>
                <w:szCs w:val="20"/>
                <w:color w:val="auto"/>
              </w:rPr>
            </w:pPr>
            <w:r>
              <w:rPr>
                <w:rFonts w:ascii="Arial" w:cs="Arial" w:eastAsia="Arial" w:hAnsi="Arial"/>
                <w:sz w:val="14"/>
                <w:szCs w:val="14"/>
                <w:color w:val="auto"/>
              </w:rPr>
              <w:t>2</w:t>
            </w:r>
          </w:p>
        </w:tc>
        <w:tc>
          <w:tcPr>
            <w:tcW w:w="13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Building Materials</w:t>
            </w:r>
          </w:p>
        </w:tc>
        <w:tc>
          <w:tcPr>
            <w:tcW w:w="2800" w:type="dxa"/>
            <w:vAlign w:val="bottom"/>
            <w:gridSpan w:val="4"/>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w:t>
            </w:r>
          </w:p>
        </w:tc>
        <w:tc>
          <w:tcPr>
            <w:tcW w:w="13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60" w:type="dxa"/>
            <w:vAlign w:val="bottom"/>
          </w:tcPr>
          <w:p>
            <w:pPr>
              <w:spacing w:after="0" w:line="149" w:lineRule="exact"/>
              <w:rPr>
                <w:sz w:val="20"/>
                <w:szCs w:val="20"/>
                <w:color w:val="auto"/>
              </w:rPr>
            </w:pPr>
            <w:r>
              <w:rPr>
                <w:rFonts w:ascii="Arial" w:cs="Arial" w:eastAsia="Arial" w:hAnsi="Arial"/>
                <w:sz w:val="14"/>
                <w:szCs w:val="14"/>
                <w:color w:val="auto"/>
              </w:rPr>
              <w:t>Media</w:t>
            </w:r>
          </w:p>
        </w:tc>
        <w:tc>
          <w:tcPr>
            <w:tcW w:w="2800" w:type="dxa"/>
            <w:vAlign w:val="bottom"/>
            <w:gridSpan w:val="4"/>
          </w:tcPr>
          <w:p>
            <w:pPr>
              <w:jc w:val="right"/>
              <w:ind w:right="260"/>
              <w:spacing w:after="0" w:line="149" w:lineRule="exact"/>
              <w:rPr>
                <w:sz w:val="20"/>
                <w:szCs w:val="20"/>
                <w:color w:val="auto"/>
              </w:rPr>
            </w:pPr>
            <w:r>
              <w:rPr>
                <w:rFonts w:ascii="Arial" w:cs="Arial" w:eastAsia="Arial" w:hAnsi="Arial"/>
                <w:sz w:val="14"/>
                <w:szCs w:val="14"/>
                <w:color w:val="auto"/>
              </w:rPr>
              <w:t>2</w:t>
            </w:r>
          </w:p>
        </w:tc>
        <w:tc>
          <w:tcPr>
            <w:tcW w:w="13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Media</w:t>
            </w:r>
          </w:p>
        </w:tc>
        <w:tc>
          <w:tcPr>
            <w:tcW w:w="2800" w:type="dxa"/>
            <w:vAlign w:val="bottom"/>
            <w:gridSpan w:val="4"/>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w:t>
            </w:r>
          </w:p>
        </w:tc>
        <w:tc>
          <w:tcPr>
            <w:tcW w:w="13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60" w:type="dxa"/>
            <w:vAlign w:val="bottom"/>
          </w:tcPr>
          <w:p>
            <w:pPr>
              <w:spacing w:after="0" w:line="149" w:lineRule="exact"/>
              <w:rPr>
                <w:sz w:val="20"/>
                <w:szCs w:val="20"/>
                <w:color w:val="auto"/>
              </w:rPr>
            </w:pPr>
            <w:r>
              <w:rPr>
                <w:rFonts w:ascii="Arial" w:cs="Arial" w:eastAsia="Arial" w:hAnsi="Arial"/>
                <w:sz w:val="14"/>
                <w:szCs w:val="14"/>
                <w:color w:val="auto"/>
              </w:rPr>
              <w:t>Printing and Publishing</w:t>
            </w:r>
          </w:p>
        </w:tc>
        <w:tc>
          <w:tcPr>
            <w:tcW w:w="2800" w:type="dxa"/>
            <w:vAlign w:val="bottom"/>
            <w:gridSpan w:val="4"/>
          </w:tcPr>
          <w:p>
            <w:pPr>
              <w:jc w:val="right"/>
              <w:ind w:right="260"/>
              <w:spacing w:after="0" w:line="149" w:lineRule="exact"/>
              <w:rPr>
                <w:sz w:val="20"/>
                <w:szCs w:val="20"/>
                <w:color w:val="auto"/>
              </w:rPr>
            </w:pPr>
            <w:r>
              <w:rPr>
                <w:rFonts w:ascii="Arial" w:cs="Arial" w:eastAsia="Arial" w:hAnsi="Arial"/>
                <w:sz w:val="14"/>
                <w:szCs w:val="14"/>
                <w:color w:val="auto"/>
              </w:rPr>
              <w:t>2</w:t>
            </w:r>
          </w:p>
        </w:tc>
        <w:tc>
          <w:tcPr>
            <w:tcW w:w="13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Diversified Natural Resources, Precious Metals and Minerals</w:t>
            </w:r>
          </w:p>
        </w:tc>
        <w:tc>
          <w:tcPr>
            <w:tcW w:w="2800" w:type="dxa"/>
            <w:vAlign w:val="bottom"/>
            <w:gridSpan w:val="4"/>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w:t>
            </w:r>
          </w:p>
        </w:tc>
        <w:tc>
          <w:tcPr>
            <w:tcW w:w="13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6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1340" w:type="dxa"/>
            <w:vAlign w:val="bottom"/>
            <w:gridSpan w:val="2"/>
          </w:tcPr>
          <w:p>
            <w:pPr>
              <w:spacing w:after="0"/>
              <w:rPr>
                <w:sz w:val="13"/>
                <w:szCs w:val="13"/>
                <w:color w:val="auto"/>
              </w:rPr>
            </w:pPr>
          </w:p>
        </w:tc>
        <w:tc>
          <w:tcPr>
            <w:tcW w:w="12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w:t>
            </w:r>
          </w:p>
        </w:tc>
        <w:tc>
          <w:tcPr>
            <w:tcW w:w="260" w:type="dxa"/>
            <w:vAlign w:val="bottom"/>
          </w:tcPr>
          <w:p>
            <w:pPr>
              <w:spacing w:after="0"/>
              <w:rPr>
                <w:sz w:val="13"/>
                <w:szCs w:val="13"/>
                <w:color w:val="auto"/>
              </w:rPr>
            </w:pPr>
          </w:p>
        </w:tc>
        <w:tc>
          <w:tcPr>
            <w:tcW w:w="12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w:t>
            </w:r>
          </w:p>
        </w:tc>
        <w:tc>
          <w:tcPr>
            <w:tcW w:w="280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100%</w:t>
            </w:r>
          </w:p>
        </w:tc>
        <w:tc>
          <w:tcPr>
            <w:tcW w:w="138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1220" w:type="dxa"/>
            <w:vAlign w:val="bottom"/>
            <w:vMerge w:val="restart"/>
          </w:tcPr>
          <w:p>
            <w:pPr>
              <w:jc w:val="right"/>
              <w:ind w:right="82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20" w:top="459" w:right="3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59"/>
        <w:spacing w:after="0" w:line="221" w:lineRule="auto"/>
        <w:rPr>
          <w:sz w:val="20"/>
          <w:szCs w:val="20"/>
          <w:color w:val="auto"/>
        </w:rPr>
      </w:pPr>
      <w:r>
        <w:rPr>
          <w:rFonts w:ascii="Arial" w:cs="Arial" w:eastAsia="Arial" w:hAnsi="Arial"/>
          <w:sz w:val="14"/>
          <w:szCs w:val="14"/>
          <w:b w:val="1"/>
          <w:bCs w:val="1"/>
          <w:color w:val="auto"/>
        </w:rPr>
        <w:t>DECEMBER 31, 2016</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00" w:lineRule="exact"/>
        <w:rPr>
          <w:sz w:val="20"/>
          <w:szCs w:val="20"/>
          <w:color w:val="auto"/>
        </w:rPr>
      </w:pPr>
    </w:p>
    <w:p>
      <w:pPr>
        <w:ind w:right="20" w:firstLine="562"/>
        <w:spacing w:after="0" w:line="229" w:lineRule="auto"/>
        <w:rPr>
          <w:sz w:val="20"/>
          <w:szCs w:val="20"/>
          <w:color w:val="auto"/>
        </w:rPr>
      </w:pPr>
      <w:r>
        <w:rPr>
          <w:rFonts w:ascii="Arial" w:cs="Arial" w:eastAsia="Arial" w:hAnsi="Arial"/>
          <w:sz w:val="14"/>
          <w:szCs w:val="14"/>
          <w:color w:val="auto"/>
        </w:rPr>
        <w:t>Fair value, as defined under ASC 820, Fair Value Measurement,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date.</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09" w:lineRule="exact"/>
        <w:rPr>
          <w:sz w:val="20"/>
          <w:szCs w:val="20"/>
          <w:color w:val="auto"/>
        </w:rPr>
      </w:pPr>
    </w:p>
    <w:p>
      <w:pPr>
        <w:ind w:left="740"/>
        <w:spacing w:after="0"/>
        <w:tabs>
          <w:tab w:leader="none" w:pos="150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96" w:lineRule="exact"/>
        <w:rPr>
          <w:sz w:val="20"/>
          <w:szCs w:val="20"/>
          <w:color w:val="auto"/>
        </w:rPr>
      </w:pPr>
    </w:p>
    <w:p>
      <w:pPr>
        <w:ind w:left="1520" w:right="740" w:hanging="782"/>
        <w:spacing w:after="0" w:line="238" w:lineRule="auto"/>
        <w:tabs>
          <w:tab w:leader="none" w:pos="150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4"/>
          <w:szCs w:val="14"/>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5" w:lineRule="exact"/>
        <w:rPr>
          <w:sz w:val="20"/>
          <w:szCs w:val="20"/>
          <w:color w:val="auto"/>
        </w:rPr>
      </w:pPr>
    </w:p>
    <w:p>
      <w:pPr>
        <w:ind w:left="1520" w:right="720" w:hanging="782"/>
        <w:spacing w:after="0" w:line="253" w:lineRule="auto"/>
        <w:tabs>
          <w:tab w:leader="none" w:pos="150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4"/>
          <w:szCs w:val="14"/>
          <w:color w:val="auto"/>
        </w:rPr>
        <w:t>Inputs that are unobservable for an asset or liability because they are based on our own assumptions about how market participants would price the asset or liability.</w:t>
      </w:r>
    </w:p>
    <w:p>
      <w:pPr>
        <w:spacing w:after="0" w:line="66" w:lineRule="exact"/>
        <w:rPr>
          <w:sz w:val="20"/>
          <w:szCs w:val="20"/>
          <w:color w:val="auto"/>
        </w:rPr>
      </w:pPr>
    </w:p>
    <w:p>
      <w:pPr>
        <w:jc w:val="both"/>
        <w:ind w:right="220" w:firstLine="562"/>
        <w:spacing w:after="0" w:line="238"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75" w:lineRule="exact"/>
        <w:rPr>
          <w:sz w:val="20"/>
          <w:szCs w:val="20"/>
          <w:color w:val="auto"/>
        </w:rPr>
      </w:pPr>
    </w:p>
    <w:p>
      <w:pPr>
        <w:ind w:right="100" w:firstLine="562"/>
        <w:spacing w:after="0" w:line="231"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are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76" w:lineRule="exact"/>
        <w:rPr>
          <w:sz w:val="20"/>
          <w:szCs w:val="20"/>
          <w:color w:val="auto"/>
        </w:rPr>
      </w:pPr>
    </w:p>
    <w:p>
      <w:pPr>
        <w:ind w:right="40" w:firstLine="562"/>
        <w:spacing w:after="0" w:line="231" w:lineRule="auto"/>
        <w:rPr>
          <w:sz w:val="20"/>
          <w:szCs w:val="20"/>
          <w:color w:val="auto"/>
        </w:rPr>
      </w:pPr>
      <w:r>
        <w:rPr>
          <w:rFonts w:ascii="Arial" w:cs="Arial" w:eastAsia="Arial" w:hAnsi="Arial"/>
          <w:sz w:val="14"/>
          <w:szCs w:val="14"/>
          <w:color w:val="auto"/>
        </w:rPr>
        <w:t>Our investments are generally structured as debt and equity investments in the form of senior secured debt, mezzanine debt and equity co-investments.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76" w:lineRule="exact"/>
        <w:rPr>
          <w:sz w:val="20"/>
          <w:szCs w:val="20"/>
          <w:color w:val="auto"/>
        </w:rPr>
      </w:pPr>
    </w:p>
    <w:p>
      <w:pPr>
        <w:ind w:right="100" w:firstLine="562"/>
        <w:spacing w:after="0" w:line="233"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three months ended December 31, 2016 and 2015, our ability to observe valuation inputs resulted in no reclassifications and one reclassification of an asset from Level 2 to 1, respectively.</w:t>
      </w:r>
    </w:p>
    <w:p>
      <w:pPr>
        <w:spacing w:after="0" w:line="77" w:lineRule="exact"/>
        <w:rPr>
          <w:sz w:val="20"/>
          <w:szCs w:val="20"/>
          <w:color w:val="auto"/>
        </w:rPr>
      </w:pPr>
    </w:p>
    <w:p>
      <w:pPr>
        <w:ind w:firstLine="562"/>
        <w:spacing w:after="0" w:line="238" w:lineRule="auto"/>
        <w:rPr>
          <w:sz w:val="20"/>
          <w:szCs w:val="20"/>
          <w:color w:val="auto"/>
        </w:rPr>
      </w:pPr>
      <w:r>
        <w:rPr>
          <w:rFonts w:ascii="Arial" w:cs="Arial" w:eastAsia="Arial" w:hAnsi="Arial"/>
          <w:sz w:val="14"/>
          <w:szCs w:val="14"/>
          <w:color w:val="auto"/>
        </w:rPr>
        <w:t>In addition to using the above inputs in cash equivalents, investments, our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75" w:lineRule="exact"/>
        <w:rPr>
          <w:sz w:val="20"/>
          <w:szCs w:val="20"/>
          <w:color w:val="auto"/>
        </w:rPr>
      </w:pPr>
    </w:p>
    <w:p>
      <w:pPr>
        <w:ind w:right="60" w:firstLine="562"/>
        <w:spacing w:after="0" w:line="255" w:lineRule="auto"/>
        <w:rPr>
          <w:sz w:val="20"/>
          <w:szCs w:val="20"/>
          <w:color w:val="auto"/>
        </w:rPr>
      </w:pPr>
      <w:r>
        <w:rPr>
          <w:rFonts w:ascii="Arial" w:cs="Arial" w:eastAsia="Arial" w:hAnsi="Arial"/>
          <w:sz w:val="13"/>
          <w:szCs w:val="13"/>
          <w:color w:val="auto"/>
        </w:rPr>
        <w:t>As outlined in the table below, some of our Level 3 investments using a market approach valuation technique are valued using the average of the bids from brokers or dealers. The bids typically include a disclaimer, have no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on an investment, it may independently value such investment by using the valuation procedure that it uses with respect to assets for which market quotations are not readily available.</w:t>
      </w:r>
    </w:p>
    <w:p>
      <w:pPr>
        <w:spacing w:after="0" w:line="67" w:lineRule="exact"/>
        <w:rPr>
          <w:sz w:val="20"/>
          <w:szCs w:val="20"/>
          <w:color w:val="auto"/>
        </w:rPr>
      </w:pPr>
    </w:p>
    <w:p>
      <w:pPr>
        <w:ind w:firstLine="562"/>
        <w:spacing w:after="0" w:line="226" w:lineRule="auto"/>
        <w:rPr>
          <w:sz w:val="20"/>
          <w:szCs w:val="20"/>
          <w:color w:val="auto"/>
        </w:rPr>
      </w:pPr>
      <w:r>
        <w:rPr>
          <w:rFonts w:ascii="Arial" w:cs="Arial" w:eastAsia="Arial" w:hAnsi="Arial"/>
          <w:sz w:val="14"/>
          <w:szCs w:val="14"/>
          <w:color w:val="auto"/>
        </w:rPr>
        <w:t>The remainder of our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EBITDA multiple will result in an increase in the valuation of an investment, while a decrease in an EBITDA will have the opposite effect.</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18</w:t>
      </w:r>
    </w:p>
    <w:p>
      <w:pPr>
        <w:sectPr>
          <w:pgSz w:w="11900" w:h="16838" w:orient="portrait"/>
          <w:cols w:equalWidth="0" w:num="1">
            <w:col w:w="11180"/>
          </w:cols>
          <w:pgMar w:left="320" w:top="459" w:right="3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spacing w:after="0" w:line="221" w:lineRule="auto"/>
        <w:rPr>
          <w:sz w:val="20"/>
          <w:szCs w:val="20"/>
          <w:color w:val="auto"/>
        </w:rPr>
      </w:pPr>
      <w:r>
        <w:rPr>
          <w:rFonts w:ascii="Arial" w:cs="Arial" w:eastAsia="Arial" w:hAnsi="Arial"/>
          <w:sz w:val="14"/>
          <w:szCs w:val="14"/>
          <w:b w:val="1"/>
          <w:bCs w:val="1"/>
          <w:color w:val="auto"/>
        </w:rPr>
        <w:t>DECEMBER 31, 2016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Level 3 valuations techniques, unobservable inputs and ranges were categorized as follows for ASC 820 purposes: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Fair Value at</w:t>
            </w:r>
          </w:p>
        </w:tc>
        <w:tc>
          <w:tcPr>
            <w:tcW w:w="1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Valuation Technique</w:t>
            </w:r>
          </w:p>
        </w:tc>
        <w:tc>
          <w:tcPr>
            <w:tcW w:w="21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Unobservable Input</w:t>
            </w: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35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66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w w:val="91"/>
              </w:rPr>
              <w:t>December 31, 2016</w:t>
            </w:r>
          </w:p>
        </w:tc>
        <w:tc>
          <w:tcPr>
            <w:tcW w:w="1920" w:type="dxa"/>
            <w:vAlign w:val="bottom"/>
            <w:gridSpan w:val="2"/>
            <w:vMerge w:val="continue"/>
          </w:tcPr>
          <w:p>
            <w:pPr>
              <w:spacing w:after="0"/>
              <w:rPr>
                <w:sz w:val="14"/>
                <w:szCs w:val="14"/>
                <w:color w:val="auto"/>
              </w:rPr>
            </w:pPr>
          </w:p>
        </w:tc>
        <w:tc>
          <w:tcPr>
            <w:tcW w:w="2180" w:type="dxa"/>
            <w:vAlign w:val="bottom"/>
            <w:gridSpan w:val="2"/>
            <w:vMerge w:val="continue"/>
          </w:tcPr>
          <w:p>
            <w:pPr>
              <w:spacing w:after="0"/>
              <w:rPr>
                <w:sz w:val="14"/>
                <w:szCs w:val="14"/>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2"/>
        </w:trPr>
        <w:tc>
          <w:tcPr>
            <w:tcW w:w="35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First lien</w:t>
            </w:r>
          </w:p>
        </w:tc>
        <w:tc>
          <w:tcPr>
            <w:tcW w:w="3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126,200,242</w:t>
            </w:r>
          </w:p>
        </w:tc>
        <w:tc>
          <w:tcPr>
            <w:tcW w:w="46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Market Comparable</w:t>
            </w:r>
          </w:p>
        </w:tc>
        <w:tc>
          <w:tcPr>
            <w:tcW w:w="480" w:type="dxa"/>
            <w:vAlign w:val="bottom"/>
            <w:tcBorders>
              <w:top w:val="single" w:sz="8" w:color="CCEEFF"/>
            </w:tcBorders>
            <w:shd w:val="clear" w:color="auto" w:fill="CCEEFF"/>
          </w:tcPr>
          <w:p>
            <w:pPr>
              <w:spacing w:after="0"/>
              <w:rPr>
                <w:sz w:val="12"/>
                <w:szCs w:val="12"/>
                <w:color w:val="auto"/>
              </w:rPr>
            </w:pPr>
          </w:p>
        </w:tc>
        <w:tc>
          <w:tcPr>
            <w:tcW w:w="17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Broker/Dealer bids or quotes</w:t>
            </w:r>
          </w:p>
        </w:tc>
        <w:tc>
          <w:tcPr>
            <w:tcW w:w="46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ind w:left="620"/>
              <w:spacing w:after="0" w:line="142" w:lineRule="exact"/>
              <w:rPr>
                <w:sz w:val="20"/>
                <w:szCs w:val="20"/>
                <w:color w:val="auto"/>
              </w:rPr>
            </w:pPr>
            <w:r>
              <w:rPr>
                <w:rFonts w:ascii="Arial" w:cs="Arial" w:eastAsia="Arial" w:hAnsi="Arial"/>
                <w:sz w:val="14"/>
                <w:szCs w:val="14"/>
                <w:color w:val="auto"/>
              </w:rPr>
              <w:t>N/A</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line="149" w:lineRule="exact"/>
              <w:rPr>
                <w:sz w:val="20"/>
                <w:szCs w:val="20"/>
                <w:color w:val="auto"/>
              </w:rPr>
            </w:pPr>
            <w:r>
              <w:rPr>
                <w:rFonts w:ascii="Arial" w:cs="Arial" w:eastAsia="Arial" w:hAnsi="Arial"/>
                <w:sz w:val="14"/>
                <w:szCs w:val="14"/>
                <w:color w:val="auto"/>
              </w:rPr>
              <w:t>Second lien</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159,739,313</w:t>
            </w:r>
          </w:p>
        </w:tc>
        <w:tc>
          <w:tcPr>
            <w:tcW w:w="19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4"/>
              </w:rPr>
              <w:t>Market Comparable</w:t>
            </w:r>
          </w:p>
        </w:tc>
        <w:tc>
          <w:tcPr>
            <w:tcW w:w="218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4"/>
              </w:rPr>
              <w:t>Broker/Dealer bids or quotes</w:t>
            </w:r>
          </w:p>
        </w:tc>
        <w:tc>
          <w:tcPr>
            <w:tcW w:w="152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9,652,978</w:t>
            </w:r>
          </w:p>
        </w:tc>
        <w:tc>
          <w:tcPr>
            <w:tcW w:w="1920" w:type="dxa"/>
            <w:vAlign w:val="bottom"/>
            <w:gridSpan w:val="2"/>
            <w:shd w:val="clear" w:color="auto" w:fill="CCEEFF"/>
          </w:tcPr>
          <w:p>
            <w:pPr>
              <w:jc w:val="center"/>
              <w:ind w:right="440"/>
              <w:spacing w:after="0" w:line="149" w:lineRule="exact"/>
              <w:rPr>
                <w:sz w:val="20"/>
                <w:szCs w:val="20"/>
                <w:color w:val="auto"/>
              </w:rPr>
            </w:pPr>
            <w:r>
              <w:rPr>
                <w:rFonts w:ascii="Arial" w:cs="Arial" w:eastAsia="Arial" w:hAnsi="Arial"/>
                <w:sz w:val="14"/>
                <w:szCs w:val="14"/>
                <w:color w:val="auto"/>
                <w:w w:val="94"/>
              </w:rPr>
              <w:t>Market Comparable</w:t>
            </w:r>
          </w:p>
        </w:tc>
        <w:tc>
          <w:tcPr>
            <w:tcW w:w="2180" w:type="dxa"/>
            <w:vAlign w:val="bottom"/>
            <w:gridSpan w:val="2"/>
            <w:shd w:val="clear" w:color="auto" w:fill="CCEEFF"/>
          </w:tcPr>
          <w:p>
            <w:pPr>
              <w:jc w:val="center"/>
              <w:ind w:right="420"/>
              <w:spacing w:after="0" w:line="149" w:lineRule="exact"/>
              <w:rPr>
                <w:sz w:val="20"/>
                <w:szCs w:val="20"/>
                <w:color w:val="auto"/>
              </w:rPr>
            </w:pPr>
            <w:r>
              <w:rPr>
                <w:rFonts w:ascii="Arial" w:cs="Arial" w:eastAsia="Arial" w:hAnsi="Arial"/>
                <w:sz w:val="14"/>
                <w:szCs w:val="14"/>
                <w:color w:val="auto"/>
                <w:w w:val="94"/>
              </w:rPr>
              <w:t>Broker/Dealer bids or quotes</w:t>
            </w:r>
          </w:p>
        </w:tc>
        <w:tc>
          <w:tcPr>
            <w:tcW w:w="152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8"/>
        </w:trPr>
        <w:tc>
          <w:tcPr>
            <w:tcW w:w="3580" w:type="dxa"/>
            <w:vAlign w:val="bottom"/>
          </w:tcPr>
          <w:p>
            <w:pPr>
              <w:spacing w:after="0" w:line="149" w:lineRule="exact"/>
              <w:rPr>
                <w:sz w:val="20"/>
                <w:szCs w:val="20"/>
                <w:color w:val="auto"/>
              </w:rPr>
            </w:pPr>
            <w:r>
              <w:rPr>
                <w:rFonts w:ascii="Arial" w:cs="Arial" w:eastAsia="Arial" w:hAnsi="Arial"/>
                <w:sz w:val="14"/>
                <w:szCs w:val="14"/>
                <w:color w:val="auto"/>
              </w:rPr>
              <w:t>First lien</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395,990,269</w:t>
            </w:r>
          </w:p>
        </w:tc>
        <w:tc>
          <w:tcPr>
            <w:tcW w:w="19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4"/>
              </w:rPr>
              <w:t>Market Comparable</w:t>
            </w:r>
          </w:p>
        </w:tc>
        <w:tc>
          <w:tcPr>
            <w:tcW w:w="218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7"/>
              </w:rPr>
              <w:t>Market Yield</w:t>
            </w:r>
          </w:p>
        </w:tc>
        <w:tc>
          <w:tcPr>
            <w:tcW w:w="152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4"/>
              </w:rPr>
              <w:t>9.8% – 18.0% (13.0%)</w:t>
            </w: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Second lien</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296,166,981</w:t>
            </w:r>
          </w:p>
        </w:tc>
        <w:tc>
          <w:tcPr>
            <w:tcW w:w="1920" w:type="dxa"/>
            <w:vAlign w:val="bottom"/>
            <w:gridSpan w:val="2"/>
            <w:shd w:val="clear" w:color="auto" w:fill="CCEEFF"/>
          </w:tcPr>
          <w:p>
            <w:pPr>
              <w:jc w:val="center"/>
              <w:ind w:right="440"/>
              <w:spacing w:after="0" w:line="149" w:lineRule="exact"/>
              <w:rPr>
                <w:sz w:val="20"/>
                <w:szCs w:val="20"/>
                <w:color w:val="auto"/>
              </w:rPr>
            </w:pPr>
            <w:r>
              <w:rPr>
                <w:rFonts w:ascii="Arial" w:cs="Arial" w:eastAsia="Arial" w:hAnsi="Arial"/>
                <w:sz w:val="14"/>
                <w:szCs w:val="14"/>
                <w:color w:val="auto"/>
                <w:w w:val="94"/>
              </w:rPr>
              <w:t>Market Comparable</w:t>
            </w:r>
          </w:p>
        </w:tc>
        <w:tc>
          <w:tcPr>
            <w:tcW w:w="2180" w:type="dxa"/>
            <w:vAlign w:val="bottom"/>
            <w:gridSpan w:val="2"/>
            <w:shd w:val="clear" w:color="auto" w:fill="CCEEFF"/>
          </w:tcPr>
          <w:p>
            <w:pPr>
              <w:jc w:val="center"/>
              <w:ind w:right="420"/>
              <w:spacing w:after="0" w:line="149" w:lineRule="exact"/>
              <w:rPr>
                <w:sz w:val="20"/>
                <w:szCs w:val="20"/>
                <w:color w:val="auto"/>
              </w:rPr>
            </w:pPr>
            <w:r>
              <w:rPr>
                <w:rFonts w:ascii="Arial" w:cs="Arial" w:eastAsia="Arial" w:hAnsi="Arial"/>
                <w:sz w:val="14"/>
                <w:szCs w:val="14"/>
                <w:color w:val="auto"/>
                <w:w w:val="97"/>
              </w:rPr>
              <w:t>Market Yield</w:t>
            </w:r>
          </w:p>
        </w:tc>
        <w:tc>
          <w:tcPr>
            <w:tcW w:w="152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4"/>
              </w:rPr>
              <w:t>9.6% – 18.0% (13.5%)</w:t>
            </w:r>
          </w:p>
        </w:tc>
        <w:tc>
          <w:tcPr>
            <w:tcW w:w="0" w:type="dxa"/>
            <w:vAlign w:val="bottom"/>
          </w:tcPr>
          <w:p>
            <w:pPr>
              <w:spacing w:after="0"/>
              <w:rPr>
                <w:sz w:val="1"/>
                <w:szCs w:val="1"/>
                <w:color w:val="auto"/>
              </w:rPr>
            </w:pPr>
          </w:p>
        </w:tc>
      </w:tr>
      <w:tr>
        <w:trPr>
          <w:trHeight w:val="149"/>
        </w:trPr>
        <w:tc>
          <w:tcPr>
            <w:tcW w:w="3580" w:type="dxa"/>
            <w:vAlign w:val="bottom"/>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184,015,462</w:t>
            </w:r>
          </w:p>
        </w:tc>
        <w:tc>
          <w:tcPr>
            <w:tcW w:w="19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4"/>
              </w:rPr>
              <w:t>Market Comparable</w:t>
            </w:r>
          </w:p>
        </w:tc>
        <w:tc>
          <w:tcPr>
            <w:tcW w:w="218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7"/>
              </w:rPr>
              <w:t>Market Yield</w:t>
            </w:r>
          </w:p>
        </w:tc>
        <w:tc>
          <w:tcPr>
            <w:tcW w:w="152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3"/>
              </w:rPr>
              <w:t>11.0% – 18.6% (10.7%)</w:t>
            </w: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125,589,910</w:t>
            </w:r>
          </w:p>
        </w:tc>
        <w:tc>
          <w:tcPr>
            <w:tcW w:w="1920" w:type="dxa"/>
            <w:vAlign w:val="bottom"/>
            <w:gridSpan w:val="2"/>
            <w:shd w:val="clear" w:color="auto" w:fill="CCEEFF"/>
          </w:tcPr>
          <w:p>
            <w:pPr>
              <w:jc w:val="center"/>
              <w:ind w:right="440"/>
              <w:spacing w:after="0" w:line="149" w:lineRule="exact"/>
              <w:rPr>
                <w:sz w:val="20"/>
                <w:szCs w:val="20"/>
                <w:color w:val="auto"/>
              </w:rPr>
            </w:pPr>
            <w:r>
              <w:rPr>
                <w:rFonts w:ascii="Arial" w:cs="Arial" w:eastAsia="Arial" w:hAnsi="Arial"/>
                <w:sz w:val="14"/>
                <w:szCs w:val="14"/>
                <w:color w:val="auto"/>
                <w:w w:val="93"/>
              </w:rPr>
              <w:t>Enterprise Market Value</w:t>
            </w:r>
          </w:p>
        </w:tc>
        <w:tc>
          <w:tcPr>
            <w:tcW w:w="2180" w:type="dxa"/>
            <w:vAlign w:val="bottom"/>
            <w:gridSpan w:val="2"/>
            <w:shd w:val="clear" w:color="auto" w:fill="CCEEFF"/>
          </w:tcPr>
          <w:p>
            <w:pPr>
              <w:jc w:val="center"/>
              <w:ind w:right="420"/>
              <w:spacing w:after="0" w:line="149" w:lineRule="exact"/>
              <w:rPr>
                <w:sz w:val="20"/>
                <w:szCs w:val="20"/>
                <w:color w:val="auto"/>
              </w:rPr>
            </w:pPr>
            <w:r>
              <w:rPr>
                <w:rFonts w:ascii="Arial" w:cs="Arial" w:eastAsia="Arial" w:hAnsi="Arial"/>
                <w:sz w:val="14"/>
                <w:szCs w:val="14"/>
                <w:color w:val="auto"/>
              </w:rPr>
              <w:t>EBITDA multiple</w:t>
            </w:r>
          </w:p>
        </w:tc>
        <w:tc>
          <w:tcPr>
            <w:tcW w:w="152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4"/>
              </w:rPr>
              <w:t>5.5x – 15.5x (8.8x)</w:t>
            </w:r>
          </w:p>
        </w:tc>
        <w:tc>
          <w:tcPr>
            <w:tcW w:w="0" w:type="dxa"/>
            <w:vAlign w:val="bottom"/>
          </w:tcPr>
          <w:p>
            <w:pPr>
              <w:spacing w:after="0"/>
              <w:rPr>
                <w:sz w:val="1"/>
                <w:szCs w:val="1"/>
                <w:color w:val="auto"/>
              </w:rPr>
            </w:pPr>
          </w:p>
        </w:tc>
      </w:tr>
      <w:tr>
        <w:trPr>
          <w:trHeight w:val="155"/>
        </w:trPr>
        <w:tc>
          <w:tcPr>
            <w:tcW w:w="3580" w:type="dxa"/>
            <w:vAlign w:val="bottom"/>
          </w:tcPr>
          <w:p>
            <w:pPr>
              <w:ind w:left="300"/>
              <w:spacing w:after="0" w:line="155" w:lineRule="exact"/>
              <w:rPr>
                <w:sz w:val="20"/>
                <w:szCs w:val="20"/>
                <w:color w:val="auto"/>
              </w:rPr>
            </w:pPr>
            <w:r>
              <w:rPr>
                <w:rFonts w:ascii="Arial" w:cs="Arial" w:eastAsia="Arial" w:hAnsi="Arial"/>
                <w:sz w:val="14"/>
                <w:szCs w:val="14"/>
                <w:color w:val="auto"/>
              </w:rPr>
              <w:t>Total Level 3 investments</w:t>
            </w:r>
          </w:p>
        </w:tc>
        <w:tc>
          <w:tcPr>
            <w:tcW w:w="38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1,297,355,155</w:t>
            </w:r>
          </w:p>
        </w:tc>
        <w:tc>
          <w:tcPr>
            <w:tcW w:w="4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5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Long-Term Credit Facility</w:t>
            </w:r>
          </w:p>
        </w:tc>
        <w:tc>
          <w:tcPr>
            <w:tcW w:w="5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460"/>
              <w:spacing w:after="0" w:line="143" w:lineRule="exact"/>
              <w:rPr>
                <w:sz w:val="20"/>
                <w:szCs w:val="20"/>
                <w:color w:val="auto"/>
              </w:rPr>
            </w:pPr>
            <w:r>
              <w:rPr>
                <w:rFonts w:ascii="Arial" w:cs="Arial" w:eastAsia="Arial" w:hAnsi="Arial"/>
                <w:sz w:val="14"/>
                <w:szCs w:val="14"/>
                <w:color w:val="auto"/>
              </w:rPr>
              <w:t>136,122,503</w:t>
            </w:r>
          </w:p>
        </w:tc>
        <w:tc>
          <w:tcPr>
            <w:tcW w:w="1920" w:type="dxa"/>
            <w:vAlign w:val="bottom"/>
            <w:gridSpan w:val="2"/>
            <w:shd w:val="clear" w:color="auto" w:fill="CCEEFF"/>
          </w:tcPr>
          <w:p>
            <w:pPr>
              <w:jc w:val="center"/>
              <w:ind w:right="440"/>
              <w:spacing w:after="0" w:line="143" w:lineRule="exact"/>
              <w:rPr>
                <w:sz w:val="20"/>
                <w:szCs w:val="20"/>
                <w:color w:val="auto"/>
              </w:rPr>
            </w:pPr>
            <w:r>
              <w:rPr>
                <w:rFonts w:ascii="Arial" w:cs="Arial" w:eastAsia="Arial" w:hAnsi="Arial"/>
                <w:sz w:val="14"/>
                <w:szCs w:val="14"/>
                <w:color w:val="auto"/>
                <w:w w:val="94"/>
              </w:rPr>
              <w:t>Market Comparable</w:t>
            </w:r>
          </w:p>
        </w:tc>
        <w:tc>
          <w:tcPr>
            <w:tcW w:w="2180" w:type="dxa"/>
            <w:vAlign w:val="bottom"/>
            <w:gridSpan w:val="2"/>
            <w:shd w:val="clear" w:color="auto" w:fill="CCEEFF"/>
          </w:tcPr>
          <w:p>
            <w:pPr>
              <w:jc w:val="center"/>
              <w:ind w:right="420"/>
              <w:spacing w:after="0" w:line="143" w:lineRule="exact"/>
              <w:rPr>
                <w:sz w:val="20"/>
                <w:szCs w:val="20"/>
                <w:color w:val="auto"/>
              </w:rPr>
            </w:pPr>
            <w:r>
              <w:rPr>
                <w:rFonts w:ascii="Arial" w:cs="Arial" w:eastAsia="Arial" w:hAnsi="Arial"/>
                <w:sz w:val="14"/>
                <w:szCs w:val="14"/>
                <w:color w:val="auto"/>
                <w:w w:val="97"/>
              </w:rPr>
              <w:t>Market Yield</w:t>
            </w:r>
          </w:p>
        </w:tc>
        <w:tc>
          <w:tcPr>
            <w:tcW w:w="144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3"/>
              </w:rPr>
              <w:t>3.7%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Fair Value at</w:t>
            </w:r>
          </w:p>
        </w:tc>
        <w:tc>
          <w:tcPr>
            <w:tcW w:w="19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Valuation Technique</w:t>
            </w:r>
          </w:p>
        </w:tc>
        <w:tc>
          <w:tcPr>
            <w:tcW w:w="21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Unobservable Input</w:t>
            </w: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358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September 30, 2016</w:t>
            </w:r>
          </w:p>
        </w:tc>
        <w:tc>
          <w:tcPr>
            <w:tcW w:w="1920" w:type="dxa"/>
            <w:vAlign w:val="bottom"/>
            <w:gridSpan w:val="2"/>
            <w:vMerge w:val="continue"/>
          </w:tcPr>
          <w:p>
            <w:pPr>
              <w:spacing w:after="0"/>
              <w:rPr>
                <w:sz w:val="14"/>
                <w:szCs w:val="14"/>
                <w:color w:val="auto"/>
              </w:rPr>
            </w:pPr>
          </w:p>
        </w:tc>
        <w:tc>
          <w:tcPr>
            <w:tcW w:w="2180" w:type="dxa"/>
            <w:vAlign w:val="bottom"/>
            <w:gridSpan w:val="2"/>
            <w:vMerge w:val="continue"/>
          </w:tcPr>
          <w:p>
            <w:pPr>
              <w:spacing w:after="0"/>
              <w:rPr>
                <w:sz w:val="14"/>
                <w:szCs w:val="14"/>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2"/>
        </w:trPr>
        <w:tc>
          <w:tcPr>
            <w:tcW w:w="35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First lien</w:t>
            </w:r>
          </w:p>
        </w:tc>
        <w:tc>
          <w:tcPr>
            <w:tcW w:w="3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35,569,934</w:t>
            </w:r>
          </w:p>
        </w:tc>
        <w:tc>
          <w:tcPr>
            <w:tcW w:w="46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Market Comparable</w:t>
            </w:r>
          </w:p>
        </w:tc>
        <w:tc>
          <w:tcPr>
            <w:tcW w:w="480" w:type="dxa"/>
            <w:vAlign w:val="bottom"/>
            <w:tcBorders>
              <w:top w:val="single" w:sz="8" w:color="CCEEFF"/>
            </w:tcBorders>
            <w:shd w:val="clear" w:color="auto" w:fill="CCEEFF"/>
          </w:tcPr>
          <w:p>
            <w:pPr>
              <w:spacing w:after="0"/>
              <w:rPr>
                <w:sz w:val="12"/>
                <w:szCs w:val="12"/>
                <w:color w:val="auto"/>
              </w:rPr>
            </w:pPr>
          </w:p>
        </w:tc>
        <w:tc>
          <w:tcPr>
            <w:tcW w:w="17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4"/>
              </w:rPr>
              <w:t>Broker/Dealer bids or quotes</w:t>
            </w:r>
          </w:p>
        </w:tc>
        <w:tc>
          <w:tcPr>
            <w:tcW w:w="460" w:type="dxa"/>
            <w:vAlign w:val="bottom"/>
            <w:tcBorders>
              <w:top w:val="single" w:sz="8" w:color="CCEEFF"/>
            </w:tcBorders>
            <w:shd w:val="clear" w:color="auto" w:fill="CCEEFF"/>
          </w:tcPr>
          <w:p>
            <w:pPr>
              <w:spacing w:after="0"/>
              <w:rPr>
                <w:sz w:val="12"/>
                <w:szCs w:val="12"/>
                <w:color w:val="auto"/>
              </w:rPr>
            </w:pPr>
          </w:p>
        </w:tc>
        <w:tc>
          <w:tcPr>
            <w:tcW w:w="1440" w:type="dxa"/>
            <w:vAlign w:val="bottom"/>
            <w:tcBorders>
              <w:top w:val="single" w:sz="8" w:color="auto"/>
            </w:tcBorders>
            <w:shd w:val="clear" w:color="auto" w:fill="CCEEFF"/>
          </w:tcPr>
          <w:p>
            <w:pPr>
              <w:ind w:left="620"/>
              <w:spacing w:after="0" w:line="142" w:lineRule="exact"/>
              <w:rPr>
                <w:sz w:val="20"/>
                <w:szCs w:val="20"/>
                <w:color w:val="auto"/>
              </w:rPr>
            </w:pPr>
            <w:r>
              <w:rPr>
                <w:rFonts w:ascii="Arial" w:cs="Arial" w:eastAsia="Arial" w:hAnsi="Arial"/>
                <w:sz w:val="14"/>
                <w:szCs w:val="14"/>
                <w:color w:val="auto"/>
              </w:rPr>
              <w:t>N/A</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line="149" w:lineRule="exact"/>
              <w:rPr>
                <w:sz w:val="20"/>
                <w:szCs w:val="20"/>
                <w:color w:val="auto"/>
              </w:rPr>
            </w:pPr>
            <w:r>
              <w:rPr>
                <w:rFonts w:ascii="Arial" w:cs="Arial" w:eastAsia="Arial" w:hAnsi="Arial"/>
                <w:sz w:val="14"/>
                <w:szCs w:val="14"/>
                <w:color w:val="auto"/>
              </w:rPr>
              <w:t>Second lien</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122,923,804</w:t>
            </w:r>
          </w:p>
        </w:tc>
        <w:tc>
          <w:tcPr>
            <w:tcW w:w="19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4"/>
              </w:rPr>
              <w:t>Market Comparable</w:t>
            </w:r>
          </w:p>
        </w:tc>
        <w:tc>
          <w:tcPr>
            <w:tcW w:w="218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4"/>
              </w:rPr>
              <w:t>Broker/Dealer bids or quotes</w:t>
            </w:r>
          </w:p>
        </w:tc>
        <w:tc>
          <w:tcPr>
            <w:tcW w:w="1520" w:type="dxa"/>
            <w:vAlign w:val="bottom"/>
            <w:gridSpan w:val="2"/>
          </w:tcPr>
          <w:p>
            <w:pPr>
              <w:ind w:left="62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8,995,448</w:t>
            </w:r>
          </w:p>
        </w:tc>
        <w:tc>
          <w:tcPr>
            <w:tcW w:w="1920" w:type="dxa"/>
            <w:vAlign w:val="bottom"/>
            <w:gridSpan w:val="2"/>
            <w:shd w:val="clear" w:color="auto" w:fill="CCEEFF"/>
          </w:tcPr>
          <w:p>
            <w:pPr>
              <w:jc w:val="center"/>
              <w:ind w:right="440"/>
              <w:spacing w:after="0" w:line="149" w:lineRule="exact"/>
              <w:rPr>
                <w:sz w:val="20"/>
                <w:szCs w:val="20"/>
                <w:color w:val="auto"/>
              </w:rPr>
            </w:pPr>
            <w:r>
              <w:rPr>
                <w:rFonts w:ascii="Arial" w:cs="Arial" w:eastAsia="Arial" w:hAnsi="Arial"/>
                <w:sz w:val="14"/>
                <w:szCs w:val="14"/>
                <w:color w:val="auto"/>
                <w:w w:val="94"/>
              </w:rPr>
              <w:t>Market Comparable</w:t>
            </w:r>
          </w:p>
        </w:tc>
        <w:tc>
          <w:tcPr>
            <w:tcW w:w="2180" w:type="dxa"/>
            <w:vAlign w:val="bottom"/>
            <w:gridSpan w:val="2"/>
            <w:shd w:val="clear" w:color="auto" w:fill="CCEEFF"/>
          </w:tcPr>
          <w:p>
            <w:pPr>
              <w:jc w:val="center"/>
              <w:ind w:right="420"/>
              <w:spacing w:after="0" w:line="149" w:lineRule="exact"/>
              <w:rPr>
                <w:sz w:val="20"/>
                <w:szCs w:val="20"/>
                <w:color w:val="auto"/>
              </w:rPr>
            </w:pPr>
            <w:r>
              <w:rPr>
                <w:rFonts w:ascii="Arial" w:cs="Arial" w:eastAsia="Arial" w:hAnsi="Arial"/>
                <w:sz w:val="14"/>
                <w:szCs w:val="14"/>
                <w:color w:val="auto"/>
                <w:w w:val="94"/>
              </w:rPr>
              <w:t>Broker/Dealer bids or quotes</w:t>
            </w:r>
          </w:p>
        </w:tc>
        <w:tc>
          <w:tcPr>
            <w:tcW w:w="152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49"/>
        </w:trPr>
        <w:tc>
          <w:tcPr>
            <w:tcW w:w="3580" w:type="dxa"/>
            <w:vAlign w:val="bottom"/>
          </w:tcPr>
          <w:p>
            <w:pPr>
              <w:spacing w:after="0" w:line="149" w:lineRule="exact"/>
              <w:rPr>
                <w:sz w:val="20"/>
                <w:szCs w:val="20"/>
                <w:color w:val="auto"/>
              </w:rPr>
            </w:pPr>
            <w:r>
              <w:rPr>
                <w:rFonts w:ascii="Arial" w:cs="Arial" w:eastAsia="Arial" w:hAnsi="Arial"/>
                <w:sz w:val="14"/>
                <w:szCs w:val="14"/>
                <w:color w:val="auto"/>
              </w:rPr>
              <w:t>First lien</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361,532,787</w:t>
            </w:r>
          </w:p>
        </w:tc>
        <w:tc>
          <w:tcPr>
            <w:tcW w:w="19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4"/>
              </w:rPr>
              <w:t>Market Comparable</w:t>
            </w:r>
          </w:p>
        </w:tc>
        <w:tc>
          <w:tcPr>
            <w:tcW w:w="218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7"/>
              </w:rPr>
              <w:t>Market Yield</w:t>
            </w:r>
          </w:p>
        </w:tc>
        <w:tc>
          <w:tcPr>
            <w:tcW w:w="152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4"/>
              </w:rPr>
              <w:t>8.8% – 21.7% (13.1%)</w:t>
            </w: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Second lien</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302,488,639</w:t>
            </w:r>
          </w:p>
        </w:tc>
        <w:tc>
          <w:tcPr>
            <w:tcW w:w="1920" w:type="dxa"/>
            <w:vAlign w:val="bottom"/>
            <w:gridSpan w:val="2"/>
            <w:shd w:val="clear" w:color="auto" w:fill="CCEEFF"/>
          </w:tcPr>
          <w:p>
            <w:pPr>
              <w:jc w:val="center"/>
              <w:ind w:right="440"/>
              <w:spacing w:after="0" w:line="149" w:lineRule="exact"/>
              <w:rPr>
                <w:sz w:val="20"/>
                <w:szCs w:val="20"/>
                <w:color w:val="auto"/>
              </w:rPr>
            </w:pPr>
            <w:r>
              <w:rPr>
                <w:rFonts w:ascii="Arial" w:cs="Arial" w:eastAsia="Arial" w:hAnsi="Arial"/>
                <w:sz w:val="14"/>
                <w:szCs w:val="14"/>
                <w:color w:val="auto"/>
                <w:w w:val="94"/>
              </w:rPr>
              <w:t>Market Comparable</w:t>
            </w:r>
          </w:p>
        </w:tc>
        <w:tc>
          <w:tcPr>
            <w:tcW w:w="2180" w:type="dxa"/>
            <w:vAlign w:val="bottom"/>
            <w:gridSpan w:val="2"/>
            <w:shd w:val="clear" w:color="auto" w:fill="CCEEFF"/>
          </w:tcPr>
          <w:p>
            <w:pPr>
              <w:jc w:val="center"/>
              <w:ind w:right="420"/>
              <w:spacing w:after="0" w:line="149" w:lineRule="exact"/>
              <w:rPr>
                <w:sz w:val="20"/>
                <w:szCs w:val="20"/>
                <w:color w:val="auto"/>
              </w:rPr>
            </w:pPr>
            <w:r>
              <w:rPr>
                <w:rFonts w:ascii="Arial" w:cs="Arial" w:eastAsia="Arial" w:hAnsi="Arial"/>
                <w:sz w:val="14"/>
                <w:szCs w:val="14"/>
                <w:color w:val="auto"/>
                <w:w w:val="97"/>
              </w:rPr>
              <w:t>Market Yield</w:t>
            </w:r>
          </w:p>
        </w:tc>
        <w:tc>
          <w:tcPr>
            <w:tcW w:w="1520" w:type="dxa"/>
            <w:vAlign w:val="bottom"/>
            <w:gridSpan w:val="2"/>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94"/>
              </w:rPr>
              <w:t>9.5% – 17.3% (13.1%)</w:t>
            </w:r>
          </w:p>
        </w:tc>
        <w:tc>
          <w:tcPr>
            <w:tcW w:w="0" w:type="dxa"/>
            <w:vAlign w:val="bottom"/>
          </w:tcPr>
          <w:p>
            <w:pPr>
              <w:spacing w:after="0"/>
              <w:rPr>
                <w:sz w:val="1"/>
                <w:szCs w:val="1"/>
                <w:color w:val="auto"/>
              </w:rPr>
            </w:pPr>
          </w:p>
        </w:tc>
      </w:tr>
      <w:tr>
        <w:trPr>
          <w:trHeight w:val="148"/>
        </w:trPr>
        <w:tc>
          <w:tcPr>
            <w:tcW w:w="3580" w:type="dxa"/>
            <w:vAlign w:val="bottom"/>
          </w:tcPr>
          <w:p>
            <w:pPr>
              <w:spacing w:after="0" w:line="149" w:lineRule="exact"/>
              <w:rPr>
                <w:sz w:val="20"/>
                <w:szCs w:val="20"/>
                <w:color w:val="auto"/>
              </w:rPr>
            </w:pPr>
            <w:r>
              <w:rPr>
                <w:rFonts w:ascii="Arial" w:cs="Arial" w:eastAsia="Arial" w:hAnsi="Arial"/>
                <w:sz w:val="14"/>
                <w:szCs w:val="14"/>
                <w:color w:val="auto"/>
              </w:rPr>
              <w:t>Subordinated debt / corporate notes</w:t>
            </w: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168,636,069</w:t>
            </w:r>
          </w:p>
        </w:tc>
        <w:tc>
          <w:tcPr>
            <w:tcW w:w="19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4"/>
              </w:rPr>
              <w:t>Market Comparable</w:t>
            </w:r>
          </w:p>
        </w:tc>
        <w:tc>
          <w:tcPr>
            <w:tcW w:w="218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7"/>
              </w:rPr>
              <w:t>Market Yield</w:t>
            </w:r>
          </w:p>
        </w:tc>
        <w:tc>
          <w:tcPr>
            <w:tcW w:w="1520" w:type="dxa"/>
            <w:vAlign w:val="bottom"/>
            <w:gridSpan w:val="2"/>
          </w:tcPr>
          <w:p>
            <w:pPr>
              <w:jc w:val="center"/>
              <w:ind w:right="20"/>
              <w:spacing w:after="0" w:line="149" w:lineRule="exact"/>
              <w:rPr>
                <w:sz w:val="20"/>
                <w:szCs w:val="20"/>
                <w:color w:val="auto"/>
              </w:rPr>
            </w:pPr>
            <w:r>
              <w:rPr>
                <w:rFonts w:ascii="Arial" w:cs="Arial" w:eastAsia="Arial" w:hAnsi="Arial"/>
                <w:sz w:val="14"/>
                <w:szCs w:val="14"/>
                <w:color w:val="auto"/>
                <w:w w:val="93"/>
              </w:rPr>
              <w:t>11.0% – 15.7% (10.2%)</w:t>
            </w:r>
          </w:p>
        </w:tc>
        <w:tc>
          <w:tcPr>
            <w:tcW w:w="0" w:type="dxa"/>
            <w:vAlign w:val="bottom"/>
          </w:tcPr>
          <w:p>
            <w:pPr>
              <w:spacing w:after="0"/>
              <w:rPr>
                <w:sz w:val="1"/>
                <w:szCs w:val="1"/>
                <w:color w:val="auto"/>
              </w:rPr>
            </w:pPr>
          </w:p>
        </w:tc>
      </w:tr>
      <w:tr>
        <w:trPr>
          <w:trHeight w:val="148"/>
        </w:trPr>
        <w:tc>
          <w:tcPr>
            <w:tcW w:w="35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w:t>
            </w:r>
          </w:p>
        </w:tc>
        <w:tc>
          <w:tcPr>
            <w:tcW w:w="3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125,633,017</w:t>
            </w:r>
          </w:p>
        </w:tc>
        <w:tc>
          <w:tcPr>
            <w:tcW w:w="1920" w:type="dxa"/>
            <w:vAlign w:val="bottom"/>
            <w:gridSpan w:val="2"/>
            <w:shd w:val="clear" w:color="auto" w:fill="CCEEFF"/>
          </w:tcPr>
          <w:p>
            <w:pPr>
              <w:jc w:val="center"/>
              <w:ind w:right="440"/>
              <w:spacing w:after="0" w:line="149" w:lineRule="exact"/>
              <w:rPr>
                <w:sz w:val="20"/>
                <w:szCs w:val="20"/>
                <w:color w:val="auto"/>
              </w:rPr>
            </w:pPr>
            <w:r>
              <w:rPr>
                <w:rFonts w:ascii="Arial" w:cs="Arial" w:eastAsia="Arial" w:hAnsi="Arial"/>
                <w:sz w:val="14"/>
                <w:szCs w:val="14"/>
                <w:color w:val="auto"/>
                <w:w w:val="93"/>
              </w:rPr>
              <w:t>Enterprise Market Value</w:t>
            </w:r>
          </w:p>
        </w:tc>
        <w:tc>
          <w:tcPr>
            <w:tcW w:w="2180" w:type="dxa"/>
            <w:vAlign w:val="bottom"/>
            <w:gridSpan w:val="2"/>
            <w:shd w:val="clear" w:color="auto" w:fill="CCEEFF"/>
          </w:tcPr>
          <w:p>
            <w:pPr>
              <w:jc w:val="center"/>
              <w:ind w:right="420"/>
              <w:spacing w:after="0" w:line="149" w:lineRule="exact"/>
              <w:rPr>
                <w:sz w:val="20"/>
                <w:szCs w:val="20"/>
                <w:color w:val="auto"/>
              </w:rPr>
            </w:pPr>
            <w:r>
              <w:rPr>
                <w:rFonts w:ascii="Arial" w:cs="Arial" w:eastAsia="Arial" w:hAnsi="Arial"/>
                <w:sz w:val="14"/>
                <w:szCs w:val="14"/>
                <w:color w:val="auto"/>
              </w:rPr>
              <w:t>EBITDA multiple</w:t>
            </w:r>
          </w:p>
        </w:tc>
        <w:tc>
          <w:tcPr>
            <w:tcW w:w="1520" w:type="dxa"/>
            <w:vAlign w:val="bottom"/>
            <w:gridSpan w:val="2"/>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4"/>
              </w:rPr>
              <w:t>5.0x – 15.5x (8.2x)</w:t>
            </w:r>
          </w:p>
        </w:tc>
        <w:tc>
          <w:tcPr>
            <w:tcW w:w="0" w:type="dxa"/>
            <w:vAlign w:val="bottom"/>
          </w:tcPr>
          <w:p>
            <w:pPr>
              <w:spacing w:after="0"/>
              <w:rPr>
                <w:sz w:val="1"/>
                <w:szCs w:val="1"/>
                <w:color w:val="auto"/>
              </w:rPr>
            </w:pPr>
          </w:p>
        </w:tc>
      </w:tr>
      <w:tr>
        <w:trPr>
          <w:trHeight w:val="156"/>
        </w:trPr>
        <w:tc>
          <w:tcPr>
            <w:tcW w:w="3580" w:type="dxa"/>
            <w:vAlign w:val="bottom"/>
          </w:tcPr>
          <w:p>
            <w:pPr>
              <w:ind w:left="300"/>
              <w:spacing w:after="0" w:line="155" w:lineRule="exact"/>
              <w:rPr>
                <w:sz w:val="20"/>
                <w:szCs w:val="20"/>
                <w:color w:val="auto"/>
              </w:rPr>
            </w:pPr>
            <w:r>
              <w:rPr>
                <w:rFonts w:ascii="Arial" w:cs="Arial" w:eastAsia="Arial" w:hAnsi="Arial"/>
                <w:sz w:val="14"/>
                <w:szCs w:val="14"/>
                <w:color w:val="auto"/>
              </w:rPr>
              <w:t>Total Level 3 investments</w:t>
            </w:r>
          </w:p>
        </w:tc>
        <w:tc>
          <w:tcPr>
            <w:tcW w:w="38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1,125,779,698</w:t>
            </w:r>
          </w:p>
        </w:tc>
        <w:tc>
          <w:tcPr>
            <w:tcW w:w="4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58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Long-Term Credit Facility</w:t>
            </w:r>
          </w:p>
        </w:tc>
        <w:tc>
          <w:tcPr>
            <w:tcW w:w="520" w:type="dxa"/>
            <w:vAlign w:val="bottom"/>
            <w:gridSpan w:val="2"/>
            <w:shd w:val="clear" w:color="auto" w:fill="CCEEFF"/>
          </w:tcPr>
          <w:p>
            <w:pPr>
              <w:ind w:left="380"/>
              <w:spacing w:after="0" w:line="143" w:lineRule="exact"/>
              <w:rPr>
                <w:sz w:val="20"/>
                <w:szCs w:val="20"/>
                <w:color w:val="auto"/>
              </w:rPr>
            </w:pPr>
            <w:r>
              <w:rPr>
                <w:rFonts w:ascii="Arial" w:cs="Arial" w:eastAsia="Arial" w:hAnsi="Arial"/>
                <w:sz w:val="14"/>
                <w:szCs w:val="14"/>
                <w:color w:val="auto"/>
              </w:rPr>
              <w:t>$</w:t>
            </w:r>
          </w:p>
        </w:tc>
        <w:tc>
          <w:tcPr>
            <w:tcW w:w="1520" w:type="dxa"/>
            <w:vAlign w:val="bottom"/>
            <w:gridSpan w:val="2"/>
            <w:shd w:val="clear" w:color="auto" w:fill="CCEEFF"/>
          </w:tcPr>
          <w:p>
            <w:pPr>
              <w:jc w:val="right"/>
              <w:ind w:right="460"/>
              <w:spacing w:after="0" w:line="143" w:lineRule="exact"/>
              <w:rPr>
                <w:sz w:val="20"/>
                <w:szCs w:val="20"/>
                <w:color w:val="auto"/>
              </w:rPr>
            </w:pPr>
            <w:r>
              <w:rPr>
                <w:rFonts w:ascii="Arial" w:cs="Arial" w:eastAsia="Arial" w:hAnsi="Arial"/>
                <w:sz w:val="14"/>
                <w:szCs w:val="14"/>
                <w:color w:val="auto"/>
              </w:rPr>
              <w:t>39,551,187</w:t>
            </w:r>
          </w:p>
        </w:tc>
        <w:tc>
          <w:tcPr>
            <w:tcW w:w="1920" w:type="dxa"/>
            <w:vAlign w:val="bottom"/>
            <w:gridSpan w:val="2"/>
            <w:shd w:val="clear" w:color="auto" w:fill="CCEEFF"/>
          </w:tcPr>
          <w:p>
            <w:pPr>
              <w:jc w:val="center"/>
              <w:ind w:right="440"/>
              <w:spacing w:after="0" w:line="143" w:lineRule="exact"/>
              <w:rPr>
                <w:sz w:val="20"/>
                <w:szCs w:val="20"/>
                <w:color w:val="auto"/>
              </w:rPr>
            </w:pPr>
            <w:r>
              <w:rPr>
                <w:rFonts w:ascii="Arial" w:cs="Arial" w:eastAsia="Arial" w:hAnsi="Arial"/>
                <w:sz w:val="14"/>
                <w:szCs w:val="14"/>
                <w:color w:val="auto"/>
                <w:w w:val="94"/>
              </w:rPr>
              <w:t>Market Comparable</w:t>
            </w:r>
          </w:p>
        </w:tc>
        <w:tc>
          <w:tcPr>
            <w:tcW w:w="2180" w:type="dxa"/>
            <w:vAlign w:val="bottom"/>
            <w:gridSpan w:val="2"/>
            <w:shd w:val="clear" w:color="auto" w:fill="CCEEFF"/>
          </w:tcPr>
          <w:p>
            <w:pPr>
              <w:jc w:val="center"/>
              <w:ind w:right="420"/>
              <w:spacing w:after="0" w:line="143" w:lineRule="exact"/>
              <w:rPr>
                <w:sz w:val="20"/>
                <w:szCs w:val="20"/>
                <w:color w:val="auto"/>
              </w:rPr>
            </w:pPr>
            <w:r>
              <w:rPr>
                <w:rFonts w:ascii="Arial" w:cs="Arial" w:eastAsia="Arial" w:hAnsi="Arial"/>
                <w:sz w:val="14"/>
                <w:szCs w:val="14"/>
                <w:color w:val="auto"/>
                <w:w w:val="97"/>
              </w:rPr>
              <w:t>Market Yield</w:t>
            </w:r>
          </w:p>
        </w:tc>
        <w:tc>
          <w:tcPr>
            <w:tcW w:w="1440" w:type="dxa"/>
            <w:vAlign w:val="bottom"/>
            <w:shd w:val="clear" w:color="auto" w:fill="CCEEFF"/>
          </w:tcPr>
          <w:p>
            <w:pPr>
              <w:jc w:val="center"/>
              <w:spacing w:after="0" w:line="143" w:lineRule="exact"/>
              <w:rPr>
                <w:sz w:val="20"/>
                <w:szCs w:val="20"/>
                <w:color w:val="auto"/>
              </w:rPr>
            </w:pPr>
            <w:r>
              <w:rPr>
                <w:rFonts w:ascii="Arial" w:cs="Arial" w:eastAsia="Arial" w:hAnsi="Arial"/>
                <w:sz w:val="14"/>
                <w:szCs w:val="14"/>
                <w:color w:val="auto"/>
                <w:w w:val="93"/>
              </w:rPr>
              <w:t>3.8%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investments, cash and cash equivalents, Credit Facility and our Notes were categorized as follows in the fair value hierarchy for ASC 820 purposes: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5"/>
          </w:tcPr>
          <w:p>
            <w:pPr>
              <w:jc w:val="right"/>
              <w:ind w:right="480"/>
              <w:spacing w:after="0"/>
              <w:rPr>
                <w:sz w:val="20"/>
                <w:szCs w:val="20"/>
                <w:color w:val="auto"/>
              </w:rPr>
            </w:pPr>
            <w:r>
              <w:rPr>
                <w:rFonts w:ascii="Arial" w:cs="Arial" w:eastAsia="Arial" w:hAnsi="Arial"/>
                <w:sz w:val="14"/>
                <w:szCs w:val="14"/>
                <w:b w:val="1"/>
                <w:bCs w:val="1"/>
                <w:color w:val="auto"/>
                <w:w w:val="98"/>
              </w:rPr>
              <w:t>Fair Value at December 31, 2016</w:t>
            </w: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2"/>
                <w:szCs w:val="12"/>
                <w:color w:val="auto"/>
              </w:rPr>
            </w:pPr>
          </w:p>
        </w:tc>
        <w:tc>
          <w:tcPr>
            <w:tcW w:w="110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ind w:right="308"/>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1,171,765,245</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ind w:left="820"/>
              <w:spacing w:after="0" w:line="142" w:lineRule="exact"/>
              <w:rPr>
                <w:sz w:val="20"/>
                <w:szCs w:val="20"/>
                <w:color w:val="auto"/>
              </w:rPr>
            </w:pPr>
            <w:r>
              <w:rPr>
                <w:rFonts w:ascii="Arial" w:cs="Arial" w:eastAsia="Arial" w:hAnsi="Arial"/>
                <w:sz w:val="14"/>
                <w:szCs w:val="14"/>
                <w:color w:val="auto"/>
                <w:w w:val="85"/>
              </w:rPr>
              <w:t>—</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1,171,765,245</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40" w:type="dxa"/>
            <w:vAlign w:val="bottom"/>
            <w:gridSpan w:val="2"/>
          </w:tcPr>
          <w:p>
            <w:pPr>
              <w:spacing w:after="0" w:line="149" w:lineRule="exact"/>
              <w:rPr>
                <w:sz w:val="20"/>
                <w:szCs w:val="20"/>
                <w:color w:val="auto"/>
              </w:rPr>
            </w:pPr>
            <w:r>
              <w:rPr>
                <w:rFonts w:ascii="Arial" w:cs="Arial" w:eastAsia="Arial" w:hAnsi="Arial"/>
                <w:sz w:val="14"/>
                <w:szCs w:val="14"/>
                <w:color w:val="auto"/>
              </w:rPr>
              <w:t>Equity investments</w:t>
            </w:r>
          </w:p>
        </w:tc>
        <w:tc>
          <w:tcPr>
            <w:tcW w:w="18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153,778,534</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1,817,390</w:t>
            </w:r>
          </w:p>
        </w:tc>
        <w:tc>
          <w:tcPr>
            <w:tcW w:w="24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26,371,234</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125,589,910</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5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1,325,543,779</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1,817,390</w:t>
            </w: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26,371,234</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1,297,355,155</w:t>
            </w:r>
          </w:p>
        </w:tc>
        <w:tc>
          <w:tcPr>
            <w:tcW w:w="0" w:type="dxa"/>
            <w:vAlign w:val="bottom"/>
          </w:tcPr>
          <w:p>
            <w:pPr>
              <w:spacing w:after="0"/>
              <w:rPr>
                <w:sz w:val="1"/>
                <w:szCs w:val="1"/>
                <w:color w:val="auto"/>
              </w:rPr>
            </w:pPr>
          </w:p>
        </w:tc>
      </w:tr>
      <w:tr>
        <w:trPr>
          <w:trHeight w:val="149"/>
        </w:trPr>
        <w:tc>
          <w:tcPr>
            <w:tcW w:w="5540" w:type="dxa"/>
            <w:vAlign w:val="bottom"/>
            <w:gridSpan w:val="2"/>
          </w:tcPr>
          <w:p>
            <w:pPr>
              <w:spacing w:after="0" w:line="149" w:lineRule="exact"/>
              <w:rPr>
                <w:sz w:val="20"/>
                <w:szCs w:val="20"/>
                <w:color w:val="auto"/>
              </w:rPr>
            </w:pPr>
            <w:r>
              <w:rPr>
                <w:rFonts w:ascii="Arial" w:cs="Arial" w:eastAsia="Arial" w:hAnsi="Arial"/>
                <w:sz w:val="14"/>
                <w:szCs w:val="14"/>
                <w:color w:val="auto"/>
              </w:rPr>
              <w:t>Cash and cash equivalents</w:t>
            </w:r>
          </w:p>
        </w:tc>
        <w:tc>
          <w:tcPr>
            <w:tcW w:w="18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45,340,576</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45,340,576</w:t>
            </w:r>
          </w:p>
        </w:tc>
        <w:tc>
          <w:tcPr>
            <w:tcW w:w="24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5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 cash and cash equivalents</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1,370,884,355</w:t>
            </w:r>
          </w:p>
        </w:tc>
        <w:tc>
          <w:tcPr>
            <w:tcW w:w="340" w:type="dxa"/>
            <w:vAlign w:val="bottom"/>
            <w:gridSpan w:val="2"/>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47,157,966</w:t>
            </w:r>
          </w:p>
        </w:tc>
        <w:tc>
          <w:tcPr>
            <w:tcW w:w="2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26,371,234</w:t>
            </w:r>
          </w:p>
        </w:tc>
        <w:tc>
          <w:tcPr>
            <w:tcW w:w="36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1,297,355,155</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540" w:type="dxa"/>
            <w:vAlign w:val="bottom"/>
            <w:gridSpan w:val="2"/>
            <w:vMerge w:val="continue"/>
          </w:tcPr>
          <w:p>
            <w:pPr>
              <w:spacing w:after="0"/>
              <w:rPr>
                <w:sz w:val="12"/>
                <w:szCs w:val="12"/>
                <w:color w:val="auto"/>
              </w:rPr>
            </w:pPr>
          </w:p>
        </w:tc>
        <w:tc>
          <w:tcPr>
            <w:tcW w:w="180" w:type="dxa"/>
            <w:vAlign w:val="bottom"/>
          </w:tcPr>
          <w:p>
            <w:pPr>
              <w:jc w:val="right"/>
              <w:ind w:right="28"/>
              <w:spacing w:after="0" w:line="143"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line="143" w:lineRule="exact"/>
              <w:rPr>
                <w:sz w:val="20"/>
                <w:szCs w:val="20"/>
                <w:color w:val="auto"/>
              </w:rPr>
            </w:pPr>
            <w:r>
              <w:rPr>
                <w:rFonts w:ascii="Arial" w:cs="Arial" w:eastAsia="Arial" w:hAnsi="Arial"/>
                <w:sz w:val="14"/>
                <w:szCs w:val="14"/>
                <w:color w:val="auto"/>
              </w:rPr>
              <w:t>136,122,503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40" w:type="dxa"/>
            <w:vAlign w:val="bottom"/>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960" w:type="dxa"/>
            <w:vAlign w:val="bottom"/>
          </w:tcPr>
          <w:p>
            <w:pPr>
              <w:ind w:left="820"/>
              <w:spacing w:after="0" w:line="143" w:lineRule="exact"/>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43" w:lineRule="exact"/>
              <w:rPr>
                <w:sz w:val="20"/>
                <w:szCs w:val="20"/>
                <w:color w:val="auto"/>
              </w:rPr>
            </w:pPr>
            <w:r>
              <w:rPr>
                <w:rFonts w:ascii="Arial" w:cs="Arial" w:eastAsia="Arial" w:hAnsi="Arial"/>
                <w:sz w:val="14"/>
                <w:szCs w:val="14"/>
                <w:color w:val="auto"/>
              </w:rPr>
              <w:t>136,122,503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2019 Notes</w:t>
            </w:r>
          </w:p>
        </w:tc>
        <w:tc>
          <w:tcPr>
            <w:tcW w:w="1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250,635,000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250,635,000</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5540" w:type="dxa"/>
            <w:vAlign w:val="bottom"/>
            <w:gridSpan w:val="2"/>
          </w:tcPr>
          <w:p>
            <w:pPr>
              <w:spacing w:after="0" w:line="149" w:lineRule="exact"/>
              <w:rPr>
                <w:sz w:val="20"/>
                <w:szCs w:val="20"/>
                <w:color w:val="auto"/>
              </w:rPr>
            </w:pPr>
            <w:r>
              <w:rPr>
                <w:rFonts w:ascii="Arial" w:cs="Arial" w:eastAsia="Arial" w:hAnsi="Arial"/>
                <w:sz w:val="14"/>
                <w:szCs w:val="14"/>
                <w:color w:val="auto"/>
              </w:rPr>
              <w:t>2025 Notes</w:t>
            </w:r>
          </w:p>
        </w:tc>
        <w:tc>
          <w:tcPr>
            <w:tcW w:w="180" w:type="dxa"/>
            <w:vAlign w:val="bottom"/>
          </w:tcPr>
          <w:p>
            <w:pPr>
              <w:spacing w:after="0"/>
              <w:rPr>
                <w:sz w:val="12"/>
                <w:szCs w:val="12"/>
                <w:color w:val="auto"/>
              </w:rPr>
            </w:pPr>
          </w:p>
        </w:tc>
        <w:tc>
          <w:tcPr>
            <w:tcW w:w="11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71,535,000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71,535,000</w:t>
            </w:r>
          </w:p>
        </w:tc>
        <w:tc>
          <w:tcPr>
            <w:tcW w:w="24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5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debt</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458,292,503</w:t>
            </w:r>
          </w:p>
        </w:tc>
        <w:tc>
          <w:tcPr>
            <w:tcW w:w="340" w:type="dxa"/>
            <w:vAlign w:val="bottom"/>
            <w:gridSpan w:val="2"/>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71,535,000</w:t>
            </w:r>
          </w:p>
        </w:tc>
        <w:tc>
          <w:tcPr>
            <w:tcW w:w="2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250,635,000</w:t>
            </w:r>
          </w:p>
        </w:tc>
        <w:tc>
          <w:tcPr>
            <w:tcW w:w="36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136,122,503</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4"/>
                <w:szCs w:val="14"/>
                <w:b w:val="1"/>
                <w:bCs w:val="1"/>
                <w:color w:val="auto"/>
                <w:w w:val="99"/>
              </w:rPr>
              <w:t>Fair Value at September 30, 2016</w:t>
            </w:r>
          </w:p>
        </w:tc>
        <w:tc>
          <w:tcPr>
            <w:tcW w:w="1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Fair Value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2"/>
                <w:szCs w:val="12"/>
                <w:color w:val="auto"/>
              </w:rPr>
            </w:pPr>
          </w:p>
        </w:tc>
        <w:tc>
          <w:tcPr>
            <w:tcW w:w="110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jc w:val="right"/>
              <w:ind w:right="308"/>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3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Debt investments</w:t>
            </w:r>
          </w:p>
        </w:tc>
        <w:tc>
          <w:tcPr>
            <w:tcW w:w="1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1,000,146,681</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ind w:left="820"/>
              <w:spacing w:after="0" w:line="142" w:lineRule="exact"/>
              <w:rPr>
                <w:sz w:val="20"/>
                <w:szCs w:val="20"/>
                <w:color w:val="auto"/>
              </w:rPr>
            </w:pPr>
            <w:r>
              <w:rPr>
                <w:rFonts w:ascii="Arial" w:cs="Arial" w:eastAsia="Arial" w:hAnsi="Arial"/>
                <w:sz w:val="14"/>
                <w:szCs w:val="14"/>
                <w:color w:val="auto"/>
                <w:w w:val="85"/>
              </w:rPr>
              <w:t>—</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1,000,146,681</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40" w:type="dxa"/>
            <w:vAlign w:val="bottom"/>
            <w:gridSpan w:val="2"/>
          </w:tcPr>
          <w:p>
            <w:pPr>
              <w:spacing w:after="0" w:line="149" w:lineRule="exact"/>
              <w:rPr>
                <w:sz w:val="20"/>
                <w:szCs w:val="20"/>
                <w:color w:val="auto"/>
              </w:rPr>
            </w:pPr>
            <w:r>
              <w:rPr>
                <w:rFonts w:ascii="Arial" w:cs="Arial" w:eastAsia="Arial" w:hAnsi="Arial"/>
                <w:sz w:val="14"/>
                <w:szCs w:val="14"/>
                <w:color w:val="auto"/>
              </w:rPr>
              <w:t>Equity investments</w:t>
            </w:r>
          </w:p>
        </w:tc>
        <w:tc>
          <w:tcPr>
            <w:tcW w:w="22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153,532,994</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2,758,757</w:t>
            </w:r>
          </w:p>
        </w:tc>
        <w:tc>
          <w:tcPr>
            <w:tcW w:w="24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25,141,220</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125,633,017</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5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1,153,679,675</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2,758,757</w:t>
            </w: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25,141,220</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1,125,779,698</w:t>
            </w:r>
          </w:p>
        </w:tc>
        <w:tc>
          <w:tcPr>
            <w:tcW w:w="0" w:type="dxa"/>
            <w:vAlign w:val="bottom"/>
          </w:tcPr>
          <w:p>
            <w:pPr>
              <w:spacing w:after="0"/>
              <w:rPr>
                <w:sz w:val="1"/>
                <w:szCs w:val="1"/>
                <w:color w:val="auto"/>
              </w:rPr>
            </w:pPr>
          </w:p>
        </w:tc>
      </w:tr>
      <w:tr>
        <w:trPr>
          <w:trHeight w:val="149"/>
        </w:trPr>
        <w:tc>
          <w:tcPr>
            <w:tcW w:w="5540" w:type="dxa"/>
            <w:vAlign w:val="bottom"/>
            <w:gridSpan w:val="2"/>
          </w:tcPr>
          <w:p>
            <w:pPr>
              <w:spacing w:after="0" w:line="149" w:lineRule="exact"/>
              <w:rPr>
                <w:sz w:val="20"/>
                <w:szCs w:val="20"/>
                <w:color w:val="auto"/>
              </w:rPr>
            </w:pPr>
            <w:r>
              <w:rPr>
                <w:rFonts w:ascii="Arial" w:cs="Arial" w:eastAsia="Arial" w:hAnsi="Arial"/>
                <w:sz w:val="14"/>
                <w:szCs w:val="14"/>
                <w:color w:val="auto"/>
              </w:rPr>
              <w:t>Cash and cash equivalents</w:t>
            </w:r>
          </w:p>
        </w:tc>
        <w:tc>
          <w:tcPr>
            <w:tcW w:w="22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75,608,113</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75,608,113</w:t>
            </w:r>
          </w:p>
        </w:tc>
        <w:tc>
          <w:tcPr>
            <w:tcW w:w="24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5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investments, cash and cash equivalents</w:t>
            </w: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1,229,287,788</w:t>
            </w:r>
          </w:p>
        </w:tc>
        <w:tc>
          <w:tcPr>
            <w:tcW w:w="32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78,366,870</w:t>
            </w:r>
          </w:p>
        </w:tc>
        <w:tc>
          <w:tcPr>
            <w:tcW w:w="2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25,141,220</w:t>
            </w:r>
          </w:p>
        </w:tc>
        <w:tc>
          <w:tcPr>
            <w:tcW w:w="36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1,125,779,698</w:t>
            </w:r>
          </w:p>
        </w:tc>
        <w:tc>
          <w:tcPr>
            <w:tcW w:w="0" w:type="dxa"/>
            <w:vAlign w:val="bottom"/>
          </w:tcPr>
          <w:p>
            <w:pPr>
              <w:spacing w:after="0"/>
              <w:rPr>
                <w:sz w:val="1"/>
                <w:szCs w:val="1"/>
                <w:color w:val="auto"/>
              </w:rPr>
            </w:pPr>
          </w:p>
        </w:tc>
      </w:tr>
      <w:tr>
        <w:trPr>
          <w:trHeight w:val="20"/>
        </w:trPr>
        <w:tc>
          <w:tcPr>
            <w:tcW w:w="554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540" w:type="dxa"/>
            <w:vAlign w:val="bottom"/>
            <w:gridSpan w:val="2"/>
            <w:vMerge w:val="continue"/>
          </w:tcPr>
          <w:p>
            <w:pPr>
              <w:spacing w:after="0"/>
              <w:rPr>
                <w:sz w:val="12"/>
                <w:szCs w:val="12"/>
                <w:color w:val="auto"/>
              </w:rPr>
            </w:pPr>
          </w:p>
        </w:tc>
        <w:tc>
          <w:tcPr>
            <w:tcW w:w="220" w:type="dxa"/>
            <w:vAlign w:val="bottom"/>
          </w:tcPr>
          <w:p>
            <w:pPr>
              <w:spacing w:after="0" w:line="143"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3" w:lineRule="exact"/>
              <w:rPr>
                <w:sz w:val="20"/>
                <w:szCs w:val="20"/>
                <w:color w:val="auto"/>
              </w:rPr>
            </w:pPr>
            <w:r>
              <w:rPr>
                <w:rFonts w:ascii="Arial" w:cs="Arial" w:eastAsia="Arial" w:hAnsi="Arial"/>
                <w:sz w:val="14"/>
                <w:szCs w:val="14"/>
                <w:color w:val="auto"/>
              </w:rPr>
              <w:t>39,551,187</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40" w:type="dxa"/>
            <w:vAlign w:val="bottom"/>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960" w:type="dxa"/>
            <w:vAlign w:val="bottom"/>
          </w:tcPr>
          <w:p>
            <w:pPr>
              <w:ind w:left="820"/>
              <w:spacing w:after="0" w:line="143" w:lineRule="exact"/>
              <w:rPr>
                <w:sz w:val="20"/>
                <w:szCs w:val="20"/>
                <w:color w:val="auto"/>
              </w:rPr>
            </w:pPr>
            <w:r>
              <w:rPr>
                <w:rFonts w:ascii="Arial" w:cs="Arial" w:eastAsia="Arial" w:hAnsi="Arial"/>
                <w:sz w:val="14"/>
                <w:szCs w:val="14"/>
                <w:color w:val="auto"/>
                <w:w w:val="85"/>
              </w:rPr>
              <w: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43" w:lineRule="exact"/>
              <w:rPr>
                <w:sz w:val="20"/>
                <w:szCs w:val="20"/>
                <w:color w:val="auto"/>
              </w:rPr>
            </w:pPr>
            <w:r>
              <w:rPr>
                <w:rFonts w:ascii="Arial" w:cs="Arial" w:eastAsia="Arial" w:hAnsi="Arial"/>
                <w:sz w:val="14"/>
                <w:szCs w:val="14"/>
                <w:color w:val="auto"/>
              </w:rPr>
              <w:t>39,551,187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2019 Notes</w:t>
            </w:r>
          </w:p>
        </w:tc>
        <w:tc>
          <w:tcPr>
            <w:tcW w:w="22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254,175,000</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254,175,000</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540" w:type="dxa"/>
            <w:vAlign w:val="bottom"/>
            <w:gridSpan w:val="2"/>
          </w:tcPr>
          <w:p>
            <w:pPr>
              <w:spacing w:after="0" w:line="149" w:lineRule="exact"/>
              <w:rPr>
                <w:sz w:val="20"/>
                <w:szCs w:val="20"/>
                <w:color w:val="auto"/>
              </w:rPr>
            </w:pPr>
            <w:r>
              <w:rPr>
                <w:rFonts w:ascii="Arial" w:cs="Arial" w:eastAsia="Arial" w:hAnsi="Arial"/>
                <w:sz w:val="14"/>
                <w:szCs w:val="14"/>
                <w:color w:val="auto"/>
              </w:rPr>
              <w:t>2025 Notes</w:t>
            </w:r>
          </w:p>
        </w:tc>
        <w:tc>
          <w:tcPr>
            <w:tcW w:w="220" w:type="dxa"/>
            <w:vAlign w:val="bottom"/>
          </w:tcPr>
          <w:p>
            <w:pPr>
              <w:spacing w:after="0"/>
              <w:rPr>
                <w:sz w:val="12"/>
                <w:szCs w:val="12"/>
                <w:color w:val="auto"/>
              </w:rPr>
            </w:pPr>
          </w:p>
        </w:tc>
        <w:tc>
          <w:tcPr>
            <w:tcW w:w="11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72,618,000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72,618,000</w:t>
            </w:r>
          </w:p>
        </w:tc>
        <w:tc>
          <w:tcPr>
            <w:tcW w:w="240" w:type="dxa"/>
            <w:vAlign w:val="bottom"/>
          </w:tcPr>
          <w:p>
            <w:pPr>
              <w:spacing w:after="0"/>
              <w:rPr>
                <w:sz w:val="12"/>
                <w:szCs w:val="12"/>
                <w:color w:val="auto"/>
              </w:rPr>
            </w:pP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5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54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debt</w:t>
            </w: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366,344,187</w:t>
            </w:r>
          </w:p>
        </w:tc>
        <w:tc>
          <w:tcPr>
            <w:tcW w:w="32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72,618,000</w:t>
            </w:r>
          </w:p>
        </w:tc>
        <w:tc>
          <w:tcPr>
            <w:tcW w:w="2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254,175,000</w:t>
            </w:r>
          </w:p>
        </w:tc>
        <w:tc>
          <w:tcPr>
            <w:tcW w:w="360" w:type="dxa"/>
            <w:vAlign w:val="bottom"/>
            <w:gridSpan w:val="2"/>
            <w:shd w:val="clear" w:color="auto" w:fill="CCEEFF"/>
          </w:tcPr>
          <w:p>
            <w:pPr>
              <w:jc w:val="right"/>
              <w:ind w:right="109"/>
              <w:spacing w:after="0" w:line="149" w:lineRule="exact"/>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39,551,187</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5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ind w:left="20"/>
              <w:spacing w:after="0"/>
              <w:rPr>
                <w:sz w:val="20"/>
                <w:szCs w:val="20"/>
                <w:color w:val="auto"/>
              </w:rPr>
            </w:pPr>
            <w:r>
              <w:rPr>
                <w:rFonts w:ascii="Arial" w:cs="Arial" w:eastAsia="Arial" w:hAnsi="Arial"/>
                <w:sz w:val="14"/>
                <w:szCs w:val="14"/>
                <w:color w:val="auto"/>
              </w:rPr>
              <w:t>19</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spacing w:after="0" w:line="221" w:lineRule="auto"/>
        <w:rPr>
          <w:sz w:val="20"/>
          <w:szCs w:val="20"/>
          <w:color w:val="auto"/>
        </w:rPr>
      </w:pPr>
      <w:r>
        <w:rPr>
          <w:rFonts w:ascii="Arial" w:cs="Arial" w:eastAsia="Arial" w:hAnsi="Arial"/>
          <w:sz w:val="14"/>
          <w:szCs w:val="14"/>
          <w:b w:val="1"/>
          <w:bCs w:val="1"/>
          <w:color w:val="auto"/>
        </w:rPr>
        <w:t>DECEMBER 31, 2016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tables below show a reconciliation of the beginning and ending balances for fair valued investments measured using significant unobservable inputs (Level 3):</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gridSpan w:val="9"/>
          </w:tcPr>
          <w:p>
            <w:pPr>
              <w:jc w:val="right"/>
              <w:ind w:right="468"/>
              <w:spacing w:after="0"/>
              <w:rPr>
                <w:sz w:val="20"/>
                <w:szCs w:val="20"/>
                <w:color w:val="auto"/>
              </w:rPr>
            </w:pPr>
            <w:r>
              <w:rPr>
                <w:rFonts w:ascii="Arial" w:cs="Arial" w:eastAsia="Arial" w:hAnsi="Arial"/>
                <w:sz w:val="14"/>
                <w:szCs w:val="14"/>
                <w:b w:val="1"/>
                <w:bCs w:val="1"/>
                <w:color w:val="auto"/>
              </w:rPr>
              <w:t>Three Months Ended December 31, 2016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3"/>
          </w:tcPr>
          <w:p>
            <w:pPr>
              <w:jc w:val="right"/>
              <w:ind w:right="680"/>
              <w:spacing w:after="0" w:line="119" w:lineRule="exact"/>
              <w:rPr>
                <w:sz w:val="20"/>
                <w:szCs w:val="20"/>
                <w:color w:val="auto"/>
              </w:rPr>
            </w:pPr>
            <w:r>
              <w:rPr>
                <w:rFonts w:ascii="Arial" w:cs="Arial" w:eastAsia="Arial" w:hAnsi="Arial"/>
                <w:sz w:val="13"/>
                <w:szCs w:val="13"/>
                <w:b w:val="1"/>
                <w:bCs w:val="1"/>
                <w:color w:val="auto"/>
              </w:rPr>
              <w:t>Debt</w:t>
            </w:r>
          </w:p>
        </w:tc>
        <w:tc>
          <w:tcPr>
            <w:tcW w:w="100" w:type="dxa"/>
            <w:vAlign w:val="bottom"/>
          </w:tcPr>
          <w:p>
            <w:pPr>
              <w:spacing w:after="0"/>
              <w:rPr>
                <w:sz w:val="10"/>
                <w:szCs w:val="10"/>
                <w:color w:val="auto"/>
              </w:rPr>
            </w:pPr>
          </w:p>
        </w:tc>
        <w:tc>
          <w:tcPr>
            <w:tcW w:w="110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Equity</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75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2"/>
              </w:rPr>
              <w:t>investments</w:t>
            </w:r>
          </w:p>
        </w:tc>
        <w:tc>
          <w:tcPr>
            <w:tcW w:w="10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w:t>
            </w: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1,000,146,681</w:t>
            </w:r>
          </w:p>
        </w:tc>
        <w:tc>
          <w:tcPr>
            <w:tcW w:w="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125,633,017</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1,125,779,698</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5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Net realized (losses) gains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(34,173,159)</w:t>
            </w:r>
          </w:p>
        </w:tc>
        <w:tc>
          <w:tcPr>
            <w:tcW w:w="10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11,800,414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(22,372,745)</w:t>
            </w:r>
          </w:p>
        </w:tc>
        <w:tc>
          <w:tcPr>
            <w:tcW w:w="0" w:type="dxa"/>
            <w:vAlign w:val="bottom"/>
          </w:tcPr>
          <w:p>
            <w:pPr>
              <w:spacing w:after="0"/>
              <w:rPr>
                <w:sz w:val="1"/>
                <w:szCs w:val="1"/>
                <w:color w:val="auto"/>
              </w:rPr>
            </w:pPr>
          </w:p>
        </w:tc>
      </w:tr>
      <w:tr>
        <w:trPr>
          <w:trHeight w:val="148"/>
        </w:trPr>
        <w:tc>
          <w:tcPr>
            <w:tcW w:w="75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Net unrealized appreciation (depreciation)</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35,054,433</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(9,984,472)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25,069,961</w:t>
            </w:r>
          </w:p>
        </w:tc>
        <w:tc>
          <w:tcPr>
            <w:tcW w:w="0" w:type="dxa"/>
            <w:vAlign w:val="bottom"/>
          </w:tcPr>
          <w:p>
            <w:pPr>
              <w:spacing w:after="0"/>
              <w:rPr>
                <w:sz w:val="1"/>
                <w:szCs w:val="1"/>
                <w:color w:val="auto"/>
              </w:rPr>
            </w:pPr>
          </w:p>
        </w:tc>
      </w:tr>
      <w:tr>
        <w:trPr>
          <w:trHeight w:val="149"/>
        </w:trPr>
        <w:tc>
          <w:tcPr>
            <w:tcW w:w="75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Purchases, PIK interest, net discount accretion and non-cash exchanges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226,774,334</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11,778,800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238,553,134</w:t>
            </w:r>
          </w:p>
        </w:tc>
        <w:tc>
          <w:tcPr>
            <w:tcW w:w="0" w:type="dxa"/>
            <w:vAlign w:val="bottom"/>
          </w:tcPr>
          <w:p>
            <w:pPr>
              <w:spacing w:after="0"/>
              <w:rPr>
                <w:sz w:val="1"/>
                <w:szCs w:val="1"/>
                <w:color w:val="auto"/>
              </w:rPr>
            </w:pPr>
          </w:p>
        </w:tc>
      </w:tr>
      <w:tr>
        <w:trPr>
          <w:trHeight w:val="148"/>
        </w:trPr>
        <w:tc>
          <w:tcPr>
            <w:tcW w:w="75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Sales, repayments and non-cash exchanges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(56,037,044)</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(13,637,849)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(69,674,893)</w:t>
            </w:r>
          </w:p>
        </w:tc>
        <w:tc>
          <w:tcPr>
            <w:tcW w:w="0" w:type="dxa"/>
            <w:vAlign w:val="bottom"/>
          </w:tcPr>
          <w:p>
            <w:pPr>
              <w:spacing w:after="0"/>
              <w:rPr>
                <w:sz w:val="1"/>
                <w:szCs w:val="1"/>
                <w:color w:val="auto"/>
              </w:rPr>
            </w:pPr>
          </w:p>
        </w:tc>
      </w:tr>
      <w:tr>
        <w:trPr>
          <w:trHeight w:val="148"/>
        </w:trPr>
        <w:tc>
          <w:tcPr>
            <w:tcW w:w="75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Transfers in/out of Level 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7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100" w:type="dxa"/>
            <w:vAlign w:val="bottom"/>
            <w:gridSpan w:val="2"/>
            <w:shd w:val="clear" w:color="auto" w:fill="CCEEFF"/>
          </w:tcPr>
          <w:p>
            <w:pPr>
              <w:jc w:val="right"/>
              <w:ind w:right="14"/>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1,171,765,245</w:t>
            </w: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125,589,910</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1"/>
              </w:rPr>
              <w:t>1,297,355,155</w:t>
            </w:r>
          </w:p>
        </w:tc>
        <w:tc>
          <w:tcPr>
            <w:tcW w:w="0" w:type="dxa"/>
            <w:vAlign w:val="bottom"/>
          </w:tcPr>
          <w:p>
            <w:pPr>
              <w:spacing w:after="0"/>
              <w:rPr>
                <w:sz w:val="1"/>
                <w:szCs w:val="1"/>
                <w:color w:val="auto"/>
              </w:rPr>
            </w:pPr>
          </w:p>
        </w:tc>
      </w:tr>
      <w:tr>
        <w:trPr>
          <w:trHeight w:val="20"/>
        </w:trPr>
        <w:tc>
          <w:tcPr>
            <w:tcW w:w="7560" w:type="dxa"/>
            <w:vAlign w:val="bottom"/>
            <w:gridSpan w:val="2"/>
            <w:vMerge w:val="restart"/>
          </w:tcPr>
          <w:p>
            <w:pPr>
              <w:spacing w:after="0"/>
              <w:rPr>
                <w:sz w:val="20"/>
                <w:szCs w:val="20"/>
                <w:color w:val="auto"/>
              </w:rPr>
            </w:pPr>
            <w:r>
              <w:rPr>
                <w:rFonts w:ascii="Arial" w:cs="Arial" w:eastAsia="Arial" w:hAnsi="Arial"/>
                <w:sz w:val="14"/>
                <w:szCs w:val="14"/>
                <w:color w:val="auto"/>
              </w:rPr>
              <w:t>Net change in unrealized appreciation reported within the net change in unrealized appreciation on investments in our</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56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7560" w:type="dxa"/>
            <w:vAlign w:val="bottom"/>
            <w:gridSpan w:val="2"/>
          </w:tcPr>
          <w:p>
            <w:pPr>
              <w:ind w:left="160"/>
              <w:spacing w:after="0"/>
              <w:rPr>
                <w:sz w:val="20"/>
                <w:szCs w:val="20"/>
                <w:color w:val="auto"/>
              </w:rPr>
            </w:pPr>
            <w:r>
              <w:rPr>
                <w:rFonts w:ascii="Arial" w:cs="Arial" w:eastAsia="Arial" w:hAnsi="Arial"/>
                <w:sz w:val="14"/>
                <w:szCs w:val="14"/>
                <w:color w:val="auto"/>
              </w:rPr>
              <w:t>Consolidated Statements of Operations attributable to our Level 3 assets still held at the reporting date.</w:t>
            </w:r>
          </w:p>
        </w:tc>
        <w:tc>
          <w:tcPr>
            <w:tcW w:w="100" w:type="dxa"/>
            <w:vAlign w:val="bottom"/>
            <w:gridSpan w:val="2"/>
          </w:tcPr>
          <w:p>
            <w:pPr>
              <w:jc w:val="right"/>
              <w:ind w:right="14"/>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11,161,106</w:t>
            </w:r>
          </w:p>
        </w:tc>
        <w:tc>
          <w:tcPr>
            <w:tcW w:w="3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252,650</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11,413,756</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80" w:type="dxa"/>
            <w:vAlign w:val="bottom"/>
            <w:tcBorders>
              <w:bottom w:val="single" w:sz="8" w:color="auto"/>
            </w:tcBorders>
            <w:gridSpan w:val="8"/>
          </w:tcPr>
          <w:p>
            <w:pPr>
              <w:jc w:val="right"/>
              <w:ind w:right="468"/>
              <w:spacing w:after="0"/>
              <w:rPr>
                <w:sz w:val="20"/>
                <w:szCs w:val="20"/>
                <w:color w:val="auto"/>
              </w:rPr>
            </w:pPr>
            <w:r>
              <w:rPr>
                <w:rFonts w:ascii="Arial" w:cs="Arial" w:eastAsia="Arial" w:hAnsi="Arial"/>
                <w:sz w:val="14"/>
                <w:szCs w:val="14"/>
                <w:b w:val="1"/>
                <w:bCs w:val="1"/>
                <w:color w:val="auto"/>
              </w:rPr>
              <w:t>Three Months Ended December 31, 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7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tcPr>
          <w:p>
            <w:pPr>
              <w:jc w:val="right"/>
              <w:ind w:right="680"/>
              <w:spacing w:after="0" w:line="119" w:lineRule="exact"/>
              <w:rPr>
                <w:sz w:val="20"/>
                <w:szCs w:val="20"/>
                <w:color w:val="auto"/>
              </w:rPr>
            </w:pPr>
            <w:r>
              <w:rPr>
                <w:rFonts w:ascii="Arial" w:cs="Arial" w:eastAsia="Arial" w:hAnsi="Arial"/>
                <w:sz w:val="13"/>
                <w:szCs w:val="13"/>
                <w:b w:val="1"/>
                <w:bCs w:val="1"/>
                <w:color w:val="auto"/>
              </w:rPr>
              <w:t>Debt</w:t>
            </w:r>
          </w:p>
        </w:tc>
        <w:tc>
          <w:tcPr>
            <w:tcW w:w="100" w:type="dxa"/>
            <w:vAlign w:val="bottom"/>
          </w:tcPr>
          <w:p>
            <w:pPr>
              <w:spacing w:after="0"/>
              <w:rPr>
                <w:sz w:val="10"/>
                <w:szCs w:val="10"/>
                <w:color w:val="auto"/>
              </w:rPr>
            </w:pPr>
          </w:p>
        </w:tc>
        <w:tc>
          <w:tcPr>
            <w:tcW w:w="110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Equity</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75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2"/>
              </w:rPr>
              <w:t>investments</w:t>
            </w:r>
          </w:p>
        </w:tc>
        <w:tc>
          <w:tcPr>
            <w:tcW w:w="100" w:type="dxa"/>
            <w:vAlign w:val="bottom"/>
          </w:tcPr>
          <w:p>
            <w:pPr>
              <w:spacing w:after="0"/>
              <w:rPr>
                <w:sz w:val="14"/>
                <w:szCs w:val="14"/>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investments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3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Beginning Balance</w:t>
            </w: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5"/>
                <w:szCs w:val="5"/>
                <w:color w:val="auto"/>
                <w:w w:val="70"/>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1,194,257,869</w:t>
            </w:r>
          </w:p>
        </w:tc>
        <w:tc>
          <w:tcPr>
            <w:tcW w:w="3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103,169,586</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1,297,427,455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Net realized (losses) gains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(27,123,807)</w:t>
            </w:r>
          </w:p>
        </w:tc>
        <w:tc>
          <w:tcPr>
            <w:tcW w:w="10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1,691,446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(25,432,361)</w:t>
            </w:r>
          </w:p>
        </w:tc>
        <w:tc>
          <w:tcPr>
            <w:tcW w:w="0" w:type="dxa"/>
            <w:vAlign w:val="bottom"/>
          </w:tcPr>
          <w:p>
            <w:pPr>
              <w:spacing w:after="0"/>
              <w:rPr>
                <w:sz w:val="1"/>
                <w:szCs w:val="1"/>
                <w:color w:val="auto"/>
              </w:rPr>
            </w:pPr>
          </w:p>
        </w:tc>
      </w:tr>
      <w:tr>
        <w:trPr>
          <w:trHeight w:val="148"/>
        </w:trPr>
        <w:tc>
          <w:tcPr>
            <w:tcW w:w="75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Net unrealized depreciation</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(35,926,407)</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(3,177,458)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(39,103,865)</w:t>
            </w:r>
          </w:p>
        </w:tc>
        <w:tc>
          <w:tcPr>
            <w:tcW w:w="0" w:type="dxa"/>
            <w:vAlign w:val="bottom"/>
          </w:tcPr>
          <w:p>
            <w:pPr>
              <w:spacing w:after="0"/>
              <w:rPr>
                <w:sz w:val="1"/>
                <w:szCs w:val="1"/>
                <w:color w:val="auto"/>
              </w:rPr>
            </w:pPr>
          </w:p>
        </w:tc>
      </w:tr>
      <w:tr>
        <w:trPr>
          <w:trHeight w:val="148"/>
        </w:trPr>
        <w:tc>
          <w:tcPr>
            <w:tcW w:w="75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Purchases, PIK interest, net discount accretion and non-cash exchanges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104,756,425</w:t>
            </w:r>
          </w:p>
        </w:tc>
        <w:tc>
          <w:tcPr>
            <w:tcW w:w="10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31,628,493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136,384,918</w:t>
            </w:r>
          </w:p>
        </w:tc>
        <w:tc>
          <w:tcPr>
            <w:tcW w:w="0" w:type="dxa"/>
            <w:vAlign w:val="bottom"/>
          </w:tcPr>
          <w:p>
            <w:pPr>
              <w:spacing w:after="0"/>
              <w:rPr>
                <w:sz w:val="1"/>
                <w:szCs w:val="1"/>
                <w:color w:val="auto"/>
              </w:rPr>
            </w:pPr>
          </w:p>
        </w:tc>
      </w:tr>
      <w:tr>
        <w:trPr>
          <w:trHeight w:val="148"/>
        </w:trPr>
        <w:tc>
          <w:tcPr>
            <w:tcW w:w="756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Sales, repayments and non-cash exchanges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(104,127,278)</w:t>
            </w: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(3,941,446)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(108,068,724)</w:t>
            </w:r>
          </w:p>
        </w:tc>
        <w:tc>
          <w:tcPr>
            <w:tcW w:w="0" w:type="dxa"/>
            <w:vAlign w:val="bottom"/>
          </w:tcPr>
          <w:p>
            <w:pPr>
              <w:spacing w:after="0"/>
              <w:rPr>
                <w:sz w:val="1"/>
                <w:szCs w:val="1"/>
                <w:color w:val="auto"/>
              </w:rPr>
            </w:pPr>
          </w:p>
        </w:tc>
      </w:tr>
      <w:tr>
        <w:trPr>
          <w:trHeight w:val="148"/>
        </w:trPr>
        <w:tc>
          <w:tcPr>
            <w:tcW w:w="7560" w:type="dxa"/>
            <w:vAlign w:val="bottom"/>
            <w:gridSpan w:val="2"/>
          </w:tcPr>
          <w:p>
            <w:pPr>
              <w:ind w:left="300"/>
              <w:spacing w:after="0" w:line="149" w:lineRule="exact"/>
              <w:rPr>
                <w:sz w:val="20"/>
                <w:szCs w:val="20"/>
                <w:color w:val="auto"/>
              </w:rPr>
            </w:pPr>
            <w:r>
              <w:rPr>
                <w:rFonts w:ascii="Arial" w:cs="Arial" w:eastAsia="Arial" w:hAnsi="Arial"/>
                <w:sz w:val="14"/>
                <w:szCs w:val="14"/>
                <w:color w:val="auto"/>
              </w:rPr>
              <w:t>Transfers in/out of Level 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
        </w:trPr>
        <w:tc>
          <w:tcPr>
            <w:tcW w:w="7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Ending Balance</w:t>
            </w:r>
          </w:p>
        </w:tc>
        <w:tc>
          <w:tcPr>
            <w:tcW w:w="100" w:type="dxa"/>
            <w:vAlign w:val="bottom"/>
            <w:gridSpan w:val="2"/>
            <w:shd w:val="clear" w:color="auto" w:fill="CCEEFF"/>
          </w:tcPr>
          <w:p>
            <w:pPr>
              <w:jc w:val="right"/>
              <w:ind w:right="14"/>
              <w:spacing w:after="0"/>
              <w:rPr>
                <w:sz w:val="20"/>
                <w:szCs w:val="20"/>
                <w:color w:val="auto"/>
              </w:rPr>
            </w:pPr>
            <w:r>
              <w:rPr>
                <w:rFonts w:ascii="Arial" w:cs="Arial" w:eastAsia="Arial" w:hAnsi="Arial"/>
                <w:sz w:val="10"/>
                <w:szCs w:val="10"/>
                <w:color w:val="auto"/>
                <w:w w:val="71"/>
              </w:rPr>
              <w:t>$</w:t>
            </w:r>
          </w:p>
        </w:tc>
        <w:tc>
          <w:tcPr>
            <w:tcW w:w="124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1,131,836,802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129,370,621</w:t>
            </w:r>
          </w:p>
        </w:tc>
        <w:tc>
          <w:tcPr>
            <w:tcW w:w="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1"/>
              </w:rPr>
              <w:t>1,261,207,423</w:t>
            </w:r>
          </w:p>
        </w:tc>
        <w:tc>
          <w:tcPr>
            <w:tcW w:w="0" w:type="dxa"/>
            <w:vAlign w:val="bottom"/>
          </w:tcPr>
          <w:p>
            <w:pPr>
              <w:spacing w:after="0"/>
              <w:rPr>
                <w:sz w:val="1"/>
                <w:szCs w:val="1"/>
                <w:color w:val="auto"/>
              </w:rPr>
            </w:pPr>
          </w:p>
        </w:tc>
      </w:tr>
      <w:tr>
        <w:trPr>
          <w:trHeight w:val="20"/>
        </w:trPr>
        <w:tc>
          <w:tcPr>
            <w:tcW w:w="7560" w:type="dxa"/>
            <w:vAlign w:val="bottom"/>
            <w:gridSpan w:val="2"/>
            <w:vMerge w:val="restart"/>
          </w:tcPr>
          <w:p>
            <w:pPr>
              <w:spacing w:after="0"/>
              <w:rPr>
                <w:sz w:val="20"/>
                <w:szCs w:val="20"/>
                <w:color w:val="auto"/>
              </w:rPr>
            </w:pPr>
            <w:r>
              <w:rPr>
                <w:rFonts w:ascii="Arial" w:cs="Arial" w:eastAsia="Arial" w:hAnsi="Arial"/>
                <w:sz w:val="14"/>
                <w:szCs w:val="14"/>
                <w:color w:val="auto"/>
                <w:w w:val="97"/>
              </w:rPr>
              <w:t>Net change in unrealized (depreciation) appreciation reported within the net change in unrealized (depreciation) appreciation</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756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7560" w:type="dxa"/>
            <w:vAlign w:val="bottom"/>
            <w:gridSpan w:val="2"/>
          </w:tcPr>
          <w:p>
            <w:pPr>
              <w:ind w:left="160"/>
              <w:spacing w:after="0" w:line="149" w:lineRule="exact"/>
              <w:rPr>
                <w:sz w:val="20"/>
                <w:szCs w:val="20"/>
                <w:color w:val="auto"/>
              </w:rPr>
            </w:pPr>
            <w:r>
              <w:rPr>
                <w:rFonts w:ascii="Arial" w:cs="Arial" w:eastAsia="Arial" w:hAnsi="Arial"/>
                <w:sz w:val="14"/>
                <w:szCs w:val="14"/>
                <w:color w:val="auto"/>
                <w:w w:val="99"/>
              </w:rPr>
              <w:t>on investments in our Consolidated Statements of Operations attributable to our Level 3 assets still held at the reporting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5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100" w:type="dxa"/>
            <w:vAlign w:val="bottom"/>
            <w:gridSpan w:val="2"/>
          </w:tcPr>
          <w:p>
            <w:pPr>
              <w:jc w:val="right"/>
              <w:ind w:right="14"/>
              <w:spacing w:after="0"/>
              <w:rPr>
                <w:sz w:val="20"/>
                <w:szCs w:val="20"/>
                <w:color w:val="auto"/>
              </w:rPr>
            </w:pPr>
            <w:r>
              <w:rPr>
                <w:rFonts w:ascii="Arial" w:cs="Arial" w:eastAsia="Arial" w:hAnsi="Arial"/>
                <w:sz w:val="10"/>
                <w:szCs w:val="10"/>
                <w:color w:val="auto"/>
                <w:w w:val="71"/>
              </w:rPr>
              <w:t>$</w:t>
            </w:r>
          </w:p>
        </w:tc>
        <w:tc>
          <w:tcPr>
            <w:tcW w:w="1240" w:type="dxa"/>
            <w:vAlign w:val="bottom"/>
            <w:gridSpan w:val="2"/>
          </w:tcPr>
          <w:p>
            <w:pPr>
              <w:jc w:val="right"/>
              <w:ind w:right="280"/>
              <w:spacing w:after="0"/>
              <w:rPr>
                <w:sz w:val="20"/>
                <w:szCs w:val="20"/>
                <w:color w:val="auto"/>
              </w:rPr>
            </w:pPr>
            <w:r>
              <w:rPr>
                <w:rFonts w:ascii="Arial" w:cs="Arial" w:eastAsia="Arial" w:hAnsi="Arial"/>
                <w:sz w:val="14"/>
                <w:szCs w:val="14"/>
                <w:color w:val="auto"/>
              </w:rPr>
              <w:t>(59,533,459)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2,796,027</w:t>
            </w:r>
          </w:p>
        </w:tc>
        <w:tc>
          <w:tcPr>
            <w:tcW w:w="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(56,737,432)</w:t>
            </w: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table below shows a reconciliation of the beginning and ending balances for fair valued liabilities measured using significant unobservable inputs (Level 3):</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 xml:space="preserve">Long-Term Credit Facility </w:t>
            </w:r>
            <w:r>
              <w:rPr>
                <w:rFonts w:ascii="Arial" w:cs="Arial" w:eastAsia="Arial" w:hAnsi="Arial"/>
                <w:sz w:val="12"/>
                <w:szCs w:val="12"/>
                <w:b w:val="1"/>
                <w:bCs w:val="1"/>
                <w:color w:val="auto"/>
              </w:rPr>
              <w:t>(1)</w:t>
            </w:r>
          </w:p>
        </w:tc>
        <w:tc>
          <w:tcPr>
            <w:tcW w:w="4200" w:type="dxa"/>
            <w:vAlign w:val="bottom"/>
          </w:tcPr>
          <w:p>
            <w:pPr>
              <w:spacing w:after="0"/>
              <w:rPr>
                <w:sz w:val="14"/>
                <w:szCs w:val="14"/>
                <w:color w:val="auto"/>
              </w:rPr>
            </w:pPr>
          </w:p>
        </w:tc>
        <w:tc>
          <w:tcPr>
            <w:tcW w:w="234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93"/>
              </w:rPr>
              <w:t>Three Months Ended December 31,</w:t>
            </w:r>
          </w:p>
        </w:tc>
        <w:tc>
          <w:tcPr>
            <w:tcW w:w="0" w:type="dxa"/>
            <w:vAlign w:val="bottom"/>
          </w:tcPr>
          <w:p>
            <w:pPr>
              <w:spacing w:after="0"/>
              <w:rPr>
                <w:sz w:val="1"/>
                <w:szCs w:val="1"/>
                <w:color w:val="auto"/>
              </w:rPr>
            </w:pPr>
          </w:p>
        </w:tc>
      </w:tr>
      <w:tr>
        <w:trPr>
          <w:trHeight w:val="142"/>
        </w:trPr>
        <w:tc>
          <w:tcPr>
            <w:tcW w:w="4700" w:type="dxa"/>
            <w:vAlign w:val="bottom"/>
            <w:tcBorders>
              <w:bottom w:val="single" w:sz="8" w:color="auto"/>
            </w:tcBorders>
            <w:vMerge w:val="continue"/>
          </w:tcPr>
          <w:p>
            <w:pPr>
              <w:spacing w:after="0"/>
              <w:rPr>
                <w:sz w:val="12"/>
                <w:szCs w:val="12"/>
                <w:color w:val="auto"/>
              </w:rPr>
            </w:pPr>
          </w:p>
        </w:tc>
        <w:tc>
          <w:tcPr>
            <w:tcW w:w="42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7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Beginning Balance (cost – $50,339,700 and $106,864,300, respectively)</w:t>
            </w:r>
          </w:p>
        </w:tc>
        <w:tc>
          <w:tcPr>
            <w:tcW w:w="42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3"/>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39,551,187</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102,356,860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00" w:type="dxa"/>
            <w:vAlign w:val="bottom"/>
          </w:tcPr>
          <w:p>
            <w:pPr>
              <w:ind w:left="300"/>
              <w:spacing w:after="0" w:line="149" w:lineRule="exact"/>
              <w:rPr>
                <w:sz w:val="20"/>
                <w:szCs w:val="20"/>
                <w:color w:val="auto"/>
              </w:rPr>
            </w:pPr>
            <w:r>
              <w:rPr>
                <w:rFonts w:ascii="Arial" w:cs="Arial" w:eastAsia="Arial" w:hAnsi="Arial"/>
                <w:sz w:val="14"/>
                <w:szCs w:val="14"/>
                <w:color w:val="auto"/>
              </w:rPr>
              <w:t>Net change in unrealized depreciation included in earnings</w:t>
            </w:r>
          </w:p>
        </w:tc>
        <w:tc>
          <w:tcPr>
            <w:tcW w:w="4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(1,207,684)</w:t>
            </w:r>
          </w:p>
        </w:tc>
        <w:tc>
          <w:tcPr>
            <w:tcW w:w="18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(3,805,775)</w:t>
            </w:r>
          </w:p>
        </w:tc>
        <w:tc>
          <w:tcPr>
            <w:tcW w:w="0" w:type="dxa"/>
            <w:vAlign w:val="bottom"/>
          </w:tcPr>
          <w:p>
            <w:pPr>
              <w:spacing w:after="0"/>
              <w:rPr>
                <w:sz w:val="1"/>
                <w:szCs w:val="1"/>
                <w:color w:val="auto"/>
              </w:rPr>
            </w:pPr>
          </w:p>
        </w:tc>
      </w:tr>
      <w:tr>
        <w:trPr>
          <w:trHeight w:val="149"/>
        </w:trPr>
        <w:tc>
          <w:tcPr>
            <w:tcW w:w="47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 xml:space="preserve">Borrowings </w:t>
            </w:r>
            <w:r>
              <w:rPr>
                <w:rFonts w:ascii="Arial" w:cs="Arial" w:eastAsia="Arial" w:hAnsi="Arial"/>
                <w:sz w:val="12"/>
                <w:szCs w:val="12"/>
                <w:color w:val="auto"/>
              </w:rPr>
              <w:t>(2)</w:t>
            </w:r>
          </w:p>
        </w:tc>
        <w:tc>
          <w:tcPr>
            <w:tcW w:w="4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110,260,000</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126,316,923</w:t>
            </w:r>
          </w:p>
        </w:tc>
        <w:tc>
          <w:tcPr>
            <w:tcW w:w="0" w:type="dxa"/>
            <w:vAlign w:val="bottom"/>
          </w:tcPr>
          <w:p>
            <w:pPr>
              <w:spacing w:after="0"/>
              <w:rPr>
                <w:sz w:val="1"/>
                <w:szCs w:val="1"/>
                <w:color w:val="auto"/>
              </w:rPr>
            </w:pPr>
          </w:p>
        </w:tc>
      </w:tr>
      <w:tr>
        <w:trPr>
          <w:trHeight w:val="148"/>
        </w:trPr>
        <w:tc>
          <w:tcPr>
            <w:tcW w:w="4700" w:type="dxa"/>
            <w:vAlign w:val="bottom"/>
          </w:tcPr>
          <w:p>
            <w:pPr>
              <w:ind w:left="300"/>
              <w:spacing w:after="0" w:line="149" w:lineRule="exact"/>
              <w:rPr>
                <w:sz w:val="20"/>
                <w:szCs w:val="20"/>
                <w:color w:val="auto"/>
              </w:rPr>
            </w:pPr>
            <w:r>
              <w:rPr>
                <w:rFonts w:ascii="Arial" w:cs="Arial" w:eastAsia="Arial" w:hAnsi="Arial"/>
                <w:sz w:val="14"/>
                <w:szCs w:val="14"/>
                <w:color w:val="auto"/>
              </w:rPr>
              <w:t xml:space="preserve">Repayments </w:t>
            </w:r>
            <w:r>
              <w:rPr>
                <w:rFonts w:ascii="Arial" w:cs="Arial" w:eastAsia="Arial" w:hAnsi="Arial"/>
                <w:sz w:val="12"/>
                <w:szCs w:val="12"/>
                <w:color w:val="auto"/>
              </w:rPr>
              <w:t>(2)</w:t>
            </w:r>
          </w:p>
        </w:tc>
        <w:tc>
          <w:tcPr>
            <w:tcW w:w="4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(12,481,000)</w:t>
            </w:r>
          </w:p>
        </w:tc>
        <w:tc>
          <w:tcPr>
            <w:tcW w:w="180" w:type="dxa"/>
            <w:vAlign w:val="bottom"/>
          </w:tcPr>
          <w:p>
            <w:pPr>
              <w:spacing w:after="0"/>
              <w:rPr>
                <w:sz w:val="12"/>
                <w:szCs w:val="12"/>
                <w:color w:val="auto"/>
              </w:rPr>
            </w:pPr>
          </w:p>
        </w:tc>
        <w:tc>
          <w:tcPr>
            <w:tcW w:w="98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(105,185,900)</w:t>
            </w:r>
          </w:p>
        </w:tc>
        <w:tc>
          <w:tcPr>
            <w:tcW w:w="0" w:type="dxa"/>
            <w:vAlign w:val="bottom"/>
          </w:tcPr>
          <w:p>
            <w:pPr>
              <w:spacing w:after="0"/>
              <w:rPr>
                <w:sz w:val="1"/>
                <w:szCs w:val="1"/>
                <w:color w:val="auto"/>
              </w:rPr>
            </w:pPr>
          </w:p>
        </w:tc>
      </w:tr>
      <w:tr>
        <w:trPr>
          <w:trHeight w:val="148"/>
        </w:trPr>
        <w:tc>
          <w:tcPr>
            <w:tcW w:w="47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Transfers in and/or out of Level 3</w:t>
            </w:r>
          </w:p>
        </w:tc>
        <w:tc>
          <w:tcPr>
            <w:tcW w:w="4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700" w:type="dxa"/>
            <w:vAlign w:val="bottom"/>
          </w:tcPr>
          <w:p>
            <w:pPr>
              <w:spacing w:after="0" w:line="155" w:lineRule="exact"/>
              <w:rPr>
                <w:sz w:val="20"/>
                <w:szCs w:val="20"/>
                <w:color w:val="auto"/>
              </w:rPr>
            </w:pPr>
            <w:r>
              <w:rPr>
                <w:rFonts w:ascii="Arial" w:cs="Arial" w:eastAsia="Arial" w:hAnsi="Arial"/>
                <w:sz w:val="14"/>
                <w:szCs w:val="14"/>
                <w:color w:val="auto"/>
              </w:rPr>
              <w:t>Ending Balance (cost – $148,118,700 and $127,995,323, respectively)</w:t>
            </w:r>
          </w:p>
        </w:tc>
        <w:tc>
          <w:tcPr>
            <w:tcW w:w="4200" w:type="dxa"/>
            <w:vAlign w:val="bottom"/>
          </w:tcPr>
          <w:p>
            <w:pPr>
              <w:spacing w:after="0"/>
              <w:rPr>
                <w:sz w:val="13"/>
                <w:szCs w:val="13"/>
                <w:color w:val="auto"/>
              </w:rPr>
            </w:pPr>
          </w:p>
        </w:tc>
        <w:tc>
          <w:tcPr>
            <w:tcW w:w="160" w:type="dxa"/>
            <w:vAlign w:val="bottom"/>
            <w:tcBorders>
              <w:top w:val="single" w:sz="8" w:color="auto"/>
            </w:tcBorders>
          </w:tcPr>
          <w:p>
            <w:pPr>
              <w:jc w:val="right"/>
              <w:ind w:right="43"/>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136,122,503</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top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119,682,108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0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Temporary draws outstanding, at cost</w:t>
            </w:r>
          </w:p>
        </w:tc>
        <w:tc>
          <w:tcPr>
            <w:tcW w:w="4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15,000,000</w:t>
            </w:r>
          </w:p>
        </w:tc>
        <w:tc>
          <w:tcPr>
            <w:tcW w:w="0" w:type="dxa"/>
            <w:vAlign w:val="bottom"/>
          </w:tcPr>
          <w:p>
            <w:pPr>
              <w:spacing w:after="0"/>
              <w:rPr>
                <w:sz w:val="1"/>
                <w:szCs w:val="1"/>
                <w:color w:val="auto"/>
              </w:rPr>
            </w:pPr>
          </w:p>
        </w:tc>
      </w:tr>
      <w:tr>
        <w:trPr>
          <w:trHeight w:val="155"/>
        </w:trPr>
        <w:tc>
          <w:tcPr>
            <w:tcW w:w="4700" w:type="dxa"/>
            <w:vAlign w:val="bottom"/>
          </w:tcPr>
          <w:p>
            <w:pPr>
              <w:spacing w:after="0" w:line="155" w:lineRule="exact"/>
              <w:rPr>
                <w:sz w:val="20"/>
                <w:szCs w:val="20"/>
                <w:color w:val="auto"/>
              </w:rPr>
            </w:pPr>
            <w:r>
              <w:rPr>
                <w:rFonts w:ascii="Arial" w:cs="Arial" w:eastAsia="Arial" w:hAnsi="Arial"/>
                <w:sz w:val="14"/>
                <w:szCs w:val="14"/>
                <w:color w:val="auto"/>
              </w:rPr>
              <w:t>Ending Balance (cost – $148,118,700 and $142,995,323, respectively)</w:t>
            </w:r>
          </w:p>
        </w:tc>
        <w:tc>
          <w:tcPr>
            <w:tcW w:w="420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136,122,503</w:t>
            </w:r>
          </w:p>
        </w:tc>
        <w:tc>
          <w:tcPr>
            <w:tcW w:w="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134,682,108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8516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63"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2"/>
          <w:szCs w:val="12"/>
          <w:color w:val="auto"/>
        </w:rPr>
      </w:pPr>
      <w:r>
        <w:rPr>
          <w:rFonts w:ascii="Arial" w:cs="Arial" w:eastAsia="Arial" w:hAnsi="Arial"/>
          <w:sz w:val="14"/>
          <w:szCs w:val="14"/>
          <w:color w:val="auto"/>
        </w:rPr>
        <w:t>The carrying value of our consolidated financial liabilities approximates fair value.</w:t>
      </w:r>
    </w:p>
    <w:p>
      <w:pPr>
        <w:ind w:left="340" w:hanging="332"/>
        <w:spacing w:after="0"/>
        <w:tabs>
          <w:tab w:leader="none" w:pos="340" w:val="left"/>
        </w:tabs>
        <w:numPr>
          <w:ilvl w:val="0"/>
          <w:numId w:val="7"/>
        </w:numPr>
        <w:rPr>
          <w:rFonts w:ascii="Arial" w:cs="Arial" w:eastAsia="Arial" w:hAnsi="Arial"/>
          <w:sz w:val="12"/>
          <w:szCs w:val="12"/>
          <w:color w:val="auto"/>
        </w:rPr>
      </w:pPr>
      <w:r>
        <w:rPr>
          <w:rFonts w:ascii="Arial" w:cs="Arial" w:eastAsia="Arial" w:hAnsi="Arial"/>
          <w:sz w:val="14"/>
          <w:szCs w:val="14"/>
          <w:color w:val="auto"/>
        </w:rPr>
        <w:t>Excludes temporary draws.</w:t>
      </w:r>
    </w:p>
    <w:p>
      <w:pPr>
        <w:spacing w:after="0" w:line="192" w:lineRule="exact"/>
        <w:rPr>
          <w:sz w:val="20"/>
          <w:szCs w:val="20"/>
          <w:color w:val="auto"/>
        </w:rPr>
      </w:pPr>
    </w:p>
    <w:p>
      <w:pPr>
        <w:ind w:right="120" w:firstLine="562"/>
        <w:spacing w:after="0" w:line="253" w:lineRule="auto"/>
        <w:rPr>
          <w:sz w:val="20"/>
          <w:szCs w:val="20"/>
          <w:color w:val="auto"/>
        </w:rPr>
      </w:pPr>
      <w:r>
        <w:rPr>
          <w:rFonts w:ascii="Arial" w:cs="Arial" w:eastAsia="Arial" w:hAnsi="Arial"/>
          <w:sz w:val="14"/>
          <w:szCs w:val="14"/>
          <w:color w:val="auto"/>
        </w:rPr>
        <w:t>As of December 31, 2016, we had outstanding non-U.S. dollar borrowings on our Credit Facility. Net change in fair value from foreign currency translation on outstanding borrowings is listed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vMerge w:val="restart"/>
          </w:tcPr>
          <w:p>
            <w:pPr>
              <w:spacing w:after="0"/>
              <w:rPr>
                <w:sz w:val="20"/>
                <w:szCs w:val="20"/>
                <w:color w:val="auto"/>
              </w:rPr>
            </w:pPr>
            <w:r>
              <w:rPr>
                <w:rFonts w:ascii="Arial" w:cs="Arial" w:eastAsia="Arial" w:hAnsi="Arial"/>
                <w:sz w:val="14"/>
                <w:szCs w:val="14"/>
                <w:b w:val="1"/>
                <w:bCs w:val="1"/>
                <w:color w:val="auto"/>
                <w:w w:val="94"/>
              </w:rPr>
              <w:t>Foreign Currency</w:t>
            </w:r>
          </w:p>
        </w:tc>
        <w:tc>
          <w:tcPr>
            <w:tcW w:w="1800" w:type="dxa"/>
            <w:vAlign w:val="bottom"/>
          </w:tcPr>
          <w:p>
            <w:pPr>
              <w:spacing w:after="0"/>
              <w:rPr>
                <w:sz w:val="14"/>
                <w:szCs w:val="14"/>
                <w:color w:val="auto"/>
              </w:rPr>
            </w:pPr>
          </w:p>
        </w:tc>
        <w:tc>
          <w:tcPr>
            <w:tcW w:w="16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 Borrowed</w:t>
            </w:r>
          </w:p>
        </w:tc>
        <w:tc>
          <w:tcPr>
            <w:tcW w:w="360" w:type="dxa"/>
            <w:vAlign w:val="bottom"/>
          </w:tcPr>
          <w:p>
            <w:pPr>
              <w:spacing w:after="0"/>
              <w:rPr>
                <w:sz w:val="14"/>
                <w:szCs w:val="14"/>
                <w:color w:val="auto"/>
              </w:rPr>
            </w:pPr>
          </w:p>
        </w:tc>
        <w:tc>
          <w:tcPr>
            <w:tcW w:w="144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95"/>
              </w:rPr>
              <w:t>Borrowing Cost</w:t>
            </w:r>
          </w:p>
        </w:tc>
        <w:tc>
          <w:tcPr>
            <w:tcW w:w="380" w:type="dxa"/>
            <w:vAlign w:val="bottom"/>
          </w:tcPr>
          <w:p>
            <w:pPr>
              <w:spacing w:after="0"/>
              <w:rPr>
                <w:sz w:val="14"/>
                <w:szCs w:val="14"/>
                <w:color w:val="auto"/>
              </w:rPr>
            </w:pPr>
          </w:p>
        </w:tc>
        <w:tc>
          <w:tcPr>
            <w:tcW w:w="17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Current Value</w:t>
            </w:r>
          </w:p>
        </w:tc>
        <w:tc>
          <w:tcPr>
            <w:tcW w:w="9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Reset Date</w:t>
            </w:r>
          </w:p>
        </w:tc>
        <w:tc>
          <w:tcPr>
            <w:tcW w:w="740" w:type="dxa"/>
            <w:vAlign w:val="bottom"/>
          </w:tcPr>
          <w:p>
            <w:pPr>
              <w:spacing w:after="0"/>
              <w:rPr>
                <w:sz w:val="14"/>
                <w:szCs w:val="14"/>
                <w:color w:val="auto"/>
              </w:rPr>
            </w:pPr>
          </w:p>
        </w:tc>
        <w:tc>
          <w:tcPr>
            <w:tcW w:w="11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8"/>
              </w:rPr>
              <w:t>Change in Fair</w:t>
            </w:r>
          </w:p>
        </w:tc>
        <w:tc>
          <w:tcPr>
            <w:tcW w:w="0" w:type="dxa"/>
            <w:vAlign w:val="bottom"/>
          </w:tcPr>
          <w:p>
            <w:pPr>
              <w:spacing w:after="0"/>
              <w:rPr>
                <w:sz w:val="1"/>
                <w:szCs w:val="1"/>
                <w:color w:val="auto"/>
              </w:rPr>
            </w:pPr>
          </w:p>
        </w:tc>
      </w:tr>
      <w:tr>
        <w:trPr>
          <w:trHeight w:val="178"/>
        </w:trPr>
        <w:tc>
          <w:tcPr>
            <w:tcW w:w="1120" w:type="dxa"/>
            <w:vAlign w:val="bottom"/>
            <w:tcBorders>
              <w:bottom w:val="single" w:sz="8" w:color="auto"/>
            </w:tcBorders>
            <w:vMerge w:val="continue"/>
          </w:tcPr>
          <w:p>
            <w:pPr>
              <w:spacing w:after="0"/>
              <w:rPr>
                <w:sz w:val="15"/>
                <w:szCs w:val="15"/>
                <w:color w:val="auto"/>
              </w:rPr>
            </w:pPr>
          </w:p>
        </w:tc>
        <w:tc>
          <w:tcPr>
            <w:tcW w:w="1800" w:type="dxa"/>
            <w:vAlign w:val="bottom"/>
          </w:tcPr>
          <w:p>
            <w:pPr>
              <w:spacing w:after="0"/>
              <w:rPr>
                <w:sz w:val="15"/>
                <w:szCs w:val="15"/>
                <w:color w:val="auto"/>
              </w:rPr>
            </w:pPr>
          </w:p>
        </w:tc>
        <w:tc>
          <w:tcPr>
            <w:tcW w:w="1620" w:type="dxa"/>
            <w:vAlign w:val="bottom"/>
            <w:gridSpan w:val="3"/>
            <w:vMerge w:val="continue"/>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gridSpan w:val="3"/>
            <w:vMerge w:val="continue"/>
          </w:tcPr>
          <w:p>
            <w:pPr>
              <w:spacing w:after="0"/>
              <w:rPr>
                <w:sz w:val="15"/>
                <w:szCs w:val="15"/>
                <w:color w:val="auto"/>
              </w:rPr>
            </w:pPr>
          </w:p>
        </w:tc>
        <w:tc>
          <w:tcPr>
            <w:tcW w:w="380" w:type="dxa"/>
            <w:vAlign w:val="bottom"/>
          </w:tcPr>
          <w:p>
            <w:pPr>
              <w:spacing w:after="0"/>
              <w:rPr>
                <w:sz w:val="15"/>
                <w:szCs w:val="15"/>
                <w:color w:val="auto"/>
              </w:rPr>
            </w:pPr>
          </w:p>
        </w:tc>
        <w:tc>
          <w:tcPr>
            <w:tcW w:w="1720" w:type="dxa"/>
            <w:vAlign w:val="bottom"/>
            <w:gridSpan w:val="3"/>
            <w:vMerge w:val="continue"/>
          </w:tcPr>
          <w:p>
            <w:pPr>
              <w:spacing w:after="0"/>
              <w:rPr>
                <w:sz w:val="15"/>
                <w:szCs w:val="15"/>
                <w:color w:val="auto"/>
              </w:rPr>
            </w:pPr>
          </w:p>
        </w:tc>
        <w:tc>
          <w:tcPr>
            <w:tcW w:w="960" w:type="dxa"/>
            <w:vAlign w:val="bottom"/>
            <w:vMerge w:val="continue"/>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420"/>
              <w:spacing w:after="0" w:line="158"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35"/>
        </w:trPr>
        <w:tc>
          <w:tcPr>
            <w:tcW w:w="112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4"/>
                <w:szCs w:val="14"/>
                <w:color w:val="auto"/>
              </w:rPr>
              <w:t>British Pound</w:t>
            </w:r>
          </w:p>
        </w:tc>
        <w:tc>
          <w:tcPr>
            <w:tcW w:w="18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ind w:right="188"/>
              <w:spacing w:after="0" w:line="13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30,000,000</w:t>
            </w:r>
          </w:p>
        </w:tc>
        <w:tc>
          <w:tcPr>
            <w:tcW w:w="38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88"/>
              <w:spacing w:after="0" w:line="13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48,858,700</w:t>
            </w:r>
          </w:p>
        </w:tc>
        <w:tc>
          <w:tcPr>
            <w:tcW w:w="3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37,069,530</w:t>
            </w:r>
          </w:p>
        </w:tc>
        <w:tc>
          <w:tcPr>
            <w:tcW w:w="760" w:type="dxa"/>
            <w:vAlign w:val="bottom"/>
            <w:tcBorders>
              <w:top w:val="single" w:sz="8" w:color="CCEEFF"/>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ind w:left="40"/>
              <w:spacing w:after="0" w:line="135" w:lineRule="exact"/>
              <w:rPr>
                <w:sz w:val="20"/>
                <w:szCs w:val="20"/>
                <w:color w:val="auto"/>
              </w:rPr>
            </w:pPr>
            <w:r>
              <w:rPr>
                <w:rFonts w:ascii="Arial" w:cs="Arial" w:eastAsia="Arial" w:hAnsi="Arial"/>
                <w:sz w:val="14"/>
                <w:szCs w:val="14"/>
                <w:color w:val="auto"/>
                <w:w w:val="89"/>
              </w:rPr>
              <w:t>January 3, 2017</w:t>
            </w:r>
          </w:p>
        </w:tc>
        <w:tc>
          <w:tcPr>
            <w:tcW w:w="7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28"/>
              <w:spacing w:after="0" w:line="13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(11,789,170)</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120" w:type="dxa"/>
            <w:vAlign w:val="bottom"/>
          </w:tcPr>
          <w:p>
            <w:pPr>
              <w:spacing w:after="0" w:line="149" w:lineRule="exact"/>
              <w:rPr>
                <w:sz w:val="20"/>
                <w:szCs w:val="20"/>
                <w:color w:val="auto"/>
              </w:rPr>
            </w:pPr>
            <w:r>
              <w:rPr>
                <w:rFonts w:ascii="Arial" w:cs="Arial" w:eastAsia="Arial" w:hAnsi="Arial"/>
                <w:sz w:val="14"/>
                <w:szCs w:val="14"/>
                <w:color w:val="auto"/>
              </w:rPr>
              <w:t>Euro</w:t>
            </w:r>
          </w:p>
        </w:tc>
        <w:tc>
          <w:tcPr>
            <w:tcW w:w="1800" w:type="dxa"/>
            <w:vAlign w:val="bottom"/>
          </w:tcPr>
          <w:p>
            <w:pPr>
              <w:spacing w:after="0"/>
              <w:rPr>
                <w:sz w:val="12"/>
                <w:szCs w:val="12"/>
                <w:color w:val="auto"/>
              </w:rPr>
            </w:pPr>
          </w:p>
        </w:tc>
        <w:tc>
          <w:tcPr>
            <w:tcW w:w="340" w:type="dxa"/>
            <w:vAlign w:val="bottom"/>
          </w:tcPr>
          <w:p>
            <w:pPr>
              <w:jc w:val="right"/>
              <w:ind w:right="188"/>
              <w:spacing w:after="0" w:line="149" w:lineRule="exact"/>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44,000,000</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45,760,000</w:t>
            </w: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46,409,088</w:t>
            </w:r>
          </w:p>
        </w:tc>
        <w:tc>
          <w:tcPr>
            <w:tcW w:w="960" w:type="dxa"/>
            <w:vAlign w:val="bottom"/>
          </w:tcPr>
          <w:p>
            <w:pPr>
              <w:ind w:left="40"/>
              <w:spacing w:after="0" w:line="149" w:lineRule="exact"/>
              <w:rPr>
                <w:sz w:val="20"/>
                <w:szCs w:val="20"/>
                <w:color w:val="auto"/>
              </w:rPr>
            </w:pPr>
            <w:r>
              <w:rPr>
                <w:rFonts w:ascii="Arial" w:cs="Arial" w:eastAsia="Arial" w:hAnsi="Arial"/>
                <w:sz w:val="14"/>
                <w:szCs w:val="14"/>
                <w:color w:val="auto"/>
                <w:w w:val="89"/>
              </w:rPr>
              <w:t>January 3, 2017</w:t>
            </w: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649,088</w:t>
            </w:r>
          </w:p>
        </w:tc>
        <w:tc>
          <w:tcPr>
            <w:tcW w:w="0" w:type="dxa"/>
            <w:vAlign w:val="bottom"/>
          </w:tcPr>
          <w:p>
            <w:pPr>
              <w:spacing w:after="0"/>
              <w:rPr>
                <w:sz w:val="1"/>
                <w:szCs w:val="1"/>
                <w:color w:val="auto"/>
              </w:rPr>
            </w:pPr>
          </w:p>
        </w:tc>
      </w:tr>
      <w:tr>
        <w:trPr>
          <w:trHeight w:val="27"/>
        </w:trPr>
        <w:tc>
          <w:tcPr>
            <w:tcW w:w="112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112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94,618,700</w:t>
            </w:r>
          </w:p>
        </w:tc>
        <w:tc>
          <w:tcPr>
            <w:tcW w:w="560" w:type="dxa"/>
            <w:vAlign w:val="bottom"/>
            <w:gridSpan w:val="2"/>
            <w:shd w:val="clear" w:color="auto" w:fill="CCEEFF"/>
          </w:tcPr>
          <w:p>
            <w:pPr>
              <w:jc w:val="right"/>
              <w:ind w:right="58"/>
              <w:spacing w:after="0" w:line="149" w:lineRule="exact"/>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ind w:right="760"/>
              <w:spacing w:after="0" w:line="149" w:lineRule="exact"/>
              <w:rPr>
                <w:sz w:val="20"/>
                <w:szCs w:val="20"/>
                <w:color w:val="auto"/>
              </w:rPr>
            </w:pPr>
            <w:r>
              <w:rPr>
                <w:rFonts w:ascii="Arial" w:cs="Arial" w:eastAsia="Arial" w:hAnsi="Arial"/>
                <w:sz w:val="14"/>
                <w:szCs w:val="14"/>
                <w:color w:val="auto"/>
              </w:rPr>
              <w:t>83,478,618</w:t>
            </w:r>
          </w:p>
        </w:tc>
        <w:tc>
          <w:tcPr>
            <w:tcW w:w="9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(11,140,082)</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00" w:firstLine="562"/>
        <w:spacing w:after="0" w:line="253" w:lineRule="auto"/>
        <w:rPr>
          <w:sz w:val="20"/>
          <w:szCs w:val="20"/>
          <w:color w:val="auto"/>
        </w:rPr>
      </w:pPr>
      <w:r>
        <w:rPr>
          <w:rFonts w:ascii="Arial" w:cs="Arial" w:eastAsia="Arial" w:hAnsi="Arial"/>
          <w:sz w:val="14"/>
          <w:szCs w:val="14"/>
          <w:color w:val="auto"/>
        </w:rPr>
        <w:t>As of September 30, 2016, we had outstanding non-U.S. dollar borrowings on our Credit Facility. Net change in fair value from foreign currency translation on outstanding borrowings is listed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20" w:type="dxa"/>
            <w:vAlign w:val="bottom"/>
            <w:vMerge w:val="restart"/>
          </w:tcPr>
          <w:p>
            <w:pPr>
              <w:spacing w:after="0"/>
              <w:rPr>
                <w:sz w:val="20"/>
                <w:szCs w:val="20"/>
                <w:color w:val="auto"/>
              </w:rPr>
            </w:pPr>
            <w:r>
              <w:rPr>
                <w:rFonts w:ascii="Arial" w:cs="Arial" w:eastAsia="Arial" w:hAnsi="Arial"/>
                <w:sz w:val="14"/>
                <w:szCs w:val="14"/>
                <w:b w:val="1"/>
                <w:bCs w:val="1"/>
                <w:color w:val="auto"/>
                <w:w w:val="94"/>
              </w:rPr>
              <w:t>Foreign Currency</w:t>
            </w:r>
          </w:p>
        </w:tc>
        <w:tc>
          <w:tcPr>
            <w:tcW w:w="1840" w:type="dxa"/>
            <w:vAlign w:val="bottom"/>
          </w:tcPr>
          <w:p>
            <w:pPr>
              <w:spacing w:after="0"/>
              <w:rPr>
                <w:sz w:val="14"/>
                <w:szCs w:val="14"/>
                <w:color w:val="auto"/>
              </w:rPr>
            </w:pPr>
          </w:p>
        </w:tc>
        <w:tc>
          <w:tcPr>
            <w:tcW w:w="19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 Borrowed</w:t>
            </w:r>
          </w:p>
        </w:tc>
        <w:tc>
          <w:tcPr>
            <w:tcW w:w="18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Borrowing Cost</w:t>
            </w:r>
          </w:p>
        </w:tc>
        <w:tc>
          <w:tcPr>
            <w:tcW w:w="17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Current Value</w:t>
            </w:r>
          </w:p>
        </w:tc>
        <w:tc>
          <w:tcPr>
            <w:tcW w:w="1680" w:type="dxa"/>
            <w:vAlign w:val="bottom"/>
            <w:gridSpan w:val="2"/>
            <w:vMerge w:val="restart"/>
          </w:tcPr>
          <w:p>
            <w:pPr>
              <w:jc w:val="center"/>
              <w:ind w:right="700"/>
              <w:spacing w:after="0"/>
              <w:rPr>
                <w:sz w:val="20"/>
                <w:szCs w:val="20"/>
                <w:color w:val="auto"/>
              </w:rPr>
            </w:pPr>
            <w:r>
              <w:rPr>
                <w:rFonts w:ascii="Arial" w:cs="Arial" w:eastAsia="Arial" w:hAnsi="Arial"/>
                <w:sz w:val="14"/>
                <w:szCs w:val="14"/>
                <w:b w:val="1"/>
                <w:bCs w:val="1"/>
                <w:color w:val="auto"/>
                <w:w w:val="91"/>
              </w:rPr>
              <w:t>Reset Date</w:t>
            </w:r>
          </w:p>
        </w:tc>
        <w:tc>
          <w:tcPr>
            <w:tcW w:w="10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Change in Fair</w:t>
            </w:r>
          </w:p>
        </w:tc>
        <w:tc>
          <w:tcPr>
            <w:tcW w:w="0" w:type="dxa"/>
            <w:vAlign w:val="bottom"/>
          </w:tcPr>
          <w:p>
            <w:pPr>
              <w:spacing w:after="0"/>
              <w:rPr>
                <w:sz w:val="1"/>
                <w:szCs w:val="1"/>
                <w:color w:val="auto"/>
              </w:rPr>
            </w:pPr>
          </w:p>
        </w:tc>
      </w:tr>
      <w:tr>
        <w:trPr>
          <w:trHeight w:val="178"/>
        </w:trPr>
        <w:tc>
          <w:tcPr>
            <w:tcW w:w="1120" w:type="dxa"/>
            <w:vAlign w:val="bottom"/>
            <w:tcBorders>
              <w:bottom w:val="single" w:sz="8" w:color="auto"/>
            </w:tcBorders>
            <w:vMerge w:val="continue"/>
          </w:tcPr>
          <w:p>
            <w:pPr>
              <w:spacing w:after="0"/>
              <w:rPr>
                <w:sz w:val="15"/>
                <w:szCs w:val="15"/>
                <w:color w:val="auto"/>
              </w:rPr>
            </w:pPr>
          </w:p>
        </w:tc>
        <w:tc>
          <w:tcPr>
            <w:tcW w:w="1840" w:type="dxa"/>
            <w:vAlign w:val="bottom"/>
          </w:tcPr>
          <w:p>
            <w:pPr>
              <w:spacing w:after="0"/>
              <w:rPr>
                <w:sz w:val="15"/>
                <w:szCs w:val="15"/>
                <w:color w:val="auto"/>
              </w:rPr>
            </w:pPr>
          </w:p>
        </w:tc>
        <w:tc>
          <w:tcPr>
            <w:tcW w:w="1980" w:type="dxa"/>
            <w:vAlign w:val="bottom"/>
            <w:gridSpan w:val="3"/>
            <w:vMerge w:val="continue"/>
          </w:tcPr>
          <w:p>
            <w:pPr>
              <w:spacing w:after="0"/>
              <w:rPr>
                <w:sz w:val="15"/>
                <w:szCs w:val="15"/>
                <w:color w:val="auto"/>
              </w:rPr>
            </w:pPr>
          </w:p>
        </w:tc>
        <w:tc>
          <w:tcPr>
            <w:tcW w:w="1820" w:type="dxa"/>
            <w:vAlign w:val="bottom"/>
            <w:gridSpan w:val="3"/>
            <w:vMerge w:val="continue"/>
          </w:tcPr>
          <w:p>
            <w:pPr>
              <w:spacing w:after="0"/>
              <w:rPr>
                <w:sz w:val="15"/>
                <w:szCs w:val="15"/>
                <w:color w:val="auto"/>
              </w:rPr>
            </w:pPr>
          </w:p>
        </w:tc>
        <w:tc>
          <w:tcPr>
            <w:tcW w:w="1720" w:type="dxa"/>
            <w:vAlign w:val="bottom"/>
            <w:gridSpan w:val="3"/>
            <w:vMerge w:val="continue"/>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080" w:type="dxa"/>
            <w:vAlign w:val="bottom"/>
            <w:gridSpan w:val="2"/>
          </w:tcPr>
          <w:p>
            <w:pPr>
              <w:jc w:val="center"/>
              <w:ind w:right="80"/>
              <w:spacing w:after="0" w:line="158" w:lineRule="exact"/>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36"/>
        </w:trPr>
        <w:tc>
          <w:tcPr>
            <w:tcW w:w="112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4"/>
                <w:szCs w:val="14"/>
                <w:color w:val="auto"/>
              </w:rPr>
              <w:t>British Pound</w:t>
            </w:r>
          </w:p>
        </w:tc>
        <w:tc>
          <w:tcPr>
            <w:tcW w:w="184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ind w:right="188"/>
              <w:spacing w:after="0" w:line="135"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31,000,000</w:t>
            </w:r>
          </w:p>
        </w:tc>
        <w:tc>
          <w:tcPr>
            <w:tcW w:w="7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88"/>
              <w:spacing w:after="0" w:line="13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50,339,700</w:t>
            </w:r>
          </w:p>
        </w:tc>
        <w:tc>
          <w:tcPr>
            <w:tcW w:w="7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28"/>
              <w:spacing w:after="0" w:line="13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40,180,433</w:t>
            </w:r>
          </w:p>
        </w:tc>
        <w:tc>
          <w:tcPr>
            <w:tcW w:w="76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jc w:val="center"/>
              <w:spacing w:after="0" w:line="135" w:lineRule="exact"/>
              <w:rPr>
                <w:sz w:val="20"/>
                <w:szCs w:val="20"/>
                <w:color w:val="auto"/>
              </w:rPr>
            </w:pPr>
            <w:r>
              <w:rPr>
                <w:rFonts w:ascii="Arial" w:cs="Arial" w:eastAsia="Arial" w:hAnsi="Arial"/>
                <w:sz w:val="14"/>
                <w:szCs w:val="14"/>
                <w:color w:val="auto"/>
                <w:w w:val="91"/>
              </w:rPr>
              <w:t>October 3, 2016</w:t>
            </w:r>
          </w:p>
        </w:tc>
        <w:tc>
          <w:tcPr>
            <w:tcW w:w="68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jc w:val="center"/>
              <w:spacing w:after="0" w:line="135" w:lineRule="exact"/>
              <w:rPr>
                <w:sz w:val="20"/>
                <w:szCs w:val="20"/>
                <w:color w:val="auto"/>
              </w:rPr>
            </w:pPr>
            <w:r>
              <w:rPr>
                <w:rFonts w:ascii="Arial" w:cs="Arial" w:eastAsia="Arial" w:hAnsi="Arial"/>
                <w:sz w:val="14"/>
                <w:szCs w:val="14"/>
                <w:color w:val="auto"/>
              </w:rPr>
              <w:t>$   (10,159,267)</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12"/>
        </w:trPr>
        <w:tc>
          <w:tcPr>
            <w:tcW w:w="1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ind w:right="228"/>
              <w:spacing w:after="0"/>
              <w:rPr>
                <w:sz w:val="20"/>
                <w:szCs w:val="20"/>
                <w:color w:val="auto"/>
              </w:rPr>
            </w:pPr>
            <w:r>
              <w:rPr>
                <w:rFonts w:ascii="Arial" w:cs="Arial" w:eastAsia="Arial" w:hAnsi="Arial"/>
                <w:sz w:val="14"/>
                <w:szCs w:val="14"/>
                <w:color w:val="auto"/>
              </w:rPr>
              <w:t>20</w:t>
            </w: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spacing w:after="0" w:line="221" w:lineRule="auto"/>
        <w:rPr>
          <w:sz w:val="20"/>
          <w:szCs w:val="20"/>
          <w:color w:val="auto"/>
        </w:rPr>
      </w:pPr>
      <w:r>
        <w:rPr>
          <w:rFonts w:ascii="Arial" w:cs="Arial" w:eastAsia="Arial" w:hAnsi="Arial"/>
          <w:sz w:val="14"/>
          <w:szCs w:val="14"/>
          <w:b w:val="1"/>
          <w:bCs w:val="1"/>
          <w:color w:val="auto"/>
        </w:rPr>
        <w:t>DECEMBER 31, 2016</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ind w:firstLine="562"/>
        <w:spacing w:after="0" w:line="225" w:lineRule="auto"/>
        <w:rPr>
          <w:sz w:val="20"/>
          <w:szCs w:val="20"/>
          <w:color w:val="auto"/>
        </w:rPr>
      </w:pPr>
      <w:r>
        <w:rPr>
          <w:rFonts w:ascii="Arial" w:cs="Arial" w:eastAsia="Arial" w:hAnsi="Arial"/>
          <w:sz w:val="14"/>
          <w:szCs w:val="14"/>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and our Notes. We elected to use the fair value option for the Credit Facility and our Notes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our Notes are reported in our Consolidated Statements of Operations. We elected not to apply ASC 825-10 to any other financial assets or liabilities, including the SBA debentures. For the three months ended December 31, 2016 and 2015, our Credit Facility and our Notes had a net change in unrealized depreciation of $5.8 million and $7.7 million, respectively. As of December 31, 2016 and September 30, 2016, net unrealized depreciation on our Credit Facility and our Notes totaled $11.1 million and $5.2 million, respectively. We use a nationally recognized independent valuation service to fair value of our Credit Facility and our 2019 Notes in a manner consistent with the valuation process that the board of directors uses to value investments. Our 2025 Notes trade on the NYSE under the ticker “PNTA” and we use the closing price on the exchange to determine their fair value.</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TRANSACTIONS WITH AFFILIATED COMPANIES</w:t>
      </w:r>
    </w:p>
    <w:p>
      <w:pPr>
        <w:spacing w:after="0" w:line="100" w:lineRule="exact"/>
        <w:rPr>
          <w:sz w:val="20"/>
          <w:szCs w:val="20"/>
          <w:color w:val="auto"/>
        </w:rPr>
      </w:pPr>
    </w:p>
    <w:p>
      <w:pPr>
        <w:ind w:right="300" w:firstLine="562"/>
        <w:spacing w:after="0" w:line="238" w:lineRule="auto"/>
        <w:rPr>
          <w:sz w:val="20"/>
          <w:szCs w:val="20"/>
          <w:color w:val="auto"/>
        </w:rPr>
      </w:pPr>
      <w:r>
        <w:rPr>
          <w:rFonts w:ascii="Arial" w:cs="Arial" w:eastAsia="Arial" w:hAnsi="Arial"/>
          <w:sz w:val="14"/>
          <w:szCs w:val="14"/>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three months ended December 31, 2016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4"/>
          </w:tcPr>
          <w:p>
            <w:pPr>
              <w:ind w:left="40"/>
              <w:spacing w:after="0"/>
              <w:rPr>
                <w:sz w:val="20"/>
                <w:szCs w:val="20"/>
                <w:color w:val="auto"/>
              </w:rPr>
            </w:pPr>
            <w:r>
              <w:rPr>
                <w:rFonts w:ascii="Arial" w:cs="Arial" w:eastAsia="Arial" w:hAnsi="Arial"/>
                <w:sz w:val="14"/>
                <w:szCs w:val="14"/>
                <w:b w:val="1"/>
                <w:bCs w:val="1"/>
                <w:color w:val="auto"/>
              </w:rPr>
              <w:t>Fair Value at</w:t>
            </w:r>
          </w:p>
        </w:tc>
        <w:tc>
          <w:tcPr>
            <w:tcW w:w="10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1"/>
              </w:rPr>
              <w:t>Purchases of /</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Sale of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3"/>
              </w:rPr>
              <w:t>Income</w:t>
            </w: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 at</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8"/>
        </w:trPr>
        <w:tc>
          <w:tcPr>
            <w:tcW w:w="4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11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8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8"/>
              </w:rPr>
              <w:t>Advances to</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94"/>
              </w:rPr>
              <w:t>Distributions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9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c>
          <w:tcPr>
            <w:tcW w:w="102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w w:val="92"/>
              </w:rPr>
              <w:t>Realized Gains</w:t>
            </w:r>
          </w:p>
        </w:tc>
        <w:tc>
          <w:tcPr>
            <w:tcW w:w="0" w:type="dxa"/>
            <w:vAlign w:val="bottom"/>
          </w:tcPr>
          <w:p>
            <w:pPr>
              <w:spacing w:after="0"/>
              <w:rPr>
                <w:sz w:val="1"/>
                <w:szCs w:val="1"/>
                <w:color w:val="auto"/>
              </w:rPr>
            </w:pPr>
          </w:p>
        </w:tc>
      </w:tr>
      <w:tr>
        <w:trPr>
          <w:trHeight w:val="171"/>
        </w:trPr>
        <w:tc>
          <w:tcPr>
            <w:tcW w:w="4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b w:val="1"/>
                <w:bCs w:val="1"/>
                <w:color w:val="auto"/>
              </w:rPr>
              <w:t xml:space="preserve">2016 </w:t>
            </w:r>
            <w:r>
              <w:rPr>
                <w:rFonts w:ascii="Arial" w:cs="Arial" w:eastAsia="Arial" w:hAnsi="Arial"/>
                <w:sz w:val="12"/>
                <w:szCs w:val="12"/>
                <w:b w:val="1"/>
                <w:bCs w:val="1"/>
                <w:color w:val="auto"/>
              </w:rPr>
              <w:t>(1)</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Affiliates </w:t>
            </w:r>
            <w:r>
              <w:rPr>
                <w:rFonts w:ascii="Arial" w:cs="Arial" w:eastAsia="Arial" w:hAnsi="Arial"/>
                <w:sz w:val="12"/>
                <w:szCs w:val="12"/>
                <w:b w:val="1"/>
                <w:bCs w:val="1"/>
                <w:color w:val="auto"/>
              </w:rPr>
              <w:t>(1), (2)</w:t>
            </w:r>
          </w:p>
        </w:tc>
        <w:tc>
          <w:tcPr>
            <w:tcW w:w="12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from Affiliates </w:t>
            </w:r>
            <w:r>
              <w:rPr>
                <w:rFonts w:ascii="Arial" w:cs="Arial" w:eastAsia="Arial" w:hAnsi="Arial"/>
                <w:sz w:val="12"/>
                <w:szCs w:val="12"/>
                <w:b w:val="1"/>
                <w:bCs w:val="1"/>
                <w:color w:val="auto"/>
              </w:rPr>
              <w:t>(1)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Accrued</w:t>
            </w:r>
          </w:p>
        </w:tc>
        <w:tc>
          <w:tcPr>
            <w:tcW w:w="100" w:type="dxa"/>
            <w:vAlign w:val="bottom"/>
          </w:tcPr>
          <w:p>
            <w:pPr>
              <w:spacing w:after="0"/>
              <w:rPr>
                <w:sz w:val="14"/>
                <w:szCs w:val="14"/>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b w:val="1"/>
                <w:bCs w:val="1"/>
                <w:color w:val="auto"/>
              </w:rPr>
              <w:t xml:space="preserve">2016 </w:t>
            </w:r>
            <w:r>
              <w:rPr>
                <w:rFonts w:ascii="Arial" w:cs="Arial" w:eastAsia="Arial" w:hAnsi="Arial"/>
                <w:sz w:val="12"/>
                <w:szCs w:val="12"/>
                <w:b w:val="1"/>
                <w:bCs w:val="1"/>
                <w:color w:val="auto"/>
              </w:rPr>
              <w:t>(1)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(Losses)</w:t>
            </w:r>
          </w:p>
        </w:tc>
        <w:tc>
          <w:tcPr>
            <w:tcW w:w="0" w:type="dxa"/>
            <w:vAlign w:val="bottom"/>
          </w:tcPr>
          <w:p>
            <w:pPr>
              <w:spacing w:after="0"/>
              <w:rPr>
                <w:sz w:val="1"/>
                <w:szCs w:val="1"/>
                <w:color w:val="auto"/>
              </w:rPr>
            </w:pPr>
          </w:p>
        </w:tc>
      </w:tr>
      <w:tr>
        <w:trPr>
          <w:trHeight w:val="142"/>
        </w:trPr>
        <w:tc>
          <w:tcPr>
            <w:tcW w:w="40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Controlled Affiliates</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240" w:type="dxa"/>
            <w:vAlign w:val="bottom"/>
            <w:gridSpan w:val="2"/>
          </w:tcPr>
          <w:p>
            <w:pPr>
              <w:spacing w:after="0" w:line="130" w:lineRule="exact"/>
              <w:rPr>
                <w:sz w:val="20"/>
                <w:szCs w:val="20"/>
                <w:color w:val="auto"/>
              </w:rPr>
            </w:pPr>
            <w:r>
              <w:rPr>
                <w:rFonts w:ascii="Arial" w:cs="Arial" w:eastAsia="Arial" w:hAnsi="Arial"/>
                <w:sz w:val="14"/>
                <w:szCs w:val="14"/>
                <w:color w:val="auto"/>
              </w:rPr>
              <w:t>MidOcean JF Holdings Corp.</w:t>
            </w: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240" w:type="dxa"/>
            <w:vAlign w:val="bottom"/>
            <w:gridSpan w:val="2"/>
          </w:tcPr>
          <w:p>
            <w:pPr>
              <w:ind w:left="160"/>
              <w:spacing w:after="0"/>
              <w:rPr>
                <w:sz w:val="20"/>
                <w:szCs w:val="20"/>
                <w:color w:val="auto"/>
              </w:rPr>
            </w:pPr>
            <w:r>
              <w:rPr>
                <w:rFonts w:ascii="Arial" w:cs="Arial" w:eastAsia="Arial" w:hAnsi="Arial"/>
                <w:sz w:val="14"/>
                <w:szCs w:val="14"/>
                <w:color w:val="auto"/>
              </w:rPr>
              <w:t>(JF Acquisition, LLC)</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22,837,602</w:t>
            </w:r>
          </w:p>
        </w:tc>
        <w:tc>
          <w:tcPr>
            <w:tcW w:w="24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gridSpan w:val="2"/>
          </w:tcPr>
          <w:p>
            <w:pPr>
              <w:jc w:val="right"/>
              <w:ind w:right="29"/>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9,599,721</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RAM Energy LLC</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68,319,399</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2,138,653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2,264,465</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70,480,085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240" w:type="dxa"/>
            <w:vAlign w:val="bottom"/>
            <w:gridSpan w:val="2"/>
          </w:tcPr>
          <w:p>
            <w:pPr>
              <w:spacing w:after="0" w:line="149" w:lineRule="exact"/>
              <w:rPr>
                <w:sz w:val="20"/>
                <w:szCs w:val="20"/>
                <w:color w:val="auto"/>
              </w:rPr>
            </w:pPr>
            <w:r>
              <w:rPr>
                <w:rFonts w:ascii="Arial" w:cs="Arial" w:eastAsia="Arial" w:hAnsi="Arial"/>
                <w:sz w:val="14"/>
                <w:szCs w:val="14"/>
                <w:color w:val="auto"/>
              </w:rPr>
              <w:t>Superior Digital Displays Holdings, Inc.</w:t>
            </w:r>
          </w:p>
        </w:tc>
        <w:tc>
          <w:tcPr>
            <w:tcW w:w="1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33,862,636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3,600,000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(2,570,000)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1,381,599</w:t>
            </w:r>
          </w:p>
        </w:tc>
        <w:tc>
          <w:tcPr>
            <w:tcW w:w="1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32,436,485</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Non-Controlled Affiliates</w:t>
            </w: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40" w:type="dxa"/>
            <w:vAlign w:val="bottom"/>
            <w:gridSpan w:val="2"/>
          </w:tcPr>
          <w:p>
            <w:pPr>
              <w:spacing w:after="0" w:line="149" w:lineRule="exact"/>
              <w:rPr>
                <w:sz w:val="20"/>
                <w:szCs w:val="20"/>
                <w:color w:val="auto"/>
              </w:rPr>
            </w:pPr>
            <w:r>
              <w:rPr>
                <w:rFonts w:ascii="Arial" w:cs="Arial" w:eastAsia="Arial" w:hAnsi="Arial"/>
                <w:sz w:val="14"/>
                <w:szCs w:val="14"/>
                <w:color w:val="auto"/>
              </w:rPr>
              <w:t>Affinion Group Holdings, Inc.</w:t>
            </w:r>
          </w:p>
        </w:tc>
        <w:tc>
          <w:tcPr>
            <w:tcW w:w="1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57,109,394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197,160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817,473</w:t>
            </w:r>
          </w:p>
        </w:tc>
        <w:tc>
          <w:tcPr>
            <w:tcW w:w="1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61,101,083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 xml:space="preserve">American Gilsonite Company </w:t>
            </w:r>
            <w:r>
              <w:rPr>
                <w:rFonts w:ascii="Arial" w:cs="Arial" w:eastAsia="Arial" w:hAnsi="Arial"/>
                <w:sz w:val="12"/>
                <w:szCs w:val="12"/>
                <w:color w:val="auto"/>
              </w:rPr>
              <w:t>(3)</w:t>
            </w:r>
          </w:p>
        </w:tc>
        <w:tc>
          <w:tcPr>
            <w:tcW w:w="120" w:type="dxa"/>
            <w:vAlign w:val="bottom"/>
            <w:shd w:val="clear" w:color="auto" w:fill="CCEEFF"/>
          </w:tcPr>
          <w:p>
            <w:pPr>
              <w:spacing w:after="0"/>
              <w:rPr>
                <w:sz w:val="12"/>
                <w:szCs w:val="12"/>
                <w:color w:val="auto"/>
              </w:rPr>
            </w:pPr>
          </w:p>
        </w:tc>
        <w:tc>
          <w:tcPr>
            <w:tcW w:w="10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5,969</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18,130,545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240" w:type="dxa"/>
            <w:vAlign w:val="bottom"/>
            <w:gridSpan w:val="2"/>
          </w:tcPr>
          <w:p>
            <w:pPr>
              <w:spacing w:after="0" w:line="149" w:lineRule="exact"/>
              <w:rPr>
                <w:sz w:val="20"/>
                <w:szCs w:val="20"/>
                <w:color w:val="auto"/>
              </w:rPr>
            </w:pPr>
            <w:r>
              <w:rPr>
                <w:rFonts w:ascii="Arial" w:cs="Arial" w:eastAsia="Arial" w:hAnsi="Arial"/>
                <w:sz w:val="14"/>
                <w:szCs w:val="14"/>
                <w:color w:val="auto"/>
              </w:rPr>
              <w:t xml:space="preserve">Cano Health, LLC </w:t>
            </w:r>
            <w:r>
              <w:rPr>
                <w:rFonts w:ascii="Arial" w:cs="Arial" w:eastAsia="Arial" w:hAnsi="Arial"/>
                <w:sz w:val="12"/>
                <w:szCs w:val="12"/>
                <w:color w:val="auto"/>
              </w:rPr>
              <w:t>(3)</w:t>
            </w:r>
          </w:p>
        </w:tc>
        <w:tc>
          <w:tcPr>
            <w:tcW w:w="120" w:type="dxa"/>
            <w:vAlign w:val="bottom"/>
          </w:tcPr>
          <w:p>
            <w:pPr>
              <w:spacing w:after="0"/>
              <w:rPr>
                <w:sz w:val="12"/>
                <w:szCs w:val="12"/>
                <w:color w:val="auto"/>
              </w:rPr>
            </w:pPr>
          </w:p>
        </w:tc>
        <w:tc>
          <w:tcPr>
            <w:tcW w:w="1020" w:type="dxa"/>
            <w:vAlign w:val="bottom"/>
            <w:gridSpan w:val="3"/>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11,803,500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52,311</w:t>
            </w:r>
          </w:p>
        </w:tc>
        <w:tc>
          <w:tcPr>
            <w:tcW w:w="1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11,803,500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Corfin Industries LLC</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25,853,063</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(59,250)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675,462</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26,069,202</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40" w:type="dxa"/>
            <w:vAlign w:val="bottom"/>
            <w:gridSpan w:val="2"/>
          </w:tcPr>
          <w:p>
            <w:pPr>
              <w:spacing w:after="0" w:line="149" w:lineRule="exact"/>
              <w:rPr>
                <w:sz w:val="20"/>
                <w:szCs w:val="20"/>
                <w:color w:val="auto"/>
              </w:rPr>
            </w:pPr>
            <w:r>
              <w:rPr>
                <w:rFonts w:ascii="Arial" w:cs="Arial" w:eastAsia="Arial" w:hAnsi="Arial"/>
                <w:sz w:val="14"/>
                <w:szCs w:val="14"/>
                <w:color w:val="auto"/>
              </w:rPr>
              <w:t>DirectBuy Holdings, Inc.</w:t>
            </w:r>
          </w:p>
        </w:tc>
        <w:tc>
          <w:tcPr>
            <w:tcW w:w="1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2,799,695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1,669,502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EnviroSolutions Holdings, Inc.</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22,522,000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230,873</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22,760,675</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40" w:type="dxa"/>
            <w:vAlign w:val="bottom"/>
            <w:gridSpan w:val="2"/>
          </w:tcPr>
          <w:p>
            <w:pPr>
              <w:spacing w:after="0" w:line="149" w:lineRule="exact"/>
              <w:rPr>
                <w:sz w:val="20"/>
                <w:szCs w:val="20"/>
                <w:color w:val="auto"/>
              </w:rPr>
            </w:pPr>
            <w:r>
              <w:rPr>
                <w:rFonts w:ascii="Arial" w:cs="Arial" w:eastAsia="Arial" w:hAnsi="Arial"/>
                <w:sz w:val="14"/>
                <w:szCs w:val="14"/>
                <w:color w:val="auto"/>
              </w:rPr>
              <w:t>ETX Energy, LLC</w:t>
            </w:r>
          </w:p>
        </w:tc>
        <w:tc>
          <w:tcPr>
            <w:tcW w:w="1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35,416,730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193,544</w:t>
            </w:r>
          </w:p>
        </w:tc>
        <w:tc>
          <w:tcPr>
            <w:tcW w:w="1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45,742,822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PAS International Holdings, Inc.</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8,233,630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14,052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(11,132)</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616,258</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15,523,777</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40" w:type="dxa"/>
            <w:vAlign w:val="bottom"/>
            <w:gridSpan w:val="2"/>
          </w:tcPr>
          <w:p>
            <w:pPr>
              <w:spacing w:after="0" w:line="149" w:lineRule="exact"/>
              <w:rPr>
                <w:sz w:val="20"/>
                <w:szCs w:val="20"/>
                <w:color w:val="auto"/>
              </w:rPr>
            </w:pPr>
            <w:r>
              <w:rPr>
                <w:rFonts w:ascii="Arial" w:cs="Arial" w:eastAsia="Arial" w:hAnsi="Arial"/>
                <w:sz w:val="14"/>
                <w:szCs w:val="14"/>
                <w:color w:val="auto"/>
              </w:rPr>
              <w:t>Service Champ, Inc.</w:t>
            </w:r>
          </w:p>
        </w:tc>
        <w:tc>
          <w:tcPr>
            <w:tcW w:w="120" w:type="dxa"/>
            <w:vAlign w:val="bottom"/>
          </w:tcPr>
          <w:p>
            <w:pPr>
              <w:spacing w:after="0"/>
              <w:rPr>
                <w:sz w:val="12"/>
                <w:szCs w:val="12"/>
                <w:color w:val="auto"/>
              </w:rPr>
            </w:pPr>
          </w:p>
        </w:tc>
        <w:tc>
          <w:tcPr>
            <w:tcW w:w="7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34,898,025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913,797</w:t>
            </w:r>
          </w:p>
        </w:tc>
        <w:tc>
          <w:tcPr>
            <w:tcW w:w="100" w:type="dxa"/>
            <w:vAlign w:val="bottom"/>
          </w:tcPr>
          <w:p>
            <w:pPr>
              <w:spacing w:after="0"/>
              <w:rPr>
                <w:sz w:val="12"/>
                <w:szCs w:val="12"/>
                <w:color w:val="auto"/>
              </w:rPr>
            </w:pPr>
          </w:p>
        </w:tc>
        <w:tc>
          <w:tcPr>
            <w:tcW w:w="8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35,537,758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42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TRAK Acquisition Corp.</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28,360,010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9,000,000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(9,250,000)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742,494</w:t>
            </w: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28,456,462</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2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Total Controlled and Non-Controlled Affiliates</w:t>
            </w:r>
          </w:p>
        </w:tc>
        <w:tc>
          <w:tcPr>
            <w:tcW w:w="12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340,212,184</w:t>
            </w:r>
          </w:p>
        </w:tc>
        <w:tc>
          <w:tcPr>
            <w:tcW w:w="2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26,753,365</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(11,890,382)</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7,894,245</w:t>
            </w:r>
          </w:p>
        </w:tc>
        <w:tc>
          <w:tcPr>
            <w:tcW w:w="2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2"/>
              </w:rPr>
              <w:t>379,311,617</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85166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851660" cy="8255"/>
                    </a:xfrm>
                    <a:prstGeom prst="rect">
                      <a:avLst/>
                    </a:prstGeom>
                    <a:noFill/>
                  </pic:spPr>
                </pic:pic>
              </a:graphicData>
            </a:graphic>
          </wp:anchor>
        </w:drawing>
      </w:r>
    </w:p>
    <w:p>
      <w:pPr>
        <w:spacing w:after="0" w:line="163"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2"/>
          <w:szCs w:val="12"/>
          <w:color w:val="auto"/>
        </w:rPr>
      </w:pPr>
      <w:r>
        <w:rPr>
          <w:rFonts w:ascii="Arial" w:cs="Arial" w:eastAsia="Arial" w:hAnsi="Arial"/>
          <w:sz w:val="14"/>
          <w:szCs w:val="14"/>
          <w:color w:val="auto"/>
        </w:rPr>
        <w:t>Excludes delayed draw investments.</w:t>
      </w:r>
    </w:p>
    <w:p>
      <w:pPr>
        <w:ind w:left="340" w:hanging="332"/>
        <w:spacing w:after="0" w:line="221" w:lineRule="auto"/>
        <w:tabs>
          <w:tab w:leader="none" w:pos="340" w:val="left"/>
        </w:tabs>
        <w:numPr>
          <w:ilvl w:val="0"/>
          <w:numId w:val="8"/>
        </w:numPr>
        <w:rPr>
          <w:rFonts w:ascii="Arial" w:cs="Arial" w:eastAsia="Arial" w:hAnsi="Arial"/>
          <w:sz w:val="12"/>
          <w:szCs w:val="12"/>
          <w:color w:val="auto"/>
        </w:rPr>
      </w:pPr>
      <w:r>
        <w:rPr>
          <w:rFonts w:ascii="Arial" w:cs="Arial" w:eastAsia="Arial" w:hAnsi="Arial"/>
          <w:sz w:val="14"/>
          <w:szCs w:val="14"/>
          <w:color w:val="auto"/>
        </w:rPr>
        <w:t>Includes PIK.</w:t>
      </w:r>
    </w:p>
    <w:p>
      <w:pPr>
        <w:ind w:left="340" w:hanging="332"/>
        <w:spacing w:after="0"/>
        <w:tabs>
          <w:tab w:leader="none" w:pos="340" w:val="left"/>
        </w:tabs>
        <w:numPr>
          <w:ilvl w:val="0"/>
          <w:numId w:val="8"/>
        </w:numPr>
        <w:rPr>
          <w:rFonts w:ascii="Arial" w:cs="Arial" w:eastAsia="Arial" w:hAnsi="Arial"/>
          <w:sz w:val="12"/>
          <w:szCs w:val="12"/>
          <w:color w:val="auto"/>
        </w:rPr>
      </w:pPr>
      <w:r>
        <w:rPr>
          <w:rFonts w:ascii="Arial" w:cs="Arial" w:eastAsia="Arial" w:hAnsi="Arial"/>
          <w:sz w:val="14"/>
          <w:szCs w:val="14"/>
          <w:color w:val="auto"/>
        </w:rPr>
        <w:t>Became a non-controlled affiliate during the three months ended December 31, 2016.</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CHANGE IN NET ASSETS RESULTING FROM OPERATIONS PER COMMON SHARE</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in net assets resulting from operations: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38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94"/>
              </w:rPr>
              <w:t>Three Months Ended December 31,</w:t>
            </w:r>
          </w:p>
        </w:tc>
      </w:tr>
      <w:tr>
        <w:trPr>
          <w:trHeight w:val="142"/>
        </w:trPr>
        <w:tc>
          <w:tcPr>
            <w:tcW w:w="616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142"/>
        </w:trPr>
        <w:tc>
          <w:tcPr>
            <w:tcW w:w="61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Numerator for net increase (decrease) in net assets resulting from operations</w:t>
            </w:r>
          </w:p>
        </w:tc>
        <w:tc>
          <w:tcPr>
            <w:tcW w:w="10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58"/>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24,049,127</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(40,755,183)</w:t>
            </w:r>
          </w:p>
        </w:tc>
        <w:tc>
          <w:tcPr>
            <w:tcW w:w="100" w:type="dxa"/>
            <w:vAlign w:val="bottom"/>
            <w:shd w:val="clear" w:color="auto" w:fill="CCEEFF"/>
          </w:tcPr>
          <w:p>
            <w:pPr>
              <w:spacing w:after="0"/>
              <w:rPr>
                <w:sz w:val="12"/>
                <w:szCs w:val="12"/>
                <w:color w:val="auto"/>
              </w:rPr>
            </w:pPr>
          </w:p>
        </w:tc>
      </w:tr>
      <w:tr>
        <w:trPr>
          <w:trHeight w:val="148"/>
        </w:trPr>
        <w:tc>
          <w:tcPr>
            <w:tcW w:w="6160" w:type="dxa"/>
            <w:vAlign w:val="bottom"/>
          </w:tcPr>
          <w:p>
            <w:pPr>
              <w:spacing w:after="0" w:line="149" w:lineRule="exact"/>
              <w:rPr>
                <w:sz w:val="20"/>
                <w:szCs w:val="20"/>
                <w:color w:val="auto"/>
              </w:rPr>
            </w:pPr>
            <w:r>
              <w:rPr>
                <w:rFonts w:ascii="Arial" w:cs="Arial" w:eastAsia="Arial" w:hAnsi="Arial"/>
                <w:sz w:val="14"/>
                <w:szCs w:val="14"/>
                <w:color w:val="auto"/>
              </w:rPr>
              <w:t>Denominator for basic and diluted weighted average shares</w:t>
            </w: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71,060,836</w:t>
            </w:r>
          </w:p>
        </w:tc>
        <w:tc>
          <w:tcPr>
            <w:tcW w:w="220" w:type="dxa"/>
            <w:vAlign w:val="bottom"/>
          </w:tcPr>
          <w:p>
            <w:pPr>
              <w:spacing w:after="0"/>
              <w:rPr>
                <w:sz w:val="12"/>
                <w:szCs w:val="12"/>
                <w:color w:val="auto"/>
              </w:rPr>
            </w:pPr>
          </w:p>
        </w:tc>
        <w:tc>
          <w:tcPr>
            <w:tcW w:w="9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72,740,547</w:t>
            </w:r>
          </w:p>
        </w:tc>
      </w:tr>
      <w:tr>
        <w:trPr>
          <w:trHeight w:val="149"/>
        </w:trPr>
        <w:tc>
          <w:tcPr>
            <w:tcW w:w="6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Basic and diluted net increase (decrease) in net assets resulting from operations per share</w:t>
            </w:r>
          </w:p>
        </w:tc>
        <w:tc>
          <w:tcPr>
            <w:tcW w:w="1200" w:type="dxa"/>
            <w:vAlign w:val="bottom"/>
            <w:gridSpan w:val="2"/>
            <w:shd w:val="clear" w:color="auto" w:fill="CCEEFF"/>
          </w:tcPr>
          <w:p>
            <w:pPr>
              <w:jc w:val="right"/>
              <w:ind w:right="58"/>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0.34</w:t>
            </w: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(0.56)</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CASH AND CASH EQUIVALENTS</w:t>
      </w:r>
    </w:p>
    <w:p>
      <w:pPr>
        <w:spacing w:after="0" w:line="100" w:lineRule="exact"/>
        <w:rPr>
          <w:sz w:val="20"/>
          <w:szCs w:val="20"/>
          <w:color w:val="auto"/>
        </w:rPr>
      </w:pPr>
    </w:p>
    <w:p>
      <w:pPr>
        <w:ind w:right="20" w:firstLine="562"/>
        <w:spacing w:after="0" w:line="245" w:lineRule="auto"/>
        <w:rPr>
          <w:sz w:val="20"/>
          <w:szCs w:val="20"/>
          <w:color w:val="auto"/>
        </w:rPr>
      </w:pPr>
      <w:r>
        <w:rPr>
          <w:rFonts w:ascii="Arial" w:cs="Arial" w:eastAsia="Arial" w:hAnsi="Arial"/>
          <w:sz w:val="13"/>
          <w:szCs w:val="13"/>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our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December 31, 2016 and September 30, 2016, cash and cash equivalents consisted of $45.3 million and $75.6 million, respectively, at fair value.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ectPr>
          <w:pgSz w:w="11900" w:h="16838" w:orient="portrait"/>
          <w:cols w:equalWidth="0" w:num="1">
            <w:col w:w="11240"/>
          </w:cols>
          <w:pgMar w:left="320" w:top="459" w:right="3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59"/>
        <w:spacing w:after="0" w:line="221" w:lineRule="auto"/>
        <w:rPr>
          <w:sz w:val="20"/>
          <w:szCs w:val="20"/>
          <w:color w:val="auto"/>
        </w:rPr>
      </w:pPr>
      <w:r>
        <w:rPr>
          <w:rFonts w:ascii="Arial" w:cs="Arial" w:eastAsia="Arial" w:hAnsi="Arial"/>
          <w:sz w:val="14"/>
          <w:szCs w:val="14"/>
          <w:b w:val="1"/>
          <w:bCs w:val="1"/>
          <w:color w:val="auto"/>
        </w:rPr>
        <w:t>DECEMBER 31, 2016</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FINANCIAL HIGHLIGHTS</w:t>
      </w:r>
    </w:p>
    <w:p>
      <w:pPr>
        <w:spacing w:after="0" w:line="100" w:lineRule="exact"/>
        <w:rPr>
          <w:sz w:val="20"/>
          <w:szCs w:val="20"/>
          <w:color w:val="auto"/>
        </w:rPr>
      </w:pPr>
    </w:p>
    <w:tbl>
      <w:tblPr>
        <w:tblLayout w:type="fixed"/>
        <w:tblInd w:w="800" w:type="dxa"/>
        <w:tblCellMar>
          <w:top w:w="0" w:type="dxa"/>
          <w:left w:w="0" w:type="dxa"/>
          <w:bottom w:w="0" w:type="dxa"/>
          <w:right w:w="0" w:type="dxa"/>
        </w:tblCellMar>
      </w:tblPr>
      <w:tr>
        <w:trPr>
          <w:trHeight w:val="182"/>
        </w:trPr>
        <w:tc>
          <w:tcPr>
            <w:tcW w:w="5680" w:type="dxa"/>
            <w:vAlign w:val="bottom"/>
            <w:gridSpan w:val="2"/>
          </w:tcPr>
          <w:p>
            <w:pPr>
              <w:spacing w:after="0"/>
              <w:rPr>
                <w:sz w:val="20"/>
                <w:szCs w:val="20"/>
                <w:color w:val="auto"/>
              </w:rPr>
            </w:pPr>
            <w:r>
              <w:rPr>
                <w:rFonts w:ascii="Arial" w:cs="Arial" w:eastAsia="Arial" w:hAnsi="Arial"/>
                <w:sz w:val="14"/>
                <w:szCs w:val="14"/>
                <w:color w:val="auto"/>
              </w:rPr>
              <w:t>Below are the financial highlights:</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7"/>
        </w:trPr>
        <w:tc>
          <w:tcPr>
            <w:tcW w:w="56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4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Three Months Ended December 31,</w:t>
            </w:r>
          </w:p>
        </w:tc>
        <w:tc>
          <w:tcPr>
            <w:tcW w:w="0" w:type="dxa"/>
            <w:vAlign w:val="bottom"/>
          </w:tcPr>
          <w:p>
            <w:pPr>
              <w:spacing w:after="0"/>
              <w:rPr>
                <w:sz w:val="1"/>
                <w:szCs w:val="1"/>
                <w:color w:val="auto"/>
              </w:rPr>
            </w:pPr>
          </w:p>
        </w:tc>
      </w:tr>
      <w:tr>
        <w:trPr>
          <w:trHeight w:val="142"/>
        </w:trPr>
        <w:tc>
          <w:tcPr>
            <w:tcW w:w="560" w:type="dxa"/>
            <w:vAlign w:val="bottom"/>
          </w:tcPr>
          <w:p>
            <w:pPr>
              <w:spacing w:after="0"/>
              <w:rPr>
                <w:sz w:val="12"/>
                <w:szCs w:val="12"/>
                <w:color w:val="auto"/>
              </w:rPr>
            </w:pPr>
          </w:p>
        </w:tc>
        <w:tc>
          <w:tcPr>
            <w:tcW w:w="512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88"/>
              <w:spacing w:after="0" w:line="142" w:lineRule="exact"/>
              <w:rPr>
                <w:sz w:val="20"/>
                <w:szCs w:val="20"/>
                <w:color w:val="auto"/>
              </w:rPr>
            </w:pPr>
            <w:r>
              <w:rPr>
                <w:rFonts w:ascii="Arial" w:cs="Arial" w:eastAsia="Arial" w:hAnsi="Arial"/>
                <w:sz w:val="14"/>
                <w:szCs w:val="14"/>
                <w:b w:val="1"/>
                <w:bCs w:val="1"/>
                <w:color w:val="auto"/>
              </w:rPr>
              <w:t>2016</w:t>
            </w:r>
          </w:p>
        </w:tc>
        <w:tc>
          <w:tcPr>
            <w:tcW w:w="54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28"/>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560" w:type="dxa"/>
            <w:vAlign w:val="bottom"/>
          </w:tcPr>
          <w:p>
            <w:pPr>
              <w:spacing w:after="0"/>
              <w:rPr>
                <w:sz w:val="11"/>
                <w:szCs w:val="11"/>
                <w:color w:val="auto"/>
              </w:rPr>
            </w:pPr>
          </w:p>
        </w:tc>
        <w:tc>
          <w:tcPr>
            <w:tcW w:w="512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Per Share Data:</w:t>
            </w:r>
          </w:p>
        </w:tc>
        <w:tc>
          <w:tcPr>
            <w:tcW w:w="2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5120" w:type="dxa"/>
            <w:vAlign w:val="bottom"/>
          </w:tcPr>
          <w:p>
            <w:pPr>
              <w:spacing w:after="0" w:line="149" w:lineRule="exact"/>
              <w:rPr>
                <w:sz w:val="20"/>
                <w:szCs w:val="20"/>
                <w:color w:val="auto"/>
              </w:rPr>
            </w:pPr>
            <w:r>
              <w:rPr>
                <w:rFonts w:ascii="Arial" w:cs="Arial" w:eastAsia="Arial" w:hAnsi="Arial"/>
                <w:sz w:val="14"/>
                <w:szCs w:val="14"/>
                <w:color w:val="auto"/>
              </w:rPr>
              <w:t>Net asset value, beginning of period</w:t>
            </w:r>
          </w:p>
        </w:tc>
        <w:tc>
          <w:tcPr>
            <w:tcW w:w="2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5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9.05</w:t>
            </w:r>
          </w:p>
        </w:tc>
        <w:tc>
          <w:tcPr>
            <w:tcW w:w="300" w:type="dxa"/>
            <w:vAlign w:val="bottom"/>
          </w:tcPr>
          <w:p>
            <w:pPr>
              <w:jc w:val="right"/>
              <w:ind w:right="148"/>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9.82</w:t>
            </w: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5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26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0.21</w:t>
            </w:r>
          </w:p>
        </w:tc>
        <w:tc>
          <w:tcPr>
            <w:tcW w:w="3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0.23</w:t>
            </w: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5120" w:type="dxa"/>
            <w:vAlign w:val="bottom"/>
          </w:tcPr>
          <w:p>
            <w:pPr>
              <w:spacing w:after="0" w:line="149" w:lineRule="exact"/>
              <w:rPr>
                <w:sz w:val="20"/>
                <w:szCs w:val="20"/>
                <w:color w:val="auto"/>
              </w:rPr>
            </w:pPr>
            <w:r>
              <w:rPr>
                <w:rFonts w:ascii="Arial" w:cs="Arial" w:eastAsia="Arial" w:hAnsi="Arial"/>
                <w:sz w:val="14"/>
                <w:szCs w:val="14"/>
                <w:color w:val="auto"/>
              </w:rPr>
              <w:t xml:space="preserve">Net realized and unrealized gain (loss) </w:t>
            </w:r>
            <w:r>
              <w:rPr>
                <w:rFonts w:ascii="Arial" w:cs="Arial" w:eastAsia="Arial" w:hAnsi="Arial"/>
                <w:sz w:val="12"/>
                <w:szCs w:val="12"/>
                <w:color w:val="auto"/>
              </w:rPr>
              <w:t>(1)</w:t>
            </w:r>
          </w:p>
        </w:tc>
        <w:tc>
          <w:tcPr>
            <w:tcW w:w="260" w:type="dxa"/>
            <w:vAlign w:val="bottom"/>
          </w:tcPr>
          <w:p>
            <w:pPr>
              <w:spacing w:after="0"/>
              <w:rPr>
                <w:sz w:val="12"/>
                <w:szCs w:val="12"/>
                <w:color w:val="auto"/>
              </w:rPr>
            </w:pPr>
          </w:p>
        </w:tc>
        <w:tc>
          <w:tcPr>
            <w:tcW w:w="15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0.13</w:t>
            </w:r>
          </w:p>
        </w:tc>
        <w:tc>
          <w:tcPr>
            <w:tcW w:w="300" w:type="dxa"/>
            <w:vAlign w:val="bottom"/>
          </w:tcPr>
          <w:p>
            <w:pPr>
              <w:spacing w:after="0"/>
              <w:rPr>
                <w:sz w:val="12"/>
                <w:szCs w:val="12"/>
                <w:color w:val="auto"/>
              </w:rPr>
            </w:pPr>
          </w:p>
        </w:tc>
        <w:tc>
          <w:tcPr>
            <w:tcW w:w="13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(0.79)</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60" w:type="dxa"/>
            <w:vAlign w:val="bottom"/>
          </w:tcPr>
          <w:p>
            <w:pPr>
              <w:spacing w:after="0"/>
              <w:rPr>
                <w:sz w:val="12"/>
                <w:szCs w:val="12"/>
                <w:color w:val="auto"/>
              </w:rPr>
            </w:pPr>
          </w:p>
        </w:tc>
        <w:tc>
          <w:tcPr>
            <w:tcW w:w="5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Net increase (decrease) in net assets resulting from operations </w:t>
            </w:r>
            <w:r>
              <w:rPr>
                <w:rFonts w:ascii="Arial" w:cs="Arial" w:eastAsia="Arial" w:hAnsi="Arial"/>
                <w:sz w:val="12"/>
                <w:szCs w:val="12"/>
                <w:color w:val="auto"/>
              </w:rPr>
              <w:t>(1)</w:t>
            </w:r>
          </w:p>
        </w:tc>
        <w:tc>
          <w:tcPr>
            <w:tcW w:w="26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0.34</w:t>
            </w:r>
          </w:p>
        </w:tc>
        <w:tc>
          <w:tcPr>
            <w:tcW w:w="3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(0.56)</w:t>
            </w: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5120" w:type="dxa"/>
            <w:vAlign w:val="bottom"/>
          </w:tcPr>
          <w:p>
            <w:pPr>
              <w:spacing w:after="0" w:line="149" w:lineRule="exact"/>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12"/>
                <w:szCs w:val="12"/>
                <w:color w:val="auto"/>
              </w:rPr>
              <w:t>(1), (2)</w:t>
            </w:r>
          </w:p>
        </w:tc>
        <w:tc>
          <w:tcPr>
            <w:tcW w:w="260" w:type="dxa"/>
            <w:vAlign w:val="bottom"/>
          </w:tcPr>
          <w:p>
            <w:pPr>
              <w:spacing w:after="0"/>
              <w:rPr>
                <w:sz w:val="12"/>
                <w:szCs w:val="12"/>
                <w:color w:val="auto"/>
              </w:rPr>
            </w:pPr>
          </w:p>
        </w:tc>
        <w:tc>
          <w:tcPr>
            <w:tcW w:w="15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(0.28)</w:t>
            </w:r>
          </w:p>
        </w:tc>
        <w:tc>
          <w:tcPr>
            <w:tcW w:w="300" w:type="dxa"/>
            <w:vAlign w:val="bottom"/>
          </w:tcPr>
          <w:p>
            <w:pPr>
              <w:spacing w:after="0"/>
              <w:rPr>
                <w:sz w:val="12"/>
                <w:szCs w:val="12"/>
                <w:color w:val="auto"/>
              </w:rPr>
            </w:pPr>
          </w:p>
        </w:tc>
        <w:tc>
          <w:tcPr>
            <w:tcW w:w="132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5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Repurchase of common stock </w:t>
            </w:r>
            <w:r>
              <w:rPr>
                <w:rFonts w:ascii="Arial" w:cs="Arial" w:eastAsia="Arial" w:hAnsi="Arial"/>
                <w:sz w:val="12"/>
                <w:szCs w:val="12"/>
                <w:color w:val="auto"/>
              </w:rPr>
              <w:t>(1)</w:t>
            </w:r>
          </w:p>
        </w:tc>
        <w:tc>
          <w:tcPr>
            <w:tcW w:w="26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56"/>
        </w:trPr>
        <w:tc>
          <w:tcPr>
            <w:tcW w:w="560" w:type="dxa"/>
            <w:vAlign w:val="bottom"/>
          </w:tcPr>
          <w:p>
            <w:pPr>
              <w:spacing w:after="0"/>
              <w:rPr>
                <w:sz w:val="13"/>
                <w:szCs w:val="13"/>
                <w:color w:val="auto"/>
              </w:rPr>
            </w:pPr>
          </w:p>
        </w:tc>
        <w:tc>
          <w:tcPr>
            <w:tcW w:w="5120" w:type="dxa"/>
            <w:vAlign w:val="bottom"/>
          </w:tcPr>
          <w:p>
            <w:pPr>
              <w:spacing w:after="0" w:line="155" w:lineRule="exact"/>
              <w:rPr>
                <w:sz w:val="20"/>
                <w:szCs w:val="20"/>
                <w:color w:val="auto"/>
              </w:rPr>
            </w:pPr>
            <w:r>
              <w:rPr>
                <w:rFonts w:ascii="Arial" w:cs="Arial" w:eastAsia="Arial" w:hAnsi="Arial"/>
                <w:sz w:val="14"/>
                <w:szCs w:val="14"/>
                <w:color w:val="auto"/>
              </w:rPr>
              <w:t>Net asset value, end of period</w:t>
            </w:r>
          </w:p>
        </w:tc>
        <w:tc>
          <w:tcPr>
            <w:tcW w:w="2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9.11</w:t>
            </w:r>
          </w:p>
        </w:tc>
        <w:tc>
          <w:tcPr>
            <w:tcW w:w="54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9.02</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60" w:type="dxa"/>
            <w:vAlign w:val="bottom"/>
          </w:tcPr>
          <w:p>
            <w:pPr>
              <w:spacing w:after="0"/>
              <w:rPr>
                <w:sz w:val="12"/>
                <w:szCs w:val="12"/>
                <w:color w:val="auto"/>
              </w:rPr>
            </w:pPr>
          </w:p>
        </w:tc>
        <w:tc>
          <w:tcPr>
            <w:tcW w:w="5120" w:type="dxa"/>
            <w:vAlign w:val="bottom"/>
            <w:shd w:val="clear" w:color="auto" w:fill="CCEEFF"/>
          </w:tcPr>
          <w:p>
            <w:pPr>
              <w:spacing w:after="0" w:line="143" w:lineRule="exact"/>
              <w:rPr>
                <w:sz w:val="20"/>
                <w:szCs w:val="20"/>
                <w:color w:val="auto"/>
              </w:rPr>
            </w:pPr>
            <w:r>
              <w:rPr>
                <w:rFonts w:ascii="Arial" w:cs="Arial" w:eastAsia="Arial" w:hAnsi="Arial"/>
                <w:sz w:val="14"/>
                <w:szCs w:val="14"/>
                <w:color w:val="auto"/>
              </w:rPr>
              <w:t>Per share market value, end of period</w:t>
            </w:r>
          </w:p>
        </w:tc>
        <w:tc>
          <w:tcPr>
            <w:tcW w:w="260" w:type="dxa"/>
            <w:vAlign w:val="bottom"/>
            <w:shd w:val="clear" w:color="auto" w:fill="CCEEFF"/>
          </w:tcPr>
          <w:p>
            <w:pPr>
              <w:jc w:val="right"/>
              <w:ind w:right="108"/>
              <w:spacing w:after="0" w:line="143" w:lineRule="exact"/>
              <w:rPr>
                <w:sz w:val="20"/>
                <w:szCs w:val="20"/>
                <w:color w:val="auto"/>
              </w:rPr>
            </w:pPr>
            <w:r>
              <w:rPr>
                <w:rFonts w:ascii="Arial" w:cs="Arial" w:eastAsia="Arial" w:hAnsi="Arial"/>
                <w:sz w:val="14"/>
                <w:szCs w:val="14"/>
                <w:color w:val="auto"/>
                <w:w w:val="76"/>
              </w:rPr>
              <w:t>$</w:t>
            </w:r>
          </w:p>
        </w:tc>
        <w:tc>
          <w:tcPr>
            <w:tcW w:w="1520" w:type="dxa"/>
            <w:vAlign w:val="bottom"/>
            <w:gridSpan w:val="2"/>
            <w:shd w:val="clear" w:color="auto" w:fill="CCEEFF"/>
          </w:tcPr>
          <w:p>
            <w:pPr>
              <w:jc w:val="right"/>
              <w:ind w:right="520"/>
              <w:spacing w:after="0" w:line="143" w:lineRule="exact"/>
              <w:rPr>
                <w:sz w:val="20"/>
                <w:szCs w:val="20"/>
                <w:color w:val="auto"/>
              </w:rPr>
            </w:pPr>
            <w:r>
              <w:rPr>
                <w:rFonts w:ascii="Arial" w:cs="Arial" w:eastAsia="Arial" w:hAnsi="Arial"/>
                <w:sz w:val="14"/>
                <w:szCs w:val="14"/>
                <w:color w:val="auto"/>
              </w:rPr>
              <w:t>7.66</w:t>
            </w:r>
          </w:p>
        </w:tc>
        <w:tc>
          <w:tcPr>
            <w:tcW w:w="300" w:type="dxa"/>
            <w:vAlign w:val="bottom"/>
            <w:shd w:val="clear" w:color="auto" w:fill="CCEEFF"/>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320"/>
              <w:spacing w:after="0" w:line="143" w:lineRule="exact"/>
              <w:rPr>
                <w:sz w:val="20"/>
                <w:szCs w:val="20"/>
                <w:color w:val="auto"/>
              </w:rPr>
            </w:pPr>
            <w:r>
              <w:rPr>
                <w:rFonts w:ascii="Arial" w:cs="Arial" w:eastAsia="Arial" w:hAnsi="Arial"/>
                <w:sz w:val="14"/>
                <w:szCs w:val="14"/>
                <w:color w:val="auto"/>
              </w:rPr>
              <w:t>6.18</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120" w:type="dxa"/>
            <w:vAlign w:val="bottom"/>
            <w:vMerge w:val="restart"/>
          </w:tcPr>
          <w:p>
            <w:pPr>
              <w:spacing w:after="0"/>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(3)</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60" w:type="dxa"/>
            <w:vAlign w:val="bottom"/>
          </w:tcPr>
          <w:p>
            <w:pPr>
              <w:spacing w:after="0"/>
              <w:rPr>
                <w:sz w:val="12"/>
                <w:szCs w:val="12"/>
                <w:color w:val="auto"/>
              </w:rPr>
            </w:pPr>
          </w:p>
        </w:tc>
        <w:tc>
          <w:tcPr>
            <w:tcW w:w="51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520" w:type="dxa"/>
            <w:vAlign w:val="bottom"/>
            <w:gridSpan w:val="2"/>
          </w:tcPr>
          <w:p>
            <w:pPr>
              <w:jc w:val="right"/>
              <w:ind w:right="420"/>
              <w:spacing w:after="0" w:line="143" w:lineRule="exact"/>
              <w:rPr>
                <w:sz w:val="20"/>
                <w:szCs w:val="20"/>
                <w:color w:val="auto"/>
              </w:rPr>
            </w:pPr>
            <w:r>
              <w:rPr>
                <w:rFonts w:ascii="Arial" w:cs="Arial" w:eastAsia="Arial" w:hAnsi="Arial"/>
                <w:sz w:val="14"/>
                <w:szCs w:val="14"/>
                <w:color w:val="auto"/>
              </w:rPr>
              <w:t>5.51%</w:t>
            </w:r>
          </w:p>
        </w:tc>
        <w:tc>
          <w:tcPr>
            <w:tcW w:w="300" w:type="dxa"/>
            <w:vAlign w:val="bottom"/>
          </w:tcPr>
          <w:p>
            <w:pPr>
              <w:spacing w:after="0"/>
              <w:rPr>
                <w:sz w:val="12"/>
                <w:szCs w:val="12"/>
                <w:color w:val="auto"/>
              </w:rPr>
            </w:pPr>
          </w:p>
        </w:tc>
        <w:tc>
          <w:tcPr>
            <w:tcW w:w="1320" w:type="dxa"/>
            <w:vAlign w:val="bottom"/>
            <w:gridSpan w:val="2"/>
          </w:tcPr>
          <w:p>
            <w:pPr>
              <w:jc w:val="right"/>
              <w:ind w:right="160"/>
              <w:spacing w:after="0" w:line="143" w:lineRule="exact"/>
              <w:rPr>
                <w:sz w:val="20"/>
                <w:szCs w:val="20"/>
                <w:color w:val="auto"/>
              </w:rPr>
            </w:pPr>
            <w:r>
              <w:rPr>
                <w:rFonts w:ascii="Arial" w:cs="Arial" w:eastAsia="Arial" w:hAnsi="Arial"/>
                <w:sz w:val="14"/>
                <w:szCs w:val="14"/>
                <w:color w:val="auto"/>
              </w:rPr>
              <w:t>(0.28)%</w:t>
            </w: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5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Shares outstanding at end of period</w:t>
            </w:r>
          </w:p>
        </w:tc>
        <w:tc>
          <w:tcPr>
            <w:tcW w:w="26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71,060,836</w:t>
            </w:r>
          </w:p>
        </w:tc>
        <w:tc>
          <w:tcPr>
            <w:tcW w:w="3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71,745,710</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120" w:type="dxa"/>
            <w:vAlign w:val="bottom"/>
            <w:vMerge w:val="restart"/>
          </w:tcPr>
          <w:p>
            <w:pPr>
              <w:spacing w:after="0"/>
              <w:rPr>
                <w:sz w:val="20"/>
                <w:szCs w:val="20"/>
                <w:color w:val="auto"/>
              </w:rPr>
            </w:pPr>
            <w:r>
              <w:rPr>
                <w:rFonts w:ascii="Arial" w:cs="Arial" w:eastAsia="Arial" w:hAnsi="Arial"/>
                <w:sz w:val="14"/>
                <w:szCs w:val="14"/>
                <w:b w:val="1"/>
                <w:bCs w:val="1"/>
                <w:color w:val="auto"/>
              </w:rPr>
              <w:t>Ratios**/ Supplemental Data:</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60" w:type="dxa"/>
            <w:vAlign w:val="bottom"/>
          </w:tcPr>
          <w:p>
            <w:pPr>
              <w:spacing w:after="0"/>
              <w:rPr>
                <w:sz w:val="12"/>
                <w:szCs w:val="12"/>
                <w:color w:val="auto"/>
              </w:rPr>
            </w:pPr>
          </w:p>
        </w:tc>
        <w:tc>
          <w:tcPr>
            <w:tcW w:w="51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5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2"/>
                <w:szCs w:val="12"/>
                <w:color w:val="auto"/>
              </w:rPr>
              <w:t>(4), (5)</w:t>
            </w:r>
          </w:p>
        </w:tc>
        <w:tc>
          <w:tcPr>
            <w:tcW w:w="26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6.23%</w:t>
            </w:r>
          </w:p>
        </w:tc>
        <w:tc>
          <w:tcPr>
            <w:tcW w:w="3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 xml:space="preserve">6.13% </w:t>
            </w: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5120" w:type="dxa"/>
            <w:vAlign w:val="bottom"/>
          </w:tcPr>
          <w:p>
            <w:pPr>
              <w:spacing w:after="0" w:line="149" w:lineRule="exact"/>
              <w:rPr>
                <w:sz w:val="20"/>
                <w:szCs w:val="20"/>
                <w:color w:val="auto"/>
              </w:rPr>
            </w:pPr>
            <w:r>
              <w:rPr>
                <w:rFonts w:ascii="Arial" w:cs="Arial" w:eastAsia="Arial" w:hAnsi="Arial"/>
                <w:sz w:val="14"/>
                <w:szCs w:val="14"/>
                <w:color w:val="auto"/>
              </w:rPr>
              <w:t>Ratio of interest and expenses on debt to average net assets</w:t>
            </w:r>
          </w:p>
        </w:tc>
        <w:tc>
          <w:tcPr>
            <w:tcW w:w="260" w:type="dxa"/>
            <w:vAlign w:val="bottom"/>
          </w:tcPr>
          <w:p>
            <w:pPr>
              <w:spacing w:after="0"/>
              <w:rPr>
                <w:sz w:val="12"/>
                <w:szCs w:val="12"/>
                <w:color w:val="auto"/>
              </w:rPr>
            </w:pPr>
          </w:p>
        </w:tc>
        <w:tc>
          <w:tcPr>
            <w:tcW w:w="15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4.15%</w:t>
            </w:r>
          </w:p>
        </w:tc>
        <w:tc>
          <w:tcPr>
            <w:tcW w:w="300" w:type="dxa"/>
            <w:vAlign w:val="bottom"/>
          </w:tcPr>
          <w:p>
            <w:pPr>
              <w:spacing w:after="0"/>
              <w:rPr>
                <w:sz w:val="12"/>
                <w:szCs w:val="12"/>
                <w:color w:val="auto"/>
              </w:rPr>
            </w:pPr>
          </w:p>
        </w:tc>
        <w:tc>
          <w:tcPr>
            <w:tcW w:w="13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3.84%</w:t>
            </w:r>
          </w:p>
        </w:tc>
        <w:tc>
          <w:tcPr>
            <w:tcW w:w="0" w:type="dxa"/>
            <w:vAlign w:val="bottom"/>
          </w:tcPr>
          <w:p>
            <w:pPr>
              <w:spacing w:after="0"/>
              <w:rPr>
                <w:sz w:val="1"/>
                <w:szCs w:val="1"/>
                <w:color w:val="auto"/>
              </w:rPr>
            </w:pPr>
          </w:p>
        </w:tc>
      </w:tr>
      <w:tr>
        <w:trPr>
          <w:trHeight w:val="27"/>
        </w:trPr>
        <w:tc>
          <w:tcPr>
            <w:tcW w:w="56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560" w:type="dxa"/>
            <w:vAlign w:val="bottom"/>
          </w:tcPr>
          <w:p>
            <w:pPr>
              <w:spacing w:after="0"/>
              <w:rPr>
                <w:sz w:val="12"/>
                <w:szCs w:val="12"/>
                <w:color w:val="auto"/>
              </w:rPr>
            </w:pPr>
          </w:p>
        </w:tc>
        <w:tc>
          <w:tcPr>
            <w:tcW w:w="5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Ratio of total expenses to average net assets </w:t>
            </w:r>
            <w:r>
              <w:rPr>
                <w:rFonts w:ascii="Arial" w:cs="Arial" w:eastAsia="Arial" w:hAnsi="Arial"/>
                <w:sz w:val="12"/>
                <w:szCs w:val="12"/>
                <w:color w:val="auto"/>
              </w:rPr>
              <w:t>(5)</w:t>
            </w:r>
          </w:p>
        </w:tc>
        <w:tc>
          <w:tcPr>
            <w:tcW w:w="26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10.38%</w:t>
            </w:r>
          </w:p>
        </w:tc>
        <w:tc>
          <w:tcPr>
            <w:tcW w:w="3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9.97%</w:t>
            </w: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5120" w:type="dxa"/>
            <w:vAlign w:val="bottom"/>
          </w:tcPr>
          <w:p>
            <w:pPr>
              <w:spacing w:after="0" w:line="149" w:lineRule="exact"/>
              <w:rPr>
                <w:sz w:val="20"/>
                <w:szCs w:val="20"/>
                <w:color w:val="auto"/>
              </w:rPr>
            </w:pPr>
            <w:r>
              <w:rPr>
                <w:rFonts w:ascii="Arial" w:cs="Arial" w:eastAsia="Arial" w:hAnsi="Arial"/>
                <w:sz w:val="14"/>
                <w:szCs w:val="14"/>
                <w:color w:val="auto"/>
              </w:rPr>
              <w:t>Ratio of net investment income to average net assets</w:t>
            </w:r>
          </w:p>
        </w:tc>
        <w:tc>
          <w:tcPr>
            <w:tcW w:w="260" w:type="dxa"/>
            <w:vAlign w:val="bottom"/>
          </w:tcPr>
          <w:p>
            <w:pPr>
              <w:spacing w:after="0"/>
              <w:rPr>
                <w:sz w:val="12"/>
                <w:szCs w:val="12"/>
                <w:color w:val="auto"/>
              </w:rPr>
            </w:pPr>
          </w:p>
        </w:tc>
        <w:tc>
          <w:tcPr>
            <w:tcW w:w="1520" w:type="dxa"/>
            <w:vAlign w:val="bottom"/>
            <w:gridSpan w:val="2"/>
          </w:tcPr>
          <w:p>
            <w:pPr>
              <w:jc w:val="right"/>
              <w:ind w:right="420"/>
              <w:spacing w:after="0" w:line="149" w:lineRule="exact"/>
              <w:rPr>
                <w:sz w:val="20"/>
                <w:szCs w:val="20"/>
                <w:color w:val="auto"/>
              </w:rPr>
            </w:pPr>
            <w:r>
              <w:rPr>
                <w:rFonts w:ascii="Arial" w:cs="Arial" w:eastAsia="Arial" w:hAnsi="Arial"/>
                <w:sz w:val="14"/>
                <w:szCs w:val="14"/>
                <w:color w:val="auto"/>
              </w:rPr>
              <w:t>9.28%</w:t>
            </w:r>
          </w:p>
        </w:tc>
        <w:tc>
          <w:tcPr>
            <w:tcW w:w="300" w:type="dxa"/>
            <w:vAlign w:val="bottom"/>
          </w:tcPr>
          <w:p>
            <w:pPr>
              <w:spacing w:after="0"/>
              <w:rPr>
                <w:sz w:val="12"/>
                <w:szCs w:val="12"/>
                <w:color w:val="auto"/>
              </w:rPr>
            </w:pPr>
          </w:p>
        </w:tc>
        <w:tc>
          <w:tcPr>
            <w:tcW w:w="13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10.17%</w:t>
            </w: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5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assets at end of period</w:t>
            </w:r>
          </w:p>
        </w:tc>
        <w:tc>
          <w:tcPr>
            <w:tcW w:w="2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5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647,518,949</w:t>
            </w:r>
          </w:p>
        </w:tc>
        <w:tc>
          <w:tcPr>
            <w:tcW w:w="3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647,309,399</w:t>
            </w: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5120" w:type="dxa"/>
            <w:vAlign w:val="bottom"/>
          </w:tcPr>
          <w:p>
            <w:pPr>
              <w:spacing w:after="0" w:line="155" w:lineRule="exact"/>
              <w:rPr>
                <w:sz w:val="20"/>
                <w:szCs w:val="20"/>
                <w:color w:val="auto"/>
              </w:rPr>
            </w:pPr>
            <w:r>
              <w:rPr>
                <w:rFonts w:ascii="Arial" w:cs="Arial" w:eastAsia="Arial" w:hAnsi="Arial"/>
                <w:sz w:val="14"/>
                <w:szCs w:val="14"/>
                <w:color w:val="auto"/>
              </w:rPr>
              <w:t xml:space="preserve">Weighted average debt outstanding </w:t>
            </w:r>
            <w:r>
              <w:rPr>
                <w:rFonts w:ascii="Arial" w:cs="Arial" w:eastAsia="Arial" w:hAnsi="Arial"/>
                <w:sz w:val="12"/>
                <w:szCs w:val="12"/>
                <w:color w:val="auto"/>
              </w:rPr>
              <w:t>(7)</w:t>
            </w:r>
          </w:p>
        </w:tc>
        <w:tc>
          <w:tcPr>
            <w:tcW w:w="2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597,533,598</w:t>
            </w:r>
          </w:p>
        </w:tc>
        <w:tc>
          <w:tcPr>
            <w:tcW w:w="54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598,313,633</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5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2"/>
                <w:szCs w:val="12"/>
                <w:color w:val="auto"/>
              </w:rPr>
              <w:t>(1), (7)</w:t>
            </w:r>
          </w:p>
        </w:tc>
        <w:tc>
          <w:tcPr>
            <w:tcW w:w="26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520" w:type="dxa"/>
            <w:vAlign w:val="bottom"/>
            <w:gridSpan w:val="2"/>
            <w:shd w:val="clear" w:color="auto" w:fill="CCEEFF"/>
          </w:tcPr>
          <w:p>
            <w:pPr>
              <w:jc w:val="right"/>
              <w:ind w:right="520"/>
              <w:spacing w:after="0" w:line="149" w:lineRule="exact"/>
              <w:rPr>
                <w:sz w:val="20"/>
                <w:szCs w:val="20"/>
                <w:color w:val="auto"/>
              </w:rPr>
            </w:pPr>
            <w:r>
              <w:rPr>
                <w:rFonts w:ascii="Arial" w:cs="Arial" w:eastAsia="Arial" w:hAnsi="Arial"/>
                <w:sz w:val="14"/>
                <w:szCs w:val="14"/>
                <w:color w:val="auto"/>
              </w:rPr>
              <w:t>8.41</w:t>
            </w:r>
          </w:p>
        </w:tc>
        <w:tc>
          <w:tcPr>
            <w:tcW w:w="30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8.23</w:t>
            </w:r>
          </w:p>
        </w:tc>
        <w:tc>
          <w:tcPr>
            <w:tcW w:w="0" w:type="dxa"/>
            <w:vAlign w:val="bottom"/>
          </w:tcPr>
          <w:p>
            <w:pPr>
              <w:spacing w:after="0"/>
              <w:rPr>
                <w:sz w:val="1"/>
                <w:szCs w:val="1"/>
                <w:color w:val="auto"/>
              </w:rPr>
            </w:pPr>
          </w:p>
        </w:tc>
      </w:tr>
      <w:tr>
        <w:trPr>
          <w:trHeight w:val="148"/>
        </w:trPr>
        <w:tc>
          <w:tcPr>
            <w:tcW w:w="560" w:type="dxa"/>
            <w:vAlign w:val="bottom"/>
          </w:tcPr>
          <w:p>
            <w:pPr>
              <w:spacing w:after="0"/>
              <w:rPr>
                <w:sz w:val="12"/>
                <w:szCs w:val="12"/>
                <w:color w:val="auto"/>
              </w:rPr>
            </w:pPr>
          </w:p>
        </w:tc>
        <w:tc>
          <w:tcPr>
            <w:tcW w:w="5120" w:type="dxa"/>
            <w:vAlign w:val="bottom"/>
          </w:tcPr>
          <w:p>
            <w:pPr>
              <w:spacing w:after="0" w:line="149" w:lineRule="exact"/>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12"/>
                <w:szCs w:val="12"/>
                <w:color w:val="auto"/>
              </w:rPr>
              <w:t>(8)</w:t>
            </w:r>
          </w:p>
        </w:tc>
        <w:tc>
          <w:tcPr>
            <w:tcW w:w="26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76"/>
              </w:rPr>
              <w:t>$</w:t>
            </w:r>
          </w:p>
        </w:tc>
        <w:tc>
          <w:tcPr>
            <w:tcW w:w="152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rPr>
              <w:t>2,412</w:t>
            </w:r>
          </w:p>
        </w:tc>
        <w:tc>
          <w:tcPr>
            <w:tcW w:w="300" w:type="dxa"/>
            <w:vAlign w:val="bottom"/>
          </w:tcPr>
          <w:p>
            <w:pPr>
              <w:jc w:val="right"/>
              <w:ind w:right="148"/>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2,422</w:t>
            </w:r>
          </w:p>
        </w:tc>
        <w:tc>
          <w:tcPr>
            <w:tcW w:w="0" w:type="dxa"/>
            <w:vAlign w:val="bottom"/>
          </w:tcPr>
          <w:p>
            <w:pPr>
              <w:spacing w:after="0"/>
              <w:rPr>
                <w:sz w:val="1"/>
                <w:szCs w:val="1"/>
                <w:color w:val="auto"/>
              </w:rPr>
            </w:pPr>
          </w:p>
        </w:tc>
      </w:tr>
      <w:tr>
        <w:trPr>
          <w:trHeight w:val="149"/>
        </w:trPr>
        <w:tc>
          <w:tcPr>
            <w:tcW w:w="560" w:type="dxa"/>
            <w:vAlign w:val="bottom"/>
          </w:tcPr>
          <w:p>
            <w:pPr>
              <w:spacing w:after="0"/>
              <w:rPr>
                <w:sz w:val="12"/>
                <w:szCs w:val="12"/>
                <w:color w:val="auto"/>
              </w:rPr>
            </w:pPr>
          </w:p>
        </w:tc>
        <w:tc>
          <w:tcPr>
            <w:tcW w:w="5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Portfolio turnover ratio</w:t>
            </w:r>
          </w:p>
        </w:tc>
        <w:tc>
          <w:tcPr>
            <w:tcW w:w="260" w:type="dxa"/>
            <w:vAlign w:val="bottom"/>
            <w:shd w:val="clear" w:color="auto" w:fill="CCEEFF"/>
          </w:tcPr>
          <w:p>
            <w:pPr>
              <w:spacing w:after="0"/>
              <w:rPr>
                <w:sz w:val="12"/>
                <w:szCs w:val="12"/>
                <w:color w:val="auto"/>
              </w:rPr>
            </w:pPr>
          </w:p>
        </w:tc>
        <w:tc>
          <w:tcPr>
            <w:tcW w:w="1520" w:type="dxa"/>
            <w:vAlign w:val="bottom"/>
            <w:gridSpan w:val="2"/>
            <w:shd w:val="clear" w:color="auto" w:fill="CCEEFF"/>
          </w:tcPr>
          <w:p>
            <w:pPr>
              <w:jc w:val="right"/>
              <w:ind w:right="420"/>
              <w:spacing w:after="0" w:line="149" w:lineRule="exact"/>
              <w:rPr>
                <w:sz w:val="20"/>
                <w:szCs w:val="20"/>
                <w:color w:val="auto"/>
              </w:rPr>
            </w:pPr>
            <w:r>
              <w:rPr>
                <w:rFonts w:ascii="Arial" w:cs="Arial" w:eastAsia="Arial" w:hAnsi="Arial"/>
                <w:sz w:val="14"/>
                <w:szCs w:val="14"/>
                <w:color w:val="auto"/>
              </w:rPr>
              <w:t>21.20%</w:t>
            </w:r>
          </w:p>
        </w:tc>
        <w:tc>
          <w:tcPr>
            <w:tcW w:w="3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34.28%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8516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851660" cy="8890"/>
                    </a:xfrm>
                    <a:prstGeom prst="rect">
                      <a:avLst/>
                    </a:prstGeom>
                    <a:noFill/>
                  </pic:spPr>
                </pic:pic>
              </a:graphicData>
            </a:graphic>
          </wp:anchor>
        </w:drawing>
      </w:r>
    </w:p>
    <w:p>
      <w:pPr>
        <w:spacing w:after="0" w:line="272" w:lineRule="exact"/>
        <w:rPr>
          <w:sz w:val="20"/>
          <w:szCs w:val="20"/>
          <w:color w:val="auto"/>
        </w:rPr>
      </w:pPr>
    </w:p>
    <w:p>
      <w:pPr>
        <w:ind w:right="8240" w:firstLine="8"/>
        <w:spacing w:after="0" w:line="303" w:lineRule="auto"/>
        <w:tabs>
          <w:tab w:leader="none" w:pos="324" w:val="left"/>
        </w:tabs>
        <w:numPr>
          <w:ilvl w:val="0"/>
          <w:numId w:val="9"/>
        </w:numPr>
        <w:rPr>
          <w:rFonts w:ascii="Arial" w:cs="Arial" w:eastAsia="Arial" w:hAnsi="Arial"/>
          <w:sz w:val="13"/>
          <w:szCs w:val="13"/>
          <w:color w:val="auto"/>
        </w:rPr>
      </w:pPr>
      <w:r>
        <w:rPr>
          <w:rFonts w:ascii="Arial" w:cs="Arial" w:eastAsia="Arial" w:hAnsi="Arial"/>
          <w:sz w:val="13"/>
          <w:szCs w:val="13"/>
          <w:color w:val="auto"/>
        </w:rPr>
        <w:t>Not annualized for periods less than one year. ** Annualized for periods less than one year.</w:t>
      </w:r>
    </w:p>
    <w:p>
      <w:pPr>
        <w:spacing w:after="0" w:line="1"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spacing w:after="0" w:line="28" w:lineRule="exact"/>
        <w:rPr>
          <w:rFonts w:ascii="Arial" w:cs="Arial" w:eastAsia="Arial" w:hAnsi="Arial"/>
          <w:sz w:val="12"/>
          <w:szCs w:val="12"/>
          <w:color w:val="auto"/>
        </w:rPr>
      </w:pPr>
    </w:p>
    <w:p>
      <w:pPr>
        <w:ind w:left="340" w:right="340" w:hanging="332"/>
        <w:spacing w:after="0" w:line="251" w:lineRule="auto"/>
        <w:tabs>
          <w:tab w:leader="none" w:pos="340" w:val="left"/>
        </w:tabs>
        <w:numPr>
          <w:ilvl w:val="0"/>
          <w:numId w:val="10"/>
        </w:numPr>
        <w:rPr>
          <w:rFonts w:ascii="Arial" w:cs="Arial" w:eastAsia="Arial" w:hAnsi="Arial"/>
          <w:sz w:val="12"/>
          <w:szCs w:val="12"/>
          <w:color w:val="auto"/>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ind w:left="340" w:hanging="332"/>
        <w:spacing w:after="0"/>
        <w:tabs>
          <w:tab w:leader="none" w:pos="340" w:val="left"/>
        </w:tabs>
        <w:numPr>
          <w:ilvl w:val="0"/>
          <w:numId w:val="10"/>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 and takes into account distributions, if any, reinvested in accordance with our dividend reinvestment plan.</w:t>
      </w:r>
    </w:p>
    <w:p>
      <w:pPr>
        <w:spacing w:after="0" w:line="28" w:lineRule="exact"/>
        <w:rPr>
          <w:rFonts w:ascii="Arial" w:cs="Arial" w:eastAsia="Arial" w:hAnsi="Arial"/>
          <w:sz w:val="12"/>
          <w:szCs w:val="12"/>
          <w:color w:val="auto"/>
        </w:rPr>
      </w:pPr>
    </w:p>
    <w:p>
      <w:pPr>
        <w:ind w:left="340" w:hanging="332"/>
        <w:spacing w:after="0"/>
        <w:tabs>
          <w:tab w:leader="none" w:pos="340" w:val="left"/>
        </w:tabs>
        <w:numPr>
          <w:ilvl w:val="0"/>
          <w:numId w:val="10"/>
        </w:numPr>
        <w:rPr>
          <w:rFonts w:ascii="Arial" w:cs="Arial" w:eastAsia="Arial" w:hAnsi="Arial"/>
          <w:sz w:val="12"/>
          <w:szCs w:val="12"/>
          <w:color w:val="auto"/>
        </w:rPr>
      </w:pPr>
      <w:r>
        <w:rPr>
          <w:rFonts w:ascii="Arial" w:cs="Arial" w:eastAsia="Arial" w:hAnsi="Arial"/>
          <w:sz w:val="14"/>
          <w:szCs w:val="14"/>
          <w:color w:val="auto"/>
        </w:rPr>
        <w:t>Excludes debt related costs.</w:t>
      </w:r>
    </w:p>
    <w:p>
      <w:pPr>
        <w:spacing w:after="0" w:line="28" w:lineRule="exact"/>
        <w:rPr>
          <w:rFonts w:ascii="Arial" w:cs="Arial" w:eastAsia="Arial" w:hAnsi="Arial"/>
          <w:sz w:val="12"/>
          <w:szCs w:val="12"/>
          <w:color w:val="auto"/>
        </w:rPr>
      </w:pPr>
    </w:p>
    <w:p>
      <w:pPr>
        <w:ind w:left="340" w:right="120" w:hanging="332"/>
        <w:spacing w:after="0" w:line="251" w:lineRule="auto"/>
        <w:tabs>
          <w:tab w:leader="none" w:pos="340" w:val="left"/>
        </w:tabs>
        <w:numPr>
          <w:ilvl w:val="0"/>
          <w:numId w:val="10"/>
        </w:numPr>
        <w:rPr>
          <w:rFonts w:ascii="Arial" w:cs="Arial" w:eastAsia="Arial" w:hAnsi="Arial"/>
          <w:sz w:val="12"/>
          <w:szCs w:val="12"/>
          <w:color w:val="auto"/>
        </w:rPr>
      </w:pPr>
      <w:r>
        <w:rPr>
          <w:rFonts w:ascii="Arial" w:cs="Arial" w:eastAsia="Arial" w:hAnsi="Arial"/>
          <w:sz w:val="14"/>
          <w:szCs w:val="14"/>
          <w:color w:val="auto"/>
        </w:rPr>
        <w:t>For the three months ended December 31, 2016 and 2015, the ratio of operating expenses before the waiver of Management Fees to average net assets was 7.18% and 7.07%, respectively, and the ratio of total expenses before the waiver of Management Fees to average net assets was 11.33% and 10.91%, respectively.</w:t>
      </w:r>
    </w:p>
    <w:p>
      <w:pPr>
        <w:ind w:left="340" w:hanging="332"/>
        <w:spacing w:after="0"/>
        <w:tabs>
          <w:tab w:leader="none" w:pos="340" w:val="left"/>
        </w:tabs>
        <w:numPr>
          <w:ilvl w:val="0"/>
          <w:numId w:val="10"/>
        </w:numPr>
        <w:rPr>
          <w:rFonts w:ascii="Arial" w:cs="Arial" w:eastAsia="Arial" w:hAnsi="Arial"/>
          <w:sz w:val="12"/>
          <w:szCs w:val="12"/>
          <w:color w:val="auto"/>
        </w:rPr>
      </w:pPr>
      <w:r>
        <w:rPr>
          <w:rFonts w:ascii="Arial" w:cs="Arial" w:eastAsia="Arial" w:hAnsi="Arial"/>
          <w:sz w:val="14"/>
          <w:szCs w:val="14"/>
          <w:color w:val="auto"/>
        </w:rPr>
        <w:t>Does not annualize provision for taxes.</w:t>
      </w:r>
    </w:p>
    <w:p>
      <w:pPr>
        <w:spacing w:after="0" w:line="28" w:lineRule="exact"/>
        <w:rPr>
          <w:rFonts w:ascii="Arial" w:cs="Arial" w:eastAsia="Arial" w:hAnsi="Arial"/>
          <w:sz w:val="12"/>
          <w:szCs w:val="12"/>
          <w:color w:val="auto"/>
        </w:rPr>
      </w:pPr>
    </w:p>
    <w:p>
      <w:pPr>
        <w:ind w:left="340" w:hanging="332"/>
        <w:spacing w:after="0"/>
        <w:tabs>
          <w:tab w:leader="none" w:pos="340" w:val="left"/>
        </w:tabs>
        <w:numPr>
          <w:ilvl w:val="0"/>
          <w:numId w:val="10"/>
        </w:numPr>
        <w:rPr>
          <w:rFonts w:ascii="Arial" w:cs="Arial" w:eastAsia="Arial" w:hAnsi="Arial"/>
          <w:sz w:val="12"/>
          <w:szCs w:val="12"/>
          <w:color w:val="auto"/>
        </w:rPr>
      </w:pPr>
      <w:r>
        <w:rPr>
          <w:rFonts w:ascii="Arial" w:cs="Arial" w:eastAsia="Arial" w:hAnsi="Arial"/>
          <w:sz w:val="14"/>
          <w:szCs w:val="14"/>
          <w:color w:val="auto"/>
        </w:rPr>
        <w:t>Includes SBA debentures outstanding.</w:t>
      </w:r>
    </w:p>
    <w:p>
      <w:pPr>
        <w:spacing w:after="0" w:line="28" w:lineRule="exact"/>
        <w:rPr>
          <w:rFonts w:ascii="Arial" w:cs="Arial" w:eastAsia="Arial" w:hAnsi="Arial"/>
          <w:sz w:val="12"/>
          <w:szCs w:val="12"/>
          <w:color w:val="auto"/>
        </w:rPr>
      </w:pPr>
    </w:p>
    <w:p>
      <w:pPr>
        <w:ind w:left="340" w:hanging="332"/>
        <w:spacing w:after="0" w:line="238" w:lineRule="auto"/>
        <w:tabs>
          <w:tab w:leader="none" w:pos="340" w:val="left"/>
        </w:tabs>
        <w:numPr>
          <w:ilvl w:val="0"/>
          <w:numId w:val="10"/>
        </w:numPr>
        <w:rPr>
          <w:rFonts w:ascii="Arial" w:cs="Arial" w:eastAsia="Arial" w:hAnsi="Arial"/>
          <w:sz w:val="12"/>
          <w:szCs w:val="12"/>
          <w:color w:val="auto"/>
        </w:rPr>
      </w:pPr>
      <w:r>
        <w:rPr>
          <w:rFonts w:ascii="Arial" w:cs="Arial" w:eastAsia="Arial" w:hAnsi="Arial"/>
          <w:sz w:val="14"/>
          <w:szCs w:val="14"/>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This asset coverage ratio is multiplied by $1,000 to determine the asset coverage per unit. These amounts exclude SBA debentures from our asset coverage per unit computation pursuant to an exemptive relief letter provided by the SEC in June 2011.</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DEBT</w:t>
      </w:r>
    </w:p>
    <w:p>
      <w:pPr>
        <w:spacing w:after="0" w:line="100" w:lineRule="exact"/>
        <w:rPr>
          <w:sz w:val="20"/>
          <w:szCs w:val="20"/>
          <w:color w:val="auto"/>
        </w:rPr>
      </w:pPr>
    </w:p>
    <w:p>
      <w:pPr>
        <w:ind w:right="80" w:firstLine="562"/>
        <w:spacing w:after="0" w:line="233" w:lineRule="auto"/>
        <w:rPr>
          <w:sz w:val="20"/>
          <w:szCs w:val="20"/>
          <w:color w:val="auto"/>
        </w:rPr>
      </w:pPr>
      <w:r>
        <w:rPr>
          <w:rFonts w:ascii="Arial" w:cs="Arial" w:eastAsia="Arial" w:hAnsi="Arial"/>
          <w:sz w:val="14"/>
          <w:szCs w:val="14"/>
          <w:color w:val="auto"/>
        </w:rPr>
        <w:t>Our annualized weighted average cost of debt for the three months ended December 31, 2016 and 2015, inclusive of the fee on the undrawn commitment on the Credit Facility and amortized upfront fees on SBA debentures but excluding debt issuance costs, was 4.51% and 4.50%, respectively. In accordance with the 1940 Act, with certain limited exceptions, we are only allowed to borrow amounts such that we are in compliance with our asset coverage ratio after such borrowing, excluding SBA debentures, pursuant to exemptive relief from the SEC received in June 2011.</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Facility</w:t>
      </w:r>
    </w:p>
    <w:p>
      <w:pPr>
        <w:spacing w:after="0" w:line="96" w:lineRule="exact"/>
        <w:rPr>
          <w:sz w:val="20"/>
          <w:szCs w:val="20"/>
          <w:color w:val="auto"/>
        </w:rPr>
      </w:pPr>
    </w:p>
    <w:p>
      <w:pPr>
        <w:ind w:right="40" w:firstLine="562"/>
        <w:spacing w:after="0" w:line="251" w:lineRule="auto"/>
        <w:rPr>
          <w:sz w:val="20"/>
          <w:szCs w:val="20"/>
          <w:color w:val="auto"/>
        </w:rPr>
      </w:pPr>
      <w:r>
        <w:rPr>
          <w:rFonts w:ascii="Arial" w:cs="Arial" w:eastAsia="Arial" w:hAnsi="Arial"/>
          <w:sz w:val="13"/>
          <w:szCs w:val="13"/>
          <w:color w:val="auto"/>
        </w:rPr>
        <w:t>As of December 31, 2016, we had a $545 million multi-currency Credit Facility with certain lenders and SunTrust Bank, acting as administrative agent, and JPMorgan Chase Bank, N.A., acting as syndication agent for the lenders. As of December 31, 2016 and September 30, 2016, there was $148.1 million and $50.3 million, respectively, in outstanding borrowings under the Credit Facility. The Credit Facility had a weighted average interest rate of 2.63% and 2.76%, as of December 31, 2016 and September 30, 2016, respectively, excluding the undrawn commitments fees of 0.375%. The Credit Facility is a five-year revolving facility with a stated maturity date of June 25, 2019, a one-year term-out period following its fourth year and pricing set at 225 basis points over LIBOR. The Credit Facility is secured by substantially all of our assets excluding assets held by our SBIC Funds.</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22</w:t>
      </w:r>
    </w:p>
    <w:p>
      <w:pPr>
        <w:sectPr>
          <w:pgSz w:w="11900" w:h="16838" w:orient="portrait"/>
          <w:cols w:equalWidth="0" w:num="1">
            <w:col w:w="11200"/>
          </w:cols>
          <w:pgMar w:left="320" w:top="459" w:right="3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19"/>
        <w:spacing w:after="0" w:line="221" w:lineRule="auto"/>
        <w:rPr>
          <w:sz w:val="20"/>
          <w:szCs w:val="20"/>
          <w:color w:val="auto"/>
        </w:rPr>
      </w:pPr>
      <w:r>
        <w:rPr>
          <w:rFonts w:ascii="Arial" w:cs="Arial" w:eastAsia="Arial" w:hAnsi="Arial"/>
          <w:sz w:val="14"/>
          <w:szCs w:val="14"/>
          <w:b w:val="1"/>
          <w:bCs w:val="1"/>
          <w:color w:val="auto"/>
        </w:rPr>
        <w:t>DECEMBER 31, 2016</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(Unaudited)</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SBA Debentures</w:t>
      </w:r>
    </w:p>
    <w:p>
      <w:pPr>
        <w:spacing w:after="0" w:line="96" w:lineRule="exact"/>
        <w:rPr>
          <w:sz w:val="20"/>
          <w:szCs w:val="20"/>
          <w:color w:val="auto"/>
        </w:rPr>
      </w:pPr>
    </w:p>
    <w:p>
      <w:pPr>
        <w:ind w:right="140" w:firstLine="562"/>
        <w:spacing w:after="0" w:line="248" w:lineRule="auto"/>
        <w:rPr>
          <w:sz w:val="20"/>
          <w:szCs w:val="20"/>
          <w:color w:val="auto"/>
        </w:rPr>
      </w:pPr>
      <w:r>
        <w:rPr>
          <w:rFonts w:ascii="Arial" w:cs="Arial" w:eastAsia="Arial" w:hAnsi="Arial"/>
          <w:sz w:val="13"/>
          <w:szCs w:val="13"/>
          <w:color w:val="auto"/>
        </w:rPr>
        <w:t>Our SBIC Funds are able to borrow funds from the SBA against regulatory capital (which approximates equity capital) that is paid-in and is subject to customary regulatory requirements including an examination by the SBA. We have funded SBIC I with $75.0 million of equity capital and it had SBA debentures outstanding of $150.0 million as of December 31, 2016. We have funded SBIC II with $52.5 million of equity capital, and it had SBA debentures outstanding of $47.5 million and commitments from the SBA for another $27.5 million of debentures.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$150.0 million, which is up to twice its potential regulatory capital, and as part of a group of SBICs under common control may borrow a maximum of $350.0 million in the aggregate.</w:t>
      </w:r>
    </w:p>
    <w:p>
      <w:pPr>
        <w:spacing w:after="0" w:line="72" w:lineRule="exact"/>
        <w:rPr>
          <w:sz w:val="20"/>
          <w:szCs w:val="20"/>
          <w:color w:val="auto"/>
        </w:rPr>
      </w:pPr>
    </w:p>
    <w:p>
      <w:pPr>
        <w:ind w:right="60" w:firstLine="562"/>
        <w:spacing w:after="0" w:line="238" w:lineRule="auto"/>
        <w:rPr>
          <w:sz w:val="20"/>
          <w:szCs w:val="20"/>
          <w:color w:val="auto"/>
        </w:rPr>
      </w:pPr>
      <w:r>
        <w:rPr>
          <w:rFonts w:ascii="Arial" w:cs="Arial" w:eastAsia="Arial" w:hAnsi="Arial"/>
          <w:sz w:val="14"/>
          <w:szCs w:val="14"/>
          <w:color w:val="auto"/>
        </w:rPr>
        <w:t>As of December 31, 2016 and September 30, 2016, our SBIC Funds had $225.0 million in debt commitments, of which $197.5 million was drawn, respectively. As of December 31, 2016 and September 30, 2016, the unamortized fees on the SBA debentures was $4.1 million and $4.3 million, respectively. The SBA debentures’ upfront fees of 3.43% consist of a commitment fee of 1.00% and an issuance discount of 2.43%, which are being amortized.</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fixed-rate SBA debentures as of December 31, 2016 and September 30, 2016 were as follows:</w:t>
      </w:r>
    </w:p>
    <w:p>
      <w:pPr>
        <w:spacing w:after="0" w:line="21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860" w:type="dxa"/>
            <w:vAlign w:val="bottom"/>
            <w:vMerge w:val="restart"/>
          </w:tcPr>
          <w:p>
            <w:pPr>
              <w:ind w:left="980"/>
              <w:spacing w:after="0"/>
              <w:rPr>
                <w:sz w:val="20"/>
                <w:szCs w:val="20"/>
                <w:color w:val="auto"/>
              </w:rPr>
            </w:pPr>
            <w:r>
              <w:rPr>
                <w:rFonts w:ascii="Arial" w:cs="Arial" w:eastAsia="Arial" w:hAnsi="Arial"/>
                <w:sz w:val="14"/>
                <w:szCs w:val="14"/>
                <w:b w:val="1"/>
                <w:bCs w:val="1"/>
                <w:color w:val="auto"/>
              </w:rPr>
              <w:t>Issuance Dates</w:t>
            </w:r>
          </w:p>
        </w:tc>
        <w:tc>
          <w:tcPr>
            <w:tcW w:w="620" w:type="dxa"/>
            <w:vAlign w:val="bottom"/>
          </w:tcPr>
          <w:p>
            <w:pPr>
              <w:spacing w:after="0"/>
              <w:rPr>
                <w:sz w:val="14"/>
                <w:szCs w:val="14"/>
                <w:color w:val="auto"/>
              </w:rPr>
            </w:pPr>
          </w:p>
        </w:tc>
        <w:tc>
          <w:tcPr>
            <w:tcW w:w="178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Maturity</w:t>
            </w:r>
          </w:p>
        </w:tc>
        <w:tc>
          <w:tcPr>
            <w:tcW w:w="640" w:type="dxa"/>
            <w:vAlign w:val="bottom"/>
            <w:vMerge w:val="restart"/>
          </w:tcPr>
          <w:p>
            <w:pPr>
              <w:spacing w:after="0"/>
              <w:rPr>
                <w:sz w:val="14"/>
                <w:szCs w:val="14"/>
                <w:color w:val="auto"/>
              </w:rPr>
            </w:pPr>
          </w:p>
        </w:tc>
        <w:tc>
          <w:tcPr>
            <w:tcW w:w="2200" w:type="dxa"/>
            <w:vAlign w:val="bottom"/>
            <w:gridSpan w:val="2"/>
          </w:tcPr>
          <w:p>
            <w:pPr>
              <w:ind w:left="500"/>
              <w:spacing w:after="0"/>
              <w:rPr>
                <w:sz w:val="20"/>
                <w:szCs w:val="20"/>
                <w:color w:val="auto"/>
              </w:rPr>
            </w:pPr>
            <w:r>
              <w:rPr>
                <w:rFonts w:ascii="Arial" w:cs="Arial" w:eastAsia="Arial" w:hAnsi="Arial"/>
                <w:sz w:val="14"/>
                <w:szCs w:val="14"/>
                <w:b w:val="1"/>
                <w:bCs w:val="1"/>
                <w:color w:val="auto"/>
              </w:rPr>
              <w:t>Fixed All-in</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2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Principal Balance</w:t>
            </w:r>
          </w:p>
        </w:tc>
        <w:tc>
          <w:tcPr>
            <w:tcW w:w="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60" w:type="dxa"/>
            <w:vAlign w:val="bottom"/>
            <w:tcBorders>
              <w:bottom w:val="single" w:sz="8" w:color="auto"/>
            </w:tcBorders>
            <w:vMerge w:val="continue"/>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178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CCEEFF"/>
            </w:tcBorders>
            <w:vMerge w:val="continue"/>
          </w:tcPr>
          <w:p>
            <w:pPr>
              <w:spacing w:after="0"/>
              <w:rPr>
                <w:sz w:val="14"/>
                <w:szCs w:val="14"/>
                <w:color w:val="auto"/>
              </w:rPr>
            </w:pPr>
          </w:p>
        </w:tc>
        <w:tc>
          <w:tcPr>
            <w:tcW w:w="176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 xml:space="preserve">coupon rate </w:t>
            </w:r>
            <w:r>
              <w:rPr>
                <w:rFonts w:ascii="Arial" w:cs="Arial" w:eastAsia="Arial" w:hAnsi="Arial"/>
                <w:sz w:val="12"/>
                <w:szCs w:val="12"/>
                <w:b w:val="1"/>
                <w:bCs w:val="1"/>
                <w:color w:val="auto"/>
              </w:rPr>
              <w:t>(1)</w:t>
            </w:r>
          </w:p>
        </w:tc>
        <w:tc>
          <w:tcPr>
            <w:tcW w:w="44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86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September 22, 2010</w:t>
            </w:r>
          </w:p>
        </w:tc>
        <w:tc>
          <w:tcPr>
            <w:tcW w:w="62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20"/>
                <w:szCs w:val="20"/>
                <w:color w:val="auto"/>
              </w:rPr>
            </w:pPr>
            <w:r>
              <w:rPr>
                <w:rFonts w:ascii="Arial" w:cs="Arial" w:eastAsia="Arial" w:hAnsi="Arial"/>
                <w:sz w:val="14"/>
                <w:szCs w:val="14"/>
                <w:color w:val="auto"/>
              </w:rPr>
              <w:t>September 1, 2020</w:t>
            </w:r>
          </w:p>
        </w:tc>
        <w:tc>
          <w:tcPr>
            <w:tcW w:w="640" w:type="dxa"/>
            <w:vAlign w:val="bottom"/>
            <w:shd w:val="clear" w:color="auto" w:fill="CCEEFF"/>
          </w:tcPr>
          <w:p>
            <w:pPr>
              <w:spacing w:after="0"/>
              <w:rPr>
                <w:sz w:val="15"/>
                <w:szCs w:val="15"/>
                <w:color w:val="auto"/>
              </w:rPr>
            </w:pPr>
          </w:p>
        </w:tc>
        <w:tc>
          <w:tcPr>
            <w:tcW w:w="2200" w:type="dxa"/>
            <w:vAlign w:val="bottom"/>
            <w:gridSpan w:val="2"/>
            <w:vMerge w:val="restart"/>
            <w:shd w:val="clear" w:color="auto" w:fill="CCEEFF"/>
          </w:tcPr>
          <w:p>
            <w:pPr>
              <w:ind w:left="1500"/>
              <w:spacing w:after="0"/>
              <w:rPr>
                <w:sz w:val="20"/>
                <w:szCs w:val="20"/>
                <w:color w:val="auto"/>
              </w:rPr>
            </w:pPr>
            <w:r>
              <w:rPr>
                <w:rFonts w:ascii="Arial" w:cs="Arial" w:eastAsia="Arial" w:hAnsi="Arial"/>
                <w:sz w:val="14"/>
                <w:szCs w:val="14"/>
                <w:color w:val="auto"/>
              </w:rPr>
              <w:t>3.50%</w:t>
            </w:r>
          </w:p>
        </w:tc>
        <w:tc>
          <w:tcPr>
            <w:tcW w:w="540" w:type="dxa"/>
            <w:vAlign w:val="bottom"/>
            <w:gridSpan w:val="2"/>
            <w:vMerge w:val="restart"/>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500,000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2860" w:type="dxa"/>
            <w:vAlign w:val="bottom"/>
            <w:vMerge w:val="continue"/>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7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2200" w:type="dxa"/>
            <w:vAlign w:val="bottom"/>
            <w:gridSpan w:val="2"/>
            <w:vMerge w:val="continue"/>
            <w:shd w:val="clear" w:color="auto" w:fill="CCEEFF"/>
          </w:tcPr>
          <w:p>
            <w:pPr>
              <w:spacing w:after="0"/>
              <w:rPr>
                <w:sz w:val="9"/>
                <w:szCs w:val="9"/>
                <w:color w:val="auto"/>
              </w:rPr>
            </w:pPr>
          </w:p>
        </w:tc>
        <w:tc>
          <w:tcPr>
            <w:tcW w:w="540" w:type="dxa"/>
            <w:vAlign w:val="bottom"/>
            <w:gridSpan w:val="2"/>
            <w:vMerge w:val="continue"/>
            <w:shd w:val="clear" w:color="auto" w:fill="CCEEFF"/>
          </w:tcPr>
          <w:p>
            <w:pPr>
              <w:spacing w:after="0"/>
              <w:rPr>
                <w:sz w:val="9"/>
                <w:szCs w:val="9"/>
                <w:color w:val="auto"/>
              </w:rPr>
            </w:pPr>
          </w:p>
        </w:tc>
        <w:tc>
          <w:tcPr>
            <w:tcW w:w="162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line="149" w:lineRule="exact"/>
              <w:rPr>
                <w:sz w:val="20"/>
                <w:szCs w:val="20"/>
                <w:color w:val="auto"/>
              </w:rPr>
            </w:pPr>
            <w:r>
              <w:rPr>
                <w:rFonts w:ascii="Arial" w:cs="Arial" w:eastAsia="Arial" w:hAnsi="Arial"/>
                <w:sz w:val="14"/>
                <w:szCs w:val="14"/>
                <w:color w:val="auto"/>
              </w:rPr>
              <w:t>March 29, 2011</w:t>
            </w:r>
          </w:p>
        </w:tc>
        <w:tc>
          <w:tcPr>
            <w:tcW w:w="3040" w:type="dxa"/>
            <w:vAlign w:val="bottom"/>
            <w:gridSpan w:val="3"/>
          </w:tcPr>
          <w:p>
            <w:pPr>
              <w:ind w:left="620"/>
              <w:spacing w:after="0" w:line="149" w:lineRule="exact"/>
              <w:rPr>
                <w:sz w:val="20"/>
                <w:szCs w:val="20"/>
                <w:color w:val="auto"/>
              </w:rPr>
            </w:pPr>
            <w:r>
              <w:rPr>
                <w:rFonts w:ascii="Arial" w:cs="Arial" w:eastAsia="Arial" w:hAnsi="Arial"/>
                <w:sz w:val="14"/>
                <w:szCs w:val="14"/>
                <w:color w:val="auto"/>
              </w:rPr>
              <w:t>March 1, 2021</w:t>
            </w:r>
          </w:p>
        </w:tc>
        <w:tc>
          <w:tcPr>
            <w:tcW w:w="1760" w:type="dxa"/>
            <w:vAlign w:val="bottom"/>
          </w:tcPr>
          <w:p>
            <w:pPr>
              <w:ind w:left="1500"/>
              <w:spacing w:after="0" w:line="149" w:lineRule="exact"/>
              <w:rPr>
                <w:sz w:val="20"/>
                <w:szCs w:val="20"/>
                <w:color w:val="auto"/>
              </w:rPr>
            </w:pPr>
            <w:r>
              <w:rPr>
                <w:rFonts w:ascii="Arial" w:cs="Arial" w:eastAsia="Arial" w:hAnsi="Arial"/>
                <w:sz w:val="14"/>
                <w:szCs w:val="14"/>
                <w:color w:val="auto"/>
                <w:w w:val="87"/>
              </w:rPr>
              <w:t>4.46</w:t>
            </w: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jc w:val="right"/>
              <w:spacing w:after="0" w:line="149" w:lineRule="exact"/>
              <w:rPr>
                <w:sz w:val="20"/>
                <w:szCs w:val="20"/>
                <w:color w:val="auto"/>
              </w:rPr>
            </w:pPr>
            <w:r>
              <w:rPr>
                <w:rFonts w:ascii="Arial" w:cs="Arial" w:eastAsia="Arial" w:hAnsi="Arial"/>
                <w:sz w:val="14"/>
                <w:szCs w:val="14"/>
                <w:color w:val="auto"/>
              </w:rPr>
              <w:t>44,500,000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September 21, 2011</w:t>
            </w:r>
          </w:p>
        </w:tc>
        <w:tc>
          <w:tcPr>
            <w:tcW w:w="3040" w:type="dxa"/>
            <w:vAlign w:val="bottom"/>
            <w:gridSpan w:val="3"/>
            <w:shd w:val="clear" w:color="auto" w:fill="CCEEFF"/>
          </w:tcPr>
          <w:p>
            <w:pPr>
              <w:ind w:left="620"/>
              <w:spacing w:after="0" w:line="149" w:lineRule="exact"/>
              <w:rPr>
                <w:sz w:val="20"/>
                <w:szCs w:val="20"/>
                <w:color w:val="auto"/>
              </w:rPr>
            </w:pPr>
            <w:r>
              <w:rPr>
                <w:rFonts w:ascii="Arial" w:cs="Arial" w:eastAsia="Arial" w:hAnsi="Arial"/>
                <w:sz w:val="14"/>
                <w:szCs w:val="14"/>
                <w:color w:val="auto"/>
              </w:rPr>
              <w:t>September 1, 2021</w:t>
            </w:r>
          </w:p>
        </w:tc>
        <w:tc>
          <w:tcPr>
            <w:tcW w:w="1760" w:type="dxa"/>
            <w:vAlign w:val="bottom"/>
            <w:shd w:val="clear" w:color="auto" w:fill="CCEEFF"/>
          </w:tcPr>
          <w:p>
            <w:pPr>
              <w:ind w:left="1500"/>
              <w:spacing w:after="0" w:line="149" w:lineRule="exact"/>
              <w:rPr>
                <w:sz w:val="20"/>
                <w:szCs w:val="20"/>
                <w:color w:val="auto"/>
              </w:rPr>
            </w:pPr>
            <w:r>
              <w:rPr>
                <w:rFonts w:ascii="Arial" w:cs="Arial" w:eastAsia="Arial" w:hAnsi="Arial"/>
                <w:sz w:val="14"/>
                <w:szCs w:val="14"/>
                <w:color w:val="auto"/>
                <w:w w:val="87"/>
              </w:rPr>
              <w:t>3.38</w:t>
            </w: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105,000,000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line="149" w:lineRule="exact"/>
              <w:rPr>
                <w:sz w:val="20"/>
                <w:szCs w:val="20"/>
                <w:color w:val="auto"/>
              </w:rPr>
            </w:pPr>
            <w:r>
              <w:rPr>
                <w:rFonts w:ascii="Arial" w:cs="Arial" w:eastAsia="Arial" w:hAnsi="Arial"/>
                <w:sz w:val="14"/>
                <w:szCs w:val="14"/>
                <w:color w:val="auto"/>
              </w:rPr>
              <w:t>March 23, 2016</w:t>
            </w:r>
          </w:p>
        </w:tc>
        <w:tc>
          <w:tcPr>
            <w:tcW w:w="3040" w:type="dxa"/>
            <w:vAlign w:val="bottom"/>
            <w:gridSpan w:val="3"/>
          </w:tcPr>
          <w:p>
            <w:pPr>
              <w:ind w:left="620"/>
              <w:spacing w:after="0" w:line="149" w:lineRule="exact"/>
              <w:rPr>
                <w:sz w:val="20"/>
                <w:szCs w:val="20"/>
                <w:color w:val="auto"/>
              </w:rPr>
            </w:pPr>
            <w:r>
              <w:rPr>
                <w:rFonts w:ascii="Arial" w:cs="Arial" w:eastAsia="Arial" w:hAnsi="Arial"/>
                <w:sz w:val="14"/>
                <w:szCs w:val="14"/>
                <w:color w:val="auto"/>
              </w:rPr>
              <w:t>March 1, 2026</w:t>
            </w:r>
          </w:p>
        </w:tc>
        <w:tc>
          <w:tcPr>
            <w:tcW w:w="1760" w:type="dxa"/>
            <w:vAlign w:val="bottom"/>
          </w:tcPr>
          <w:p>
            <w:pPr>
              <w:ind w:left="1500"/>
              <w:spacing w:after="0" w:line="149" w:lineRule="exact"/>
              <w:rPr>
                <w:sz w:val="20"/>
                <w:szCs w:val="20"/>
                <w:color w:val="auto"/>
              </w:rPr>
            </w:pPr>
            <w:r>
              <w:rPr>
                <w:rFonts w:ascii="Arial" w:cs="Arial" w:eastAsia="Arial" w:hAnsi="Arial"/>
                <w:sz w:val="14"/>
                <w:szCs w:val="14"/>
                <w:color w:val="auto"/>
                <w:w w:val="87"/>
              </w:rPr>
              <w:t>2.86</w:t>
            </w: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20" w:type="dxa"/>
            <w:vAlign w:val="bottom"/>
          </w:tcPr>
          <w:p>
            <w:pPr>
              <w:jc w:val="right"/>
              <w:spacing w:after="0" w:line="149" w:lineRule="exact"/>
              <w:rPr>
                <w:sz w:val="20"/>
                <w:szCs w:val="20"/>
                <w:color w:val="auto"/>
              </w:rPr>
            </w:pPr>
            <w:r>
              <w:rPr>
                <w:rFonts w:ascii="Arial" w:cs="Arial" w:eastAsia="Arial" w:hAnsi="Arial"/>
                <w:sz w:val="14"/>
                <w:szCs w:val="14"/>
                <w:color w:val="auto"/>
              </w:rPr>
              <w:t>22,500,000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September 21, 2016</w:t>
            </w:r>
          </w:p>
        </w:tc>
        <w:tc>
          <w:tcPr>
            <w:tcW w:w="3040" w:type="dxa"/>
            <w:vAlign w:val="bottom"/>
            <w:gridSpan w:val="3"/>
            <w:shd w:val="clear" w:color="auto" w:fill="CCEEFF"/>
          </w:tcPr>
          <w:p>
            <w:pPr>
              <w:ind w:left="620"/>
              <w:spacing w:after="0" w:line="149" w:lineRule="exact"/>
              <w:rPr>
                <w:sz w:val="20"/>
                <w:szCs w:val="20"/>
                <w:color w:val="auto"/>
              </w:rPr>
            </w:pPr>
            <w:r>
              <w:rPr>
                <w:rFonts w:ascii="Arial" w:cs="Arial" w:eastAsia="Arial" w:hAnsi="Arial"/>
                <w:sz w:val="14"/>
                <w:szCs w:val="14"/>
                <w:color w:val="auto"/>
              </w:rPr>
              <w:t>September 1, 2026</w:t>
            </w:r>
          </w:p>
        </w:tc>
        <w:tc>
          <w:tcPr>
            <w:tcW w:w="1760" w:type="dxa"/>
            <w:vAlign w:val="bottom"/>
            <w:tcBorders>
              <w:bottom w:val="single" w:sz="8" w:color="auto"/>
            </w:tcBorders>
            <w:shd w:val="clear" w:color="auto" w:fill="CCEEFF"/>
          </w:tcPr>
          <w:p>
            <w:pPr>
              <w:ind w:left="1500"/>
              <w:spacing w:after="0" w:line="149" w:lineRule="exact"/>
              <w:rPr>
                <w:sz w:val="20"/>
                <w:szCs w:val="20"/>
                <w:color w:val="auto"/>
              </w:rPr>
            </w:pPr>
            <w:r>
              <w:rPr>
                <w:rFonts w:ascii="Arial" w:cs="Arial" w:eastAsia="Arial" w:hAnsi="Arial"/>
                <w:sz w:val="14"/>
                <w:szCs w:val="14"/>
                <w:color w:val="auto"/>
                <w:w w:val="87"/>
              </w:rPr>
              <w:t>2.41</w:t>
            </w:r>
          </w:p>
        </w:tc>
        <w:tc>
          <w:tcPr>
            <w:tcW w:w="4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1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860" w:type="dxa"/>
            <w:vAlign w:val="bottom"/>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6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0" w:type="dxa"/>
            <w:vAlign w:val="bottom"/>
            <w:gridSpan w:val="2"/>
          </w:tcPr>
          <w:p>
            <w:pPr>
              <w:ind w:left="1500"/>
              <w:spacing w:after="0" w:line="155" w:lineRule="exact"/>
              <w:rPr>
                <w:sz w:val="20"/>
                <w:szCs w:val="20"/>
                <w:color w:val="auto"/>
              </w:rPr>
            </w:pPr>
            <w:r>
              <w:rPr>
                <w:rFonts w:ascii="Arial" w:cs="Arial" w:eastAsia="Arial" w:hAnsi="Arial"/>
                <w:sz w:val="14"/>
                <w:szCs w:val="14"/>
                <w:color w:val="auto"/>
              </w:rPr>
              <w:t>3.44%</w:t>
            </w:r>
          </w:p>
        </w:tc>
        <w:tc>
          <w:tcPr>
            <w:tcW w:w="340" w:type="dxa"/>
            <w:vAlign w:val="bottom"/>
          </w:tcPr>
          <w:p>
            <w:pPr>
              <w:spacing w:after="0"/>
              <w:rPr>
                <w:sz w:val="13"/>
                <w:szCs w:val="13"/>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620" w:type="dxa"/>
            <w:vAlign w:val="bottom"/>
          </w:tcPr>
          <w:p>
            <w:pPr>
              <w:jc w:val="right"/>
              <w:spacing w:after="0" w:line="155" w:lineRule="exact"/>
              <w:rPr>
                <w:sz w:val="20"/>
                <w:szCs w:val="20"/>
                <w:color w:val="auto"/>
              </w:rPr>
            </w:pPr>
            <w:r>
              <w:rPr>
                <w:rFonts w:ascii="Arial" w:cs="Arial" w:eastAsia="Arial" w:hAnsi="Arial"/>
                <w:sz w:val="14"/>
                <w:szCs w:val="14"/>
                <w:color w:val="auto"/>
              </w:rPr>
              <w:t>197,500,000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94615</wp:posOffset>
            </wp:positionV>
            <wp:extent cx="18599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59915" cy="8255"/>
                    </a:xfrm>
                    <a:prstGeom prst="rect">
                      <a:avLst/>
                    </a:prstGeom>
                    <a:noFill/>
                  </pic:spPr>
                </pic:pic>
              </a:graphicData>
            </a:graphic>
          </wp:anchor>
        </w:drawing>
      </w:r>
    </w:p>
    <w:p>
      <w:pPr>
        <w:spacing w:after="0" w:line="164" w:lineRule="exact"/>
        <w:rPr>
          <w:sz w:val="20"/>
          <w:szCs w:val="20"/>
          <w:color w:val="auto"/>
        </w:rPr>
      </w:pPr>
    </w:p>
    <w:p>
      <w:pPr>
        <w:ind w:left="880" w:hanging="319"/>
        <w:spacing w:after="0"/>
        <w:tabs>
          <w:tab w:leader="none" w:pos="880" w:val="left"/>
        </w:tabs>
        <w:numPr>
          <w:ilvl w:val="0"/>
          <w:numId w:val="11"/>
        </w:numPr>
        <w:rPr>
          <w:rFonts w:ascii="Arial" w:cs="Arial" w:eastAsia="Arial" w:hAnsi="Arial"/>
          <w:sz w:val="12"/>
          <w:szCs w:val="12"/>
          <w:color w:val="auto"/>
        </w:rPr>
      </w:pPr>
      <w:r>
        <w:rPr>
          <w:rFonts w:ascii="Arial" w:cs="Arial" w:eastAsia="Arial" w:hAnsi="Arial"/>
          <w:sz w:val="14"/>
          <w:szCs w:val="14"/>
          <w:color w:val="auto"/>
        </w:rPr>
        <w:t>Excludes 3.43% of upfront fees.</w:t>
      </w:r>
    </w:p>
    <w:p>
      <w:pPr>
        <w:spacing w:after="0" w:line="96"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December 31, 2016, our SBIC Funds were in compliance with their regulatory requirements.</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2019 Notes</w:t>
      </w:r>
    </w:p>
    <w:p>
      <w:pPr>
        <w:spacing w:after="0" w:line="96" w:lineRule="exact"/>
        <w:rPr>
          <w:sz w:val="20"/>
          <w:szCs w:val="20"/>
          <w:color w:val="auto"/>
        </w:rPr>
      </w:pPr>
    </w:p>
    <w:p>
      <w:pPr>
        <w:ind w:right="20" w:firstLine="562"/>
        <w:spacing w:after="0" w:line="264" w:lineRule="auto"/>
        <w:rPr>
          <w:sz w:val="20"/>
          <w:szCs w:val="20"/>
          <w:color w:val="auto"/>
        </w:rPr>
      </w:pPr>
      <w:r>
        <w:rPr>
          <w:rFonts w:ascii="Arial" w:cs="Arial" w:eastAsia="Arial" w:hAnsi="Arial"/>
          <w:sz w:val="13"/>
          <w:szCs w:val="13"/>
          <w:color w:val="auto"/>
        </w:rPr>
        <w:t>As of December 31, 2016 and September 30, 2016, we had $250.0 million in aggregate principal amount of 2019 Notes outstanding. Interest on the 2019 Notes is paid semi-annually on April 1 and October 1, at a rate of 4.50% per year.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2025 Notes</w:t>
      </w:r>
    </w:p>
    <w:p>
      <w:pPr>
        <w:spacing w:after="0" w:line="96" w:lineRule="exact"/>
        <w:rPr>
          <w:sz w:val="20"/>
          <w:szCs w:val="20"/>
          <w:color w:val="auto"/>
        </w:rPr>
      </w:pPr>
    </w:p>
    <w:p>
      <w:pPr>
        <w:ind w:right="20" w:firstLine="562"/>
        <w:spacing w:after="0" w:line="233" w:lineRule="auto"/>
        <w:rPr>
          <w:sz w:val="20"/>
          <w:szCs w:val="20"/>
          <w:color w:val="auto"/>
        </w:rPr>
      </w:pPr>
      <w:r>
        <w:rPr>
          <w:rFonts w:ascii="Arial" w:cs="Arial" w:eastAsia="Arial" w:hAnsi="Arial"/>
          <w:sz w:val="14"/>
          <w:szCs w:val="14"/>
          <w:color w:val="auto"/>
        </w:rPr>
        <w:t>As of December 31, 2016 and September 30, 2016, we had $71.3 million in aggregate principal amount of 2025 Notes outstanding. Interest on the 2025 Notes is paid quarterly on February 1, May 1, August 1 and November 1, at a rate of 6.25% per year. The 2025 Notes mature on February 1, 2025. The 2025 Notes are general, unsecured obligations and rank equal in right of payment with all of our existing and future senior unsecured indebtedness. The 2025 Notes are structurally subordinated to our SBA debentures and the assets pledged or secured under our Credit Facility.</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COMMITMENTS AND CONTINGENCIES</w:t>
      </w:r>
    </w:p>
    <w:p>
      <w:pPr>
        <w:spacing w:after="0" w:line="100" w:lineRule="exact"/>
        <w:rPr>
          <w:sz w:val="20"/>
          <w:szCs w:val="20"/>
          <w:color w:val="auto"/>
        </w:rPr>
      </w:pPr>
    </w:p>
    <w:p>
      <w:pPr>
        <w:ind w:right="60" w:firstLine="562"/>
        <w:spacing w:after="0" w:line="233" w:lineRule="auto"/>
        <w:rPr>
          <w:sz w:val="20"/>
          <w:szCs w:val="20"/>
          <w:color w:val="auto"/>
        </w:rPr>
      </w:pPr>
      <w:r>
        <w:rPr>
          <w:rFonts w:ascii="Arial" w:cs="Arial" w:eastAsia="Arial" w:hAnsi="Arial"/>
          <w:sz w:val="14"/>
          <w:szCs w:val="14"/>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As of December 31, 2016 and September 30, 2016, we had $7.6 million and $3.1 million, respectively, in commitments to fund investments.</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UNCONSOLIDATED SIGNIFICANT SUBSIDIARIES</w:t>
      </w:r>
    </w:p>
    <w:p>
      <w:pPr>
        <w:spacing w:after="0" w:line="100" w:lineRule="exact"/>
        <w:rPr>
          <w:sz w:val="20"/>
          <w:szCs w:val="20"/>
          <w:color w:val="auto"/>
        </w:rPr>
      </w:pPr>
    </w:p>
    <w:p>
      <w:pPr>
        <w:jc w:val="both"/>
        <w:ind w:firstLine="562"/>
        <w:spacing w:after="0" w:line="233" w:lineRule="auto"/>
        <w:rPr>
          <w:sz w:val="20"/>
          <w:szCs w:val="20"/>
          <w:color w:val="auto"/>
        </w:rPr>
      </w:pPr>
      <w:r>
        <w:rPr>
          <w:rFonts w:ascii="Arial" w:cs="Arial" w:eastAsia="Arial" w:hAnsi="Arial"/>
          <w:sz w:val="14"/>
          <w:szCs w:val="14"/>
          <w:color w:val="auto"/>
        </w:rPr>
        <w:t>We must determine which, if any, of our unconsolidated controlled portfolio companies is a “significant subsidiary” within the meaning of Regulation S-X. We have determined that, as of December 31, 2016 and September 30, 2016, RAM Energy Holdings LLC triggered at least one of the significance tests. RAM Energy Holdings LLC became a controlled affiliated investment as of September 30, 2015. As a result and in accordance with Rule 4-08(g) of Regulation S-K, presented below is summarized unaudited financial information for RAM Energy Holdings LLC as of December 31, 2016 and September 30, 2016 as well as for the three months ended December 31, 2016 and 2015.</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340" w:type="dxa"/>
            <w:vAlign w:val="bottom"/>
          </w:tcPr>
          <w:p>
            <w:pPr>
              <w:spacing w:after="0"/>
              <w:rPr>
                <w:sz w:val="20"/>
                <w:szCs w:val="20"/>
                <w:color w:val="auto"/>
              </w:rPr>
            </w:pPr>
            <w:r>
              <w:rPr>
                <w:rFonts w:ascii="Arial" w:cs="Arial" w:eastAsia="Arial" w:hAnsi="Arial"/>
                <w:sz w:val="14"/>
                <w:szCs w:val="14"/>
                <w:b w:val="1"/>
                <w:bCs w:val="1"/>
                <w:color w:val="auto"/>
              </w:rPr>
              <w:t>Balance Sheet</w:t>
            </w:r>
          </w:p>
        </w:tc>
        <w:tc>
          <w:tcPr>
            <w:tcW w:w="380" w:type="dxa"/>
            <w:vAlign w:val="bottom"/>
          </w:tcPr>
          <w:p>
            <w:pPr>
              <w:spacing w:after="0"/>
              <w:rPr>
                <w:sz w:val="16"/>
                <w:szCs w:val="16"/>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December 31, 2016</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w w:val="96"/>
              </w:rPr>
              <w:t>September 30, 2016</w:t>
            </w:r>
          </w:p>
        </w:tc>
      </w:tr>
      <w:tr>
        <w:trPr>
          <w:trHeight w:val="142"/>
        </w:trPr>
        <w:tc>
          <w:tcPr>
            <w:tcW w:w="23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Current assets</w:t>
            </w:r>
          </w:p>
        </w:tc>
        <w:tc>
          <w:tcPr>
            <w:tcW w:w="3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1,699,593</w:t>
            </w:r>
          </w:p>
        </w:tc>
        <w:tc>
          <w:tcPr>
            <w:tcW w:w="46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1,871,645</w:t>
            </w:r>
          </w:p>
        </w:tc>
        <w:tc>
          <w:tcPr>
            <w:tcW w:w="80" w:type="dxa"/>
            <w:vAlign w:val="bottom"/>
            <w:tcBorders>
              <w:top w:val="single" w:sz="8" w:color="CCEEFF"/>
            </w:tcBorders>
            <w:shd w:val="clear" w:color="auto" w:fill="CCEEFF"/>
          </w:tcPr>
          <w:p>
            <w:pPr>
              <w:spacing w:after="0"/>
              <w:rPr>
                <w:sz w:val="12"/>
                <w:szCs w:val="12"/>
                <w:color w:val="auto"/>
              </w:rPr>
            </w:pPr>
          </w:p>
        </w:tc>
      </w:tr>
      <w:tr>
        <w:trPr>
          <w:trHeight w:val="148"/>
        </w:trPr>
        <w:tc>
          <w:tcPr>
            <w:tcW w:w="2340" w:type="dxa"/>
            <w:vAlign w:val="bottom"/>
          </w:tcPr>
          <w:p>
            <w:pPr>
              <w:spacing w:after="0" w:line="149" w:lineRule="exact"/>
              <w:rPr>
                <w:sz w:val="20"/>
                <w:szCs w:val="20"/>
                <w:color w:val="auto"/>
              </w:rPr>
            </w:pPr>
            <w:r>
              <w:rPr>
                <w:rFonts w:ascii="Arial" w:cs="Arial" w:eastAsia="Arial" w:hAnsi="Arial"/>
                <w:sz w:val="14"/>
                <w:szCs w:val="14"/>
                <w:color w:val="auto"/>
              </w:rPr>
              <w:t>Noncurrent assets</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29,503,764</w:t>
            </w:r>
          </w:p>
        </w:tc>
        <w:tc>
          <w:tcPr>
            <w:tcW w:w="32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35,306,598</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6,410,604</w:t>
            </w:r>
          </w:p>
        </w:tc>
        <w:tc>
          <w:tcPr>
            <w:tcW w:w="32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4,338,002</w:t>
            </w:r>
          </w:p>
        </w:tc>
      </w:tr>
      <w:tr>
        <w:trPr>
          <w:trHeight w:val="182"/>
        </w:trPr>
        <w:tc>
          <w:tcPr>
            <w:tcW w:w="2340" w:type="dxa"/>
            <w:vAlign w:val="bottom"/>
          </w:tcPr>
          <w:p>
            <w:pPr>
              <w:spacing w:after="0"/>
              <w:rPr>
                <w:sz w:val="20"/>
                <w:szCs w:val="20"/>
                <w:color w:val="auto"/>
              </w:rPr>
            </w:pPr>
            <w:r>
              <w:rPr>
                <w:rFonts w:ascii="Arial" w:cs="Arial" w:eastAsia="Arial" w:hAnsi="Arial"/>
                <w:sz w:val="14"/>
                <w:szCs w:val="14"/>
                <w:color w:val="auto"/>
              </w:rPr>
              <w:t>Noncurrent liabilities</w:t>
            </w: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4"/>
                <w:szCs w:val="14"/>
                <w:color w:val="auto"/>
              </w:rPr>
              <w:t>91,208,666</w:t>
            </w:r>
          </w:p>
        </w:tc>
        <w:tc>
          <w:tcPr>
            <w:tcW w:w="320" w:type="dxa"/>
            <w:vAlign w:val="bottom"/>
          </w:tcPr>
          <w:p>
            <w:pPr>
              <w:spacing w:after="0"/>
              <w:rPr>
                <w:sz w:val="15"/>
                <w:szCs w:val="15"/>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4"/>
                <w:szCs w:val="14"/>
                <w:color w:val="auto"/>
              </w:rPr>
              <w:t>90,737,483</w:t>
            </w:r>
          </w:p>
        </w:tc>
      </w:tr>
    </w:tbl>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23</w:t>
      </w:r>
    </w:p>
    <w:p>
      <w:pPr>
        <w:sectPr>
          <w:pgSz w:w="11900" w:h="16838" w:orient="portrait"/>
          <w:cols w:equalWidth="0" w:num="1">
            <w:col w:w="11220"/>
          </w:cols>
          <w:pgMar w:left="320" w:top="459" w:right="3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33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300"/>
        <w:spacing w:after="0" w:line="226" w:lineRule="auto"/>
        <w:rPr>
          <w:sz w:val="20"/>
          <w:szCs w:val="20"/>
          <w:color w:val="auto"/>
        </w:rPr>
      </w:pPr>
      <w:r>
        <w:rPr>
          <w:rFonts w:ascii="Arial" w:cs="Arial" w:eastAsia="Arial" w:hAnsi="Arial"/>
          <w:sz w:val="14"/>
          <w:szCs w:val="14"/>
          <w:b w:val="1"/>
          <w:bCs w:val="1"/>
          <w:color w:val="auto"/>
        </w:rPr>
        <w:t>NOTES TO CONSOLIDATED FINANCIAL STATEMENTS – (Continued)</w:t>
      </w:r>
    </w:p>
    <w:p>
      <w:pPr>
        <w:jc w:val="center"/>
        <w:ind w:right="-1120"/>
        <w:spacing w:after="0" w:line="221" w:lineRule="auto"/>
        <w:rPr>
          <w:sz w:val="20"/>
          <w:szCs w:val="20"/>
          <w:color w:val="auto"/>
        </w:rPr>
      </w:pPr>
      <w:r>
        <w:rPr>
          <w:rFonts w:ascii="Arial" w:cs="Arial" w:eastAsia="Arial" w:hAnsi="Arial"/>
          <w:sz w:val="14"/>
          <w:szCs w:val="14"/>
          <w:b w:val="1"/>
          <w:bCs w:val="1"/>
          <w:color w:val="auto"/>
        </w:rPr>
        <w:t>DECEMBER 31, 2016</w:t>
      </w:r>
    </w:p>
    <w:p>
      <w:pPr>
        <w:spacing w:after="0" w:line="1" w:lineRule="exact"/>
        <w:rPr>
          <w:sz w:val="20"/>
          <w:szCs w:val="20"/>
          <w:color w:val="auto"/>
        </w:rPr>
      </w:pPr>
    </w:p>
    <w:p>
      <w:pPr>
        <w:jc w:val="center"/>
        <w:ind w:right="-1120"/>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Income Statement</w:t>
            </w:r>
          </w:p>
        </w:tc>
        <w:tc>
          <w:tcPr>
            <w:tcW w:w="2400" w:type="dxa"/>
            <w:vAlign w:val="bottom"/>
            <w:gridSpan w:val="6"/>
          </w:tcPr>
          <w:p>
            <w:pPr>
              <w:jc w:val="right"/>
              <w:ind w:right="160"/>
              <w:spacing w:after="0"/>
              <w:rPr>
                <w:sz w:val="20"/>
                <w:szCs w:val="20"/>
                <w:color w:val="auto"/>
              </w:rPr>
            </w:pPr>
            <w:r>
              <w:rPr>
                <w:rFonts w:ascii="Arial" w:cs="Arial" w:eastAsia="Arial" w:hAnsi="Arial"/>
                <w:sz w:val="14"/>
                <w:szCs w:val="14"/>
                <w:b w:val="1"/>
                <w:bCs w:val="1"/>
                <w:color w:val="auto"/>
                <w:w w:val="95"/>
              </w:rPr>
              <w:t>Three Months Ended December 31,</w:t>
            </w:r>
          </w:p>
        </w:tc>
        <w:tc>
          <w:tcPr>
            <w:tcW w:w="0" w:type="dxa"/>
            <w:vAlign w:val="bottom"/>
          </w:tcPr>
          <w:p>
            <w:pPr>
              <w:spacing w:after="0"/>
              <w:rPr>
                <w:sz w:val="1"/>
                <w:szCs w:val="1"/>
                <w:color w:val="auto"/>
              </w:rPr>
            </w:pPr>
          </w:p>
        </w:tc>
      </w:tr>
      <w:tr>
        <w:trPr>
          <w:trHeight w:val="142"/>
        </w:trPr>
        <w:tc>
          <w:tcPr>
            <w:tcW w:w="3780" w:type="dxa"/>
            <w:vAlign w:val="bottom"/>
            <w:gridSpan w:val="2"/>
            <w:vMerge w:val="continue"/>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248"/>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5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Total revenue</w:t>
            </w:r>
          </w:p>
        </w:tc>
        <w:tc>
          <w:tcPr>
            <w:tcW w:w="2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1,828,378</w:t>
            </w:r>
          </w:p>
        </w:tc>
        <w:tc>
          <w:tcPr>
            <w:tcW w:w="3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2,402,530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gridSpan w:val="2"/>
          </w:tcPr>
          <w:p>
            <w:pPr>
              <w:spacing w:after="0" w:line="149" w:lineRule="exact"/>
              <w:rPr>
                <w:sz w:val="20"/>
                <w:szCs w:val="20"/>
                <w:color w:val="auto"/>
              </w:rPr>
            </w:pPr>
            <w:r>
              <w:rPr>
                <w:rFonts w:ascii="Arial" w:cs="Arial" w:eastAsia="Arial" w:hAnsi="Arial"/>
                <w:sz w:val="14"/>
                <w:szCs w:val="14"/>
                <w:color w:val="auto"/>
              </w:rPr>
              <w:t>Total expenses</w:t>
            </w: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10,347,049</w:t>
            </w: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28,237,445</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7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(8,518,671)</w:t>
            </w:r>
          </w:p>
        </w:tc>
        <w:tc>
          <w:tcPr>
            <w:tcW w:w="2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(25,834,915)</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0"/>
        </w:trPr>
        <w:tc>
          <w:tcPr>
            <w:tcW w:w="3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139"/>
          </w:cols>
          <w:pgMar w:left="320" w:top="459" w:right="1440"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The Board of Directors and Stockholders</w:t>
      </w:r>
    </w:p>
    <w:p>
      <w:pPr>
        <w:spacing w:after="0"/>
        <w:rPr>
          <w:sz w:val="20"/>
          <w:szCs w:val="20"/>
          <w:color w:val="auto"/>
        </w:rPr>
      </w:pPr>
      <w:r>
        <w:rPr>
          <w:rFonts w:ascii="Arial" w:cs="Arial" w:eastAsia="Arial" w:hAnsi="Arial"/>
          <w:sz w:val="14"/>
          <w:szCs w:val="14"/>
          <w:color w:val="auto"/>
        </w:rPr>
        <w:t>PennantPark Investment Corporation and its Subsidiaries:</w:t>
      </w:r>
    </w:p>
    <w:p>
      <w:pPr>
        <w:spacing w:after="0" w:line="84" w:lineRule="exact"/>
        <w:rPr>
          <w:sz w:val="20"/>
          <w:szCs w:val="20"/>
          <w:color w:val="auto"/>
        </w:rPr>
      </w:pPr>
    </w:p>
    <w:p>
      <w:pPr>
        <w:ind w:right="360" w:firstLine="562"/>
        <w:spacing w:after="0" w:line="264" w:lineRule="auto"/>
        <w:rPr>
          <w:sz w:val="20"/>
          <w:szCs w:val="20"/>
          <w:color w:val="auto"/>
        </w:rPr>
      </w:pPr>
      <w:r>
        <w:rPr>
          <w:rFonts w:ascii="Arial" w:cs="Arial" w:eastAsia="Arial" w:hAnsi="Arial"/>
          <w:sz w:val="13"/>
          <w:szCs w:val="13"/>
          <w:color w:val="auto"/>
        </w:rPr>
        <w:t>We have reviewed the accompanying consolidated statements of assets and liabilities of PennantPark Investment Corporation and its Subsidiaries (collectively referred to as the “Company”), including the consolidated schedule of investments, as of December 31, 2016, and the consolidated statements of operations, changes in net assets and cash flows for the three months ended December 31, 2016 and 2015. These consolidated financial statements are the responsibility of the Company’s management.</w:t>
      </w:r>
    </w:p>
    <w:p>
      <w:pPr>
        <w:spacing w:after="0" w:line="60"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We conducted our review in accordance with the standards of the Public Company Accounting Oversight Board (United States). A review of interim financial information consists principally of applying analytical procedures to financial data and making inquiries of persons responsible for financial and accounting matters. It is substantially less in scope than an audit conducted in accordance with the standards of the Public Company Accounting Oversight Board, the objective of which is the expression of an opinion regarding the financial statements taken as a whole. Accordingly, we do not express such an opinion.</w:t>
      </w:r>
    </w:p>
    <w:p>
      <w:pPr>
        <w:spacing w:after="0" w:line="77" w:lineRule="exact"/>
        <w:rPr>
          <w:sz w:val="20"/>
          <w:szCs w:val="20"/>
          <w:color w:val="auto"/>
        </w:rPr>
      </w:pPr>
    </w:p>
    <w:p>
      <w:pPr>
        <w:ind w:right="300" w:firstLine="562"/>
        <w:spacing w:after="0" w:line="253" w:lineRule="auto"/>
        <w:rPr>
          <w:sz w:val="20"/>
          <w:szCs w:val="20"/>
          <w:color w:val="auto"/>
        </w:rPr>
      </w:pPr>
      <w:r>
        <w:rPr>
          <w:rFonts w:ascii="Arial" w:cs="Arial" w:eastAsia="Arial" w:hAnsi="Arial"/>
          <w:sz w:val="14"/>
          <w:szCs w:val="14"/>
          <w:color w:val="auto"/>
        </w:rPr>
        <w:t>Based on our review, we are not aware of any material modifications that should be made to the accompanying consolidated financial statements referred to above for them to be in conformity with U.S. generally accepted accounting principles.</w:t>
      </w:r>
    </w:p>
    <w:p>
      <w:pPr>
        <w:spacing w:after="0" w:line="66" w:lineRule="exact"/>
        <w:rPr>
          <w:sz w:val="20"/>
          <w:szCs w:val="20"/>
          <w:color w:val="auto"/>
        </w:rPr>
      </w:pPr>
    </w:p>
    <w:p>
      <w:pPr>
        <w:ind w:right="60" w:firstLine="562"/>
        <w:spacing w:after="0" w:line="255" w:lineRule="auto"/>
        <w:rPr>
          <w:sz w:val="20"/>
          <w:szCs w:val="20"/>
          <w:color w:val="auto"/>
        </w:rPr>
      </w:pPr>
      <w:r>
        <w:rPr>
          <w:rFonts w:ascii="Arial" w:cs="Arial" w:eastAsia="Arial" w:hAnsi="Arial"/>
          <w:sz w:val="13"/>
          <w:szCs w:val="13"/>
          <w:color w:val="auto"/>
        </w:rPr>
        <w:t>We have previously audited, in accordance with the standards of the Public Company Accounting Oversight Board, the consolidated statement of assets and liabilities of the Company, including the consolidated schedule of investments, as of September 30, 2016, and the related consolidated statements of operations, changes in net assets, and cash flows for the year then ended (not presented herein); and in our report dated November 21, 2016, we expressed an unqualified opinion on those financial statements. In our opinion, the information set forth in the accompanying consolidated statements of assets and liabilities as of December 31, 2016, is fairly stated, in all material respects, in relation to the consolidated statements of assets and liabilities.</w:t>
      </w:r>
    </w:p>
    <w:p>
      <w:pPr>
        <w:spacing w:after="0" w:line="174"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221" w:lineRule="auto"/>
        <w:rPr>
          <w:sz w:val="20"/>
          <w:szCs w:val="20"/>
          <w:color w:val="auto"/>
        </w:rPr>
      </w:pPr>
      <w:r>
        <w:rPr>
          <w:rFonts w:ascii="Arial" w:cs="Arial" w:eastAsia="Arial" w:hAnsi="Arial"/>
          <w:sz w:val="14"/>
          <w:szCs w:val="14"/>
          <w:color w:val="auto"/>
        </w:rPr>
        <w:t>New York, New York</w:t>
      </w:r>
    </w:p>
    <w:p>
      <w:pPr>
        <w:spacing w:after="0"/>
        <w:rPr>
          <w:sz w:val="20"/>
          <w:szCs w:val="20"/>
          <w:color w:val="auto"/>
        </w:rPr>
      </w:pPr>
      <w:r>
        <w:rPr>
          <w:rFonts w:ascii="Arial" w:cs="Arial" w:eastAsia="Arial" w:hAnsi="Arial"/>
          <w:sz w:val="14"/>
          <w:szCs w:val="14"/>
          <w:color w:val="auto"/>
        </w:rPr>
        <w:t>February 8, 2017</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25</w:t>
      </w:r>
    </w:p>
    <w:p>
      <w:pPr>
        <w:sectPr>
          <w:pgSz w:w="11900" w:h="16838" w:orient="portrait"/>
          <w:cols w:equalWidth="0" w:num="1">
            <w:col w:w="11220"/>
          </w:cols>
          <w:pgMar w:left="320" w:top="459" w:right="3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00" w:lineRule="exact"/>
        <w:rPr>
          <w:sz w:val="20"/>
          <w:szCs w:val="20"/>
          <w:color w:val="auto"/>
        </w:rPr>
      </w:pPr>
    </w:p>
    <w:p>
      <w:pPr>
        <w:ind w:right="80" w:firstLine="562"/>
        <w:spacing w:after="0" w:line="233" w:lineRule="auto"/>
        <w:rPr>
          <w:sz w:val="20"/>
          <w:szCs w:val="20"/>
          <w:color w:val="auto"/>
        </w:rPr>
      </w:pPr>
      <w:r>
        <w:rPr>
          <w:rFonts w:ascii="Arial" w:cs="Arial" w:eastAsia="Arial" w:hAnsi="Arial"/>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our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90" w:lineRule="exact"/>
        <w:rPr>
          <w:sz w:val="20"/>
          <w:szCs w:val="20"/>
          <w:color w:val="auto"/>
        </w:rPr>
      </w:pPr>
    </w:p>
    <w:p>
      <w:pPr>
        <w:ind w:left="2120" w:hanging="776"/>
        <w:spacing w:after="0"/>
        <w:tabs>
          <w:tab w:leader="none" w:pos="2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109" w:lineRule="exact"/>
        <w:rPr>
          <w:rFonts w:ascii="Arial" w:cs="Arial" w:eastAsia="Arial" w:hAnsi="Arial"/>
          <w:sz w:val="14"/>
          <w:szCs w:val="14"/>
          <w:color w:val="auto"/>
        </w:rPr>
      </w:pPr>
    </w:p>
    <w:p>
      <w:pPr>
        <w:ind w:left="2120" w:hanging="776"/>
        <w:spacing w:after="0"/>
        <w:tabs>
          <w:tab w:leader="none" w:pos="2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w:t>
      </w:r>
    </w:p>
    <w:p>
      <w:pPr>
        <w:spacing w:after="0" w:line="109" w:lineRule="exact"/>
        <w:rPr>
          <w:rFonts w:ascii="Arial" w:cs="Arial" w:eastAsia="Arial" w:hAnsi="Arial"/>
          <w:sz w:val="14"/>
          <w:szCs w:val="14"/>
          <w:color w:val="auto"/>
        </w:rPr>
      </w:pPr>
    </w:p>
    <w:p>
      <w:pPr>
        <w:ind w:left="2120" w:hanging="776"/>
        <w:spacing w:after="0"/>
        <w:tabs>
          <w:tab w:leader="none" w:pos="2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109" w:lineRule="exact"/>
        <w:rPr>
          <w:rFonts w:ascii="Arial" w:cs="Arial" w:eastAsia="Arial" w:hAnsi="Arial"/>
          <w:sz w:val="14"/>
          <w:szCs w:val="14"/>
          <w:color w:val="auto"/>
        </w:rPr>
      </w:pPr>
    </w:p>
    <w:p>
      <w:pPr>
        <w:ind w:left="2120" w:hanging="776"/>
        <w:spacing w:after="0"/>
        <w:tabs>
          <w:tab w:leader="none" w:pos="2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109" w:lineRule="exact"/>
        <w:rPr>
          <w:rFonts w:ascii="Arial" w:cs="Arial" w:eastAsia="Arial" w:hAnsi="Arial"/>
          <w:sz w:val="14"/>
          <w:szCs w:val="14"/>
          <w:color w:val="auto"/>
        </w:rPr>
      </w:pPr>
    </w:p>
    <w:p>
      <w:pPr>
        <w:ind w:left="2120" w:hanging="776"/>
        <w:spacing w:after="0"/>
        <w:tabs>
          <w:tab w:leader="none" w:pos="2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109" w:lineRule="exact"/>
        <w:rPr>
          <w:rFonts w:ascii="Arial" w:cs="Arial" w:eastAsia="Arial" w:hAnsi="Arial"/>
          <w:sz w:val="14"/>
          <w:szCs w:val="14"/>
          <w:color w:val="auto"/>
        </w:rPr>
      </w:pPr>
    </w:p>
    <w:p>
      <w:pPr>
        <w:ind w:left="2120" w:hanging="776"/>
        <w:spacing w:after="0"/>
        <w:tabs>
          <w:tab w:leader="none" w:pos="2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impact of fluctuations in interest rates and foreign exchange rates on our business and our portfolio companies;</w:t>
      </w:r>
    </w:p>
    <w:p>
      <w:pPr>
        <w:spacing w:after="0" w:line="109" w:lineRule="exact"/>
        <w:rPr>
          <w:rFonts w:ascii="Arial" w:cs="Arial" w:eastAsia="Arial" w:hAnsi="Arial"/>
          <w:sz w:val="14"/>
          <w:szCs w:val="14"/>
          <w:color w:val="auto"/>
        </w:rPr>
      </w:pPr>
    </w:p>
    <w:p>
      <w:pPr>
        <w:ind w:left="2120" w:hanging="776"/>
        <w:spacing w:after="0"/>
        <w:tabs>
          <w:tab w:leader="none" w:pos="2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109" w:lineRule="exact"/>
        <w:rPr>
          <w:rFonts w:ascii="Arial" w:cs="Arial" w:eastAsia="Arial" w:hAnsi="Arial"/>
          <w:sz w:val="14"/>
          <w:szCs w:val="14"/>
          <w:color w:val="auto"/>
        </w:rPr>
      </w:pPr>
    </w:p>
    <w:p>
      <w:pPr>
        <w:ind w:left="2120" w:hanging="776"/>
        <w:spacing w:after="0"/>
        <w:tabs>
          <w:tab w:leader="none" w:pos="2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109" w:lineRule="exact"/>
        <w:rPr>
          <w:rFonts w:ascii="Arial" w:cs="Arial" w:eastAsia="Arial" w:hAnsi="Arial"/>
          <w:sz w:val="14"/>
          <w:szCs w:val="14"/>
          <w:color w:val="auto"/>
        </w:rPr>
      </w:pPr>
    </w:p>
    <w:p>
      <w:pPr>
        <w:ind w:left="2120" w:hanging="776"/>
        <w:spacing w:after="0"/>
        <w:tabs>
          <w:tab w:leader="none" w:pos="2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109" w:lineRule="exact"/>
        <w:rPr>
          <w:rFonts w:ascii="Arial" w:cs="Arial" w:eastAsia="Arial" w:hAnsi="Arial"/>
          <w:sz w:val="14"/>
          <w:szCs w:val="14"/>
          <w:color w:val="auto"/>
        </w:rPr>
      </w:pPr>
    </w:p>
    <w:p>
      <w:pPr>
        <w:ind w:left="2120" w:hanging="776"/>
        <w:spacing w:after="0"/>
        <w:tabs>
          <w:tab w:leader="none" w:pos="2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our expected financings and investments;</w:t>
      </w:r>
    </w:p>
    <w:p>
      <w:pPr>
        <w:spacing w:after="0" w:line="109" w:lineRule="exact"/>
        <w:rPr>
          <w:rFonts w:ascii="Arial" w:cs="Arial" w:eastAsia="Arial" w:hAnsi="Arial"/>
          <w:sz w:val="14"/>
          <w:szCs w:val="14"/>
          <w:color w:val="auto"/>
        </w:rPr>
      </w:pPr>
    </w:p>
    <w:p>
      <w:pPr>
        <w:ind w:left="2120" w:hanging="776"/>
        <w:spacing w:after="0"/>
        <w:tabs>
          <w:tab w:leader="none" w:pos="2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109" w:lineRule="exact"/>
        <w:rPr>
          <w:rFonts w:ascii="Arial" w:cs="Arial" w:eastAsia="Arial" w:hAnsi="Arial"/>
          <w:sz w:val="14"/>
          <w:szCs w:val="14"/>
          <w:color w:val="auto"/>
        </w:rPr>
      </w:pPr>
    </w:p>
    <w:p>
      <w:pPr>
        <w:ind w:left="2120" w:hanging="776"/>
        <w:spacing w:after="0"/>
        <w:tabs>
          <w:tab w:leader="none" w:pos="2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109" w:lineRule="exact"/>
        <w:rPr>
          <w:rFonts w:ascii="Arial" w:cs="Arial" w:eastAsia="Arial" w:hAnsi="Arial"/>
          <w:sz w:val="14"/>
          <w:szCs w:val="14"/>
          <w:color w:val="auto"/>
        </w:rPr>
      </w:pPr>
    </w:p>
    <w:p>
      <w:pPr>
        <w:ind w:left="2120" w:hanging="776"/>
        <w:spacing w:after="0"/>
        <w:tabs>
          <w:tab w:leader="none" w:pos="2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impact of price and volume fluctuations in the stock market;</w:t>
      </w:r>
    </w:p>
    <w:p>
      <w:pPr>
        <w:spacing w:after="0" w:line="109" w:lineRule="exact"/>
        <w:rPr>
          <w:rFonts w:ascii="Arial" w:cs="Arial" w:eastAsia="Arial" w:hAnsi="Arial"/>
          <w:sz w:val="14"/>
          <w:szCs w:val="14"/>
          <w:color w:val="auto"/>
        </w:rPr>
      </w:pPr>
    </w:p>
    <w:p>
      <w:pPr>
        <w:ind w:left="2120" w:hanging="776"/>
        <w:spacing w:after="0"/>
        <w:tabs>
          <w:tab w:leader="none" w:pos="2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ability of our Investment Adviser to locate suitable investments for us and to monitor and administer our investments;</w:t>
      </w:r>
    </w:p>
    <w:p>
      <w:pPr>
        <w:spacing w:after="0" w:line="109" w:lineRule="exact"/>
        <w:rPr>
          <w:rFonts w:ascii="Arial" w:cs="Arial" w:eastAsia="Arial" w:hAnsi="Arial"/>
          <w:sz w:val="14"/>
          <w:szCs w:val="14"/>
          <w:color w:val="auto"/>
        </w:rPr>
      </w:pPr>
    </w:p>
    <w:p>
      <w:pPr>
        <w:ind w:left="2120" w:hanging="776"/>
        <w:spacing w:after="0"/>
        <w:tabs>
          <w:tab w:leader="none" w:pos="2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 and</w:t>
      </w:r>
    </w:p>
    <w:p>
      <w:pPr>
        <w:spacing w:after="0" w:line="109" w:lineRule="exact"/>
        <w:rPr>
          <w:rFonts w:ascii="Arial" w:cs="Arial" w:eastAsia="Arial" w:hAnsi="Arial"/>
          <w:sz w:val="14"/>
          <w:szCs w:val="14"/>
          <w:color w:val="auto"/>
        </w:rPr>
      </w:pPr>
    </w:p>
    <w:p>
      <w:pPr>
        <w:ind w:left="2120" w:hanging="776"/>
        <w:spacing w:after="0"/>
        <w:tabs>
          <w:tab w:leader="none" w:pos="21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impact of European sovereign debt, Brexit and other world economic and political issues.</w:t>
      </w:r>
    </w:p>
    <w:p>
      <w:pPr>
        <w:spacing w:after="0" w:line="96" w:lineRule="exact"/>
        <w:rPr>
          <w:sz w:val="20"/>
          <w:szCs w:val="20"/>
          <w:color w:val="auto"/>
        </w:rPr>
      </w:pPr>
    </w:p>
    <w:p>
      <w:pPr>
        <w:ind w:right="40" w:firstLine="562"/>
        <w:spacing w:after="0" w:line="253"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w:t>
      </w:r>
    </w:p>
    <w:p>
      <w:pPr>
        <w:spacing w:after="0" w:line="66"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77" w:lineRule="exact"/>
        <w:rPr>
          <w:sz w:val="20"/>
          <w:szCs w:val="20"/>
          <w:color w:val="auto"/>
        </w:rPr>
      </w:pPr>
    </w:p>
    <w:p>
      <w:pPr>
        <w:ind w:right="360" w:firstLine="562"/>
        <w:spacing w:after="0" w:line="233" w:lineRule="auto"/>
        <w:rPr>
          <w:sz w:val="20"/>
          <w:szCs w:val="20"/>
          <w:color w:val="auto"/>
        </w:rPr>
      </w:pPr>
      <w:r>
        <w:rPr>
          <w:rFonts w:ascii="Arial" w:cs="Arial" w:eastAsia="Arial" w:hAnsi="Arial"/>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77" w:lineRule="exact"/>
        <w:rPr>
          <w:sz w:val="20"/>
          <w:szCs w:val="20"/>
          <w:color w:val="auto"/>
        </w:rPr>
      </w:pPr>
    </w:p>
    <w:p>
      <w:pPr>
        <w:ind w:right="140" w:firstLine="562"/>
        <w:spacing w:after="0" w:line="253" w:lineRule="auto"/>
        <w:rPr>
          <w:sz w:val="20"/>
          <w:szCs w:val="20"/>
          <w:color w:val="auto"/>
        </w:rPr>
      </w:pPr>
      <w:r>
        <w:rPr>
          <w:rFonts w:ascii="Arial" w:cs="Arial" w:eastAsia="Arial" w:hAnsi="Arial"/>
          <w:sz w:val="14"/>
          <w:szCs w:val="14"/>
          <w:color w:val="auto"/>
        </w:rPr>
        <w:t>You should understand that under Section 27A(b)(2)(B) of the Securities Act and Section 21E(b)(2)(B) of the Securities Exchange Act of 1934, or the Exchange Act, the “safe harbor” provisions of the Private Securities Litigation Reform Act of 1995 do not apply to forward-looking statements made in periodic reports we file under the Exchange Act.</w:t>
      </w:r>
    </w:p>
    <w:p>
      <w:pPr>
        <w:spacing w:after="0" w:line="66" w:lineRule="exact"/>
        <w:rPr>
          <w:sz w:val="20"/>
          <w:szCs w:val="20"/>
          <w:color w:val="auto"/>
        </w:rPr>
      </w:pPr>
    </w:p>
    <w:p>
      <w:pPr>
        <w:ind w:right="460" w:firstLine="562"/>
        <w:spacing w:after="0" w:line="253" w:lineRule="auto"/>
        <w:rPr>
          <w:sz w:val="20"/>
          <w:szCs w:val="20"/>
          <w:color w:val="auto"/>
        </w:rPr>
      </w:pPr>
      <w:r>
        <w:rPr>
          <w:rFonts w:ascii="Arial" w:cs="Arial" w:eastAsia="Arial" w:hAnsi="Arial"/>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96" w:lineRule="exact"/>
        <w:rPr>
          <w:sz w:val="20"/>
          <w:szCs w:val="20"/>
          <w:color w:val="auto"/>
        </w:rPr>
      </w:pPr>
    </w:p>
    <w:p>
      <w:pPr>
        <w:ind w:right="140" w:firstLine="562"/>
        <w:spacing w:after="0" w:line="253" w:lineRule="auto"/>
        <w:rPr>
          <w:sz w:val="20"/>
          <w:szCs w:val="20"/>
          <w:color w:val="auto"/>
        </w:rPr>
      </w:pPr>
      <w:r>
        <w:rPr>
          <w:rFonts w:ascii="Arial" w:cs="Arial" w:eastAsia="Arial" w:hAnsi="Arial"/>
          <w:sz w:val="14"/>
          <w:szCs w:val="14"/>
          <w:color w:val="auto"/>
        </w:rPr>
        <w:t>PennantPark Investment Corporation is a BDC whose objectives are to generate both current income and capital appreciation while seeking to preserve capital through debt and equity investments primarily made to U.S. middle-market companies in the form of senior secured debt, mezzanine debt and equity investments.</w:t>
      </w:r>
    </w:p>
    <w:p>
      <w:pPr>
        <w:spacing w:after="0" w:line="66" w:lineRule="exact"/>
        <w:rPr>
          <w:sz w:val="20"/>
          <w:szCs w:val="20"/>
          <w:color w:val="auto"/>
        </w:rPr>
      </w:pPr>
    </w:p>
    <w:p>
      <w:pPr>
        <w:ind w:right="40" w:firstLine="562"/>
        <w:spacing w:after="0" w:line="244" w:lineRule="auto"/>
        <w:rPr>
          <w:sz w:val="20"/>
          <w:szCs w:val="20"/>
          <w:color w:val="auto"/>
        </w:rPr>
      </w:pPr>
      <w:r>
        <w:rPr>
          <w:rFonts w:ascii="Arial" w:cs="Arial" w:eastAsia="Arial" w:hAnsi="Arial"/>
          <w:sz w:val="13"/>
          <w:szCs w:val="13"/>
          <w:color w:val="auto"/>
        </w:rPr>
        <w:t>We believe middle-market companies offer attractive risk-reward to investors due to the limited amount of capital available for such companies. We seek to create a diversified portfolio that includes senior secured debt, mezzanine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w:t>
      </w:r>
    </w:p>
    <w:p>
      <w:pPr>
        <w:spacing w:after="0" w:line="2" w:lineRule="exact"/>
        <w:rPr>
          <w:sz w:val="20"/>
          <w:szCs w:val="20"/>
          <w:color w:val="auto"/>
        </w:rPr>
      </w:pPr>
    </w:p>
    <w:p>
      <w:pPr>
        <w:ind w:right="40"/>
        <w:spacing w:after="0" w:line="227" w:lineRule="auto"/>
        <w:rPr>
          <w:sz w:val="20"/>
          <w:szCs w:val="20"/>
          <w:color w:val="auto"/>
        </w:rPr>
      </w:pPr>
      <w:r>
        <w:rPr>
          <w:rFonts w:ascii="Arial" w:cs="Arial" w:eastAsia="Arial" w:hAnsi="Arial"/>
          <w:sz w:val="14"/>
          <w:szCs w:val="14"/>
          <w:color w:val="auto"/>
        </w:rPr>
        <w:t>$50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77" w:lineRule="exact"/>
        <w:rPr>
          <w:sz w:val="20"/>
          <w:szCs w:val="20"/>
          <w:color w:val="auto"/>
        </w:rPr>
      </w:pPr>
    </w:p>
    <w:p>
      <w:pPr>
        <w:jc w:val="both"/>
        <w:ind w:right="80" w:firstLine="562"/>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SBA debentures, proceeds from the rotation of our portfolio and proceeds from public and private offerings of securities to finance our investment objectives.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ectPr>
          <w:pgSz w:w="11900" w:h="16838" w:orient="portrait"/>
          <w:cols w:equalWidth="0" w:num="1">
            <w:col w:w="11240"/>
          </w:cols>
          <w:pgMar w:left="320" w:top="459"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Investment Corporation</w:t>
      </w:r>
    </w:p>
    <w:p>
      <w:pPr>
        <w:spacing w:after="0" w:line="96" w:lineRule="exact"/>
        <w:rPr>
          <w:sz w:val="20"/>
          <w:szCs w:val="20"/>
          <w:color w:val="auto"/>
        </w:rPr>
      </w:pPr>
    </w:p>
    <w:p>
      <w:pPr>
        <w:ind w:right="180" w:firstLine="562"/>
        <w:spacing w:after="0" w:line="290" w:lineRule="auto"/>
        <w:rPr>
          <w:sz w:val="20"/>
          <w:szCs w:val="20"/>
          <w:color w:val="auto"/>
        </w:rPr>
      </w:pPr>
      <w:r>
        <w:rPr>
          <w:rFonts w:ascii="Arial" w:cs="Arial" w:eastAsia="Arial" w:hAnsi="Arial"/>
          <w:sz w:val="13"/>
          <w:szCs w:val="13"/>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44" w:lineRule="exact"/>
        <w:rPr>
          <w:sz w:val="20"/>
          <w:szCs w:val="20"/>
          <w:color w:val="auto"/>
        </w:rPr>
      </w:pPr>
    </w:p>
    <w:p>
      <w:pPr>
        <w:jc w:val="both"/>
        <w:ind w:right="240" w:firstLine="562"/>
        <w:spacing w:after="0" w:line="238" w:lineRule="auto"/>
        <w:rPr>
          <w:sz w:val="20"/>
          <w:szCs w:val="20"/>
          <w:color w:val="auto"/>
        </w:rPr>
      </w:pPr>
      <w:r>
        <w:rPr>
          <w:rFonts w:ascii="Arial" w:cs="Arial" w:eastAsia="Arial" w:hAnsi="Arial"/>
          <w:sz w:val="14"/>
          <w:szCs w:val="14"/>
          <w:color w:val="auto"/>
        </w:rPr>
        <w:t>Our wholly owned subsidiaries, SBIC I and SBIC II, were organized as Delaware limited partnerships in 2010 and 2012, respectively. SBIC I and SBIC II received licenses from the SBA to operate as SBICs under Section 301(c) of the 1958 Act. Our SBIC Funds’ objectives are to generate both current income and capital appreciation through debt and equity investments generally by investing with us in SBA eligible businesses that meet the investment selection criteria used by PennantPark Investment.</w:t>
      </w:r>
    </w:p>
    <w:p>
      <w:pPr>
        <w:spacing w:after="0" w:line="75" w:lineRule="exact"/>
        <w:rPr>
          <w:sz w:val="20"/>
          <w:szCs w:val="20"/>
          <w:color w:val="auto"/>
        </w:rPr>
      </w:pPr>
    </w:p>
    <w:p>
      <w:pPr>
        <w:ind w:right="80" w:firstLine="562"/>
        <w:spacing w:after="0" w:line="227" w:lineRule="auto"/>
        <w:rPr>
          <w:sz w:val="20"/>
          <w:szCs w:val="20"/>
          <w:color w:val="auto"/>
        </w:rPr>
      </w:pPr>
      <w:r>
        <w:rPr>
          <w:rFonts w:ascii="Arial" w:cs="Arial" w:eastAsia="Arial" w:hAnsi="Arial"/>
          <w:sz w:val="14"/>
          <w:szCs w:val="14"/>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our SBIC Funds under their investment management agreements. Our SBIC Funds investment management agreements do not affect the management and incentive fees on a consolidated basis.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our SBIC Funds under their administration agreements with us. Our board of directors, a majority of whom are independent of us, supervises our activities, and the Investment Adviser manages our day-to-day activities.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96" w:lineRule="exact"/>
        <w:rPr>
          <w:sz w:val="20"/>
          <w:szCs w:val="20"/>
          <w:color w:val="auto"/>
        </w:rPr>
      </w:pPr>
    </w:p>
    <w:p>
      <w:pPr>
        <w:ind w:right="20" w:firstLine="562"/>
        <w:spacing w:after="0" w:line="227" w:lineRule="auto"/>
        <w:rPr>
          <w:sz w:val="20"/>
          <w:szCs w:val="20"/>
          <w:color w:val="auto"/>
        </w:rPr>
      </w:pPr>
      <w:r>
        <w:rPr>
          <w:rFonts w:ascii="Arial" w:cs="Arial" w:eastAsia="Arial" w:hAnsi="Arial"/>
          <w:sz w:val="14"/>
          <w:szCs w:val="14"/>
          <w:color w:val="auto"/>
        </w:rPr>
        <w:t>We generate revenue in the form of interest income on the debt securities we hold and capital gains and distributions, if any, on investment securities that we may acquire in portfolio companies. Our debt investments, whether in the form of senior secured debt or mezzanine debt, typically have terms of three to ten years and bear interest at a fixed or a floating rate. Interest on debt securities is generally payable quarterly or semiannually. In some cases, our investments provide for deferred interest payments and PIK interest. The principal amount of the debt securities and any accrued but unpaid interest generally becomes due at the maturity date. In addition, we may generate revenue in the form of amendment, commitment, origination, structuring or diligence fees, fees for providing managerial assistance and possibly consulting fees. Loan origination fees, OID, market discount or premium and deferred financing costs on liabilities, which we do not fair value, are capitalized and accreted or amortized using the effective interest method as interest income or, in the case of deferred financing cost, as interest expense. We record prepayment penalties on loans and debt securities as income. Dividend income, if any, is recognized on an accrual basis on the ex-dividend date to the extent that we expect to collect such amounts.</w:t>
      </w:r>
    </w:p>
    <w:p>
      <w:pPr>
        <w:spacing w:after="0" w:line="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96"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various debt facilities. We bear all other direct or indirect costs and expenses of our operations and transactions, including:</w:t>
      </w:r>
    </w:p>
    <w:p>
      <w:pPr>
        <w:spacing w:after="0" w:line="185" w:lineRule="exact"/>
        <w:rPr>
          <w:sz w:val="20"/>
          <w:szCs w:val="20"/>
          <w:color w:val="auto"/>
        </w:rPr>
      </w:pPr>
    </w:p>
    <w:p>
      <w:pPr>
        <w:ind w:left="1120" w:hanging="329"/>
        <w:spacing w:after="0"/>
        <w:tabs>
          <w:tab w:leader="none" w:pos="11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109" w:lineRule="exact"/>
        <w:rPr>
          <w:rFonts w:ascii="Arial" w:cs="Arial" w:eastAsia="Arial" w:hAnsi="Arial"/>
          <w:sz w:val="14"/>
          <w:szCs w:val="14"/>
          <w:color w:val="auto"/>
        </w:rPr>
      </w:pPr>
    </w:p>
    <w:p>
      <w:pPr>
        <w:ind w:left="1120" w:right="600" w:hanging="329"/>
        <w:spacing w:after="0" w:line="253" w:lineRule="auto"/>
        <w:tabs>
          <w:tab w:leader="none" w:pos="11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79" w:lineRule="exact"/>
        <w:rPr>
          <w:rFonts w:ascii="Arial" w:cs="Arial" w:eastAsia="Arial" w:hAnsi="Arial"/>
          <w:sz w:val="14"/>
          <w:szCs w:val="14"/>
          <w:color w:val="auto"/>
        </w:rPr>
      </w:pPr>
    </w:p>
    <w:p>
      <w:pPr>
        <w:ind w:left="1120" w:hanging="329"/>
        <w:spacing w:after="0"/>
        <w:tabs>
          <w:tab w:leader="none" w:pos="11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federal and state registration fees and any exchange listing fees;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federal, state, local and foreign taxes;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fidelity bond, directors and officers, errors and omissions liability insurance and other insurance premiums;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109" w:lineRule="exact"/>
        <w:rPr>
          <w:rFonts w:ascii="Arial" w:cs="Arial" w:eastAsia="Arial" w:hAnsi="Arial"/>
          <w:sz w:val="14"/>
          <w:szCs w:val="14"/>
          <w:color w:val="auto"/>
        </w:rPr>
      </w:pPr>
    </w:p>
    <w:p>
      <w:pPr>
        <w:ind w:left="1120" w:hanging="329"/>
        <w:spacing w:after="0"/>
        <w:tabs>
          <w:tab w:leader="none" w:pos="11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the 1958 Act and applicable federal and state securities laws; and</w:t>
      </w:r>
    </w:p>
    <w:p>
      <w:pPr>
        <w:spacing w:after="0" w:line="109" w:lineRule="exact"/>
        <w:rPr>
          <w:rFonts w:ascii="Arial" w:cs="Arial" w:eastAsia="Arial" w:hAnsi="Arial"/>
          <w:sz w:val="14"/>
          <w:szCs w:val="14"/>
          <w:color w:val="auto"/>
        </w:rPr>
      </w:pPr>
    </w:p>
    <w:p>
      <w:pPr>
        <w:ind w:left="1120" w:right="60" w:hanging="329"/>
        <w:spacing w:after="0" w:line="264" w:lineRule="auto"/>
        <w:tabs>
          <w:tab w:leader="none" w:pos="11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60" w:lineRule="exact"/>
        <w:rPr>
          <w:sz w:val="20"/>
          <w:szCs w:val="20"/>
          <w:color w:val="auto"/>
        </w:rPr>
      </w:pPr>
    </w:p>
    <w:p>
      <w:pPr>
        <w:ind w:right="380" w:firstLine="562"/>
        <w:spacing w:after="0" w:line="290" w:lineRule="auto"/>
        <w:rPr>
          <w:sz w:val="20"/>
          <w:szCs w:val="20"/>
          <w:color w:val="auto"/>
        </w:rPr>
      </w:pPr>
      <w:r>
        <w:rPr>
          <w:rFonts w:ascii="Arial" w:cs="Arial" w:eastAsia="Arial" w:hAnsi="Arial"/>
          <w:sz w:val="13"/>
          <w:szCs w:val="13"/>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ectPr>
          <w:pgSz w:w="11900" w:h="16838" w:orient="portrait"/>
          <w:cols w:equalWidth="0" w:num="1">
            <w:col w:w="11240"/>
          </w:cols>
          <w:pgMar w:left="320" w:top="459"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00" w:lineRule="exact"/>
        <w:rPr>
          <w:sz w:val="20"/>
          <w:szCs w:val="20"/>
          <w:color w:val="auto"/>
        </w:rPr>
      </w:pPr>
    </w:p>
    <w:p>
      <w:pPr>
        <w:ind w:right="220" w:firstLine="562"/>
        <w:spacing w:after="0" w:line="229" w:lineRule="auto"/>
        <w:rPr>
          <w:sz w:val="20"/>
          <w:szCs w:val="20"/>
          <w:color w:val="auto"/>
        </w:rPr>
      </w:pPr>
      <w:r>
        <w:rPr>
          <w:rFonts w:ascii="Arial" w:cs="Arial" w:eastAsia="Arial" w:hAnsi="Arial"/>
          <w:sz w:val="14"/>
          <w:szCs w:val="14"/>
          <w:color w:val="auto"/>
        </w:rPr>
        <w:t>As of December 31, 2016, our portfolio totaled $1,325.5 million and consisted of $522.2 million of senior secured debt, $442.9 million of second lien secured debt, $206.7 million of subordinated debt and $153.7 million of preferred and common equity. Our debt portfolio consisted of 81% variable-rate investments (including 74% with a floor) and 19% fixed-rate investments. As of December 31, 2016, we had two companies on non-accrual, representing 1.1% and 0.3% of our overall portfolio on a cost and fair value basis, respectively. Overall, the portfolio had net unrealized depreciation of $74.9 million as of December 31, 2016. Our overall portfolio consisted of 60 companies with an average investment size of $22.1 million, had a weighted average yield on interest bearing debt investments of 11.9% and was invested 39% in senior secured debt, 33% in second lien secured debt, 16% in subordinated debt and 12% in preferred and common equity.</w:t>
      </w:r>
    </w:p>
    <w:p>
      <w:pPr>
        <w:spacing w:after="0" w:line="77" w:lineRule="exact"/>
        <w:rPr>
          <w:sz w:val="20"/>
          <w:szCs w:val="20"/>
          <w:color w:val="auto"/>
        </w:rPr>
      </w:pPr>
    </w:p>
    <w:p>
      <w:pPr>
        <w:ind w:right="200" w:firstLine="562"/>
        <w:spacing w:after="0" w:line="229" w:lineRule="auto"/>
        <w:rPr>
          <w:sz w:val="20"/>
          <w:szCs w:val="20"/>
          <w:color w:val="auto"/>
        </w:rPr>
      </w:pPr>
      <w:r>
        <w:rPr>
          <w:rFonts w:ascii="Arial" w:cs="Arial" w:eastAsia="Arial" w:hAnsi="Arial"/>
          <w:sz w:val="14"/>
          <w:szCs w:val="14"/>
          <w:color w:val="auto"/>
        </w:rPr>
        <w:t>As of September 30, 2016, our portfolio totaled $1,153.7 million and consisted of $397.1 million of senior secured debt, $425.4 million of second lien secured debt, $177.6 million of subordinated debt and $153.6 million of preferred and common equity. Our debt portfolio consisted of 78% variable-rate investments (including 72% with a floor) and 22% fixed-rate investments. As of September 30, 2016, we had four companies on non-accrual, representing 5.3% and 2.8% of our overall portfolio on a cost and fair value basis, respectively. Overall, the portfolio had net unrealized depreciation of $100.3 million as of September 30, 2016. Our overall portfolio consisted of 56 companies with an average investment size of $20.6 million, had a weighted average yield on interest bearing debt investments of 11.9% and was invested 35% in senior secured debt, 37% in second lien secured debt, 15% in subordinated debt and 13% in preferred and common equity.</w:t>
      </w:r>
    </w:p>
    <w:p>
      <w:pPr>
        <w:spacing w:after="0" w:line="77" w:lineRule="exact"/>
        <w:rPr>
          <w:sz w:val="20"/>
          <w:szCs w:val="20"/>
          <w:color w:val="auto"/>
        </w:rPr>
      </w:pPr>
    </w:p>
    <w:p>
      <w:pPr>
        <w:ind w:right="200" w:firstLine="562"/>
        <w:spacing w:after="0" w:line="253" w:lineRule="auto"/>
        <w:rPr>
          <w:sz w:val="20"/>
          <w:szCs w:val="20"/>
          <w:color w:val="auto"/>
        </w:rPr>
      </w:pPr>
      <w:r>
        <w:rPr>
          <w:rFonts w:ascii="Arial" w:cs="Arial" w:eastAsia="Arial" w:hAnsi="Arial"/>
          <w:sz w:val="14"/>
          <w:szCs w:val="14"/>
          <w:color w:val="auto"/>
        </w:rPr>
        <w:t>For the three months ended December 31, 2016, we invested $229.2 million in nine new and seven existing portfolio companies with a weighted average yield on debt investments of 11.2%. Sales and repayments of investments for the three months ended December 31, 2016 totaled $64.2 million.</w:t>
      </w:r>
    </w:p>
    <w:p>
      <w:pPr>
        <w:spacing w:after="0" w:line="66" w:lineRule="exact"/>
        <w:rPr>
          <w:sz w:val="20"/>
          <w:szCs w:val="20"/>
          <w:color w:val="auto"/>
        </w:rPr>
      </w:pPr>
    </w:p>
    <w:p>
      <w:pPr>
        <w:ind w:right="360" w:firstLine="562"/>
        <w:spacing w:after="0" w:line="253" w:lineRule="auto"/>
        <w:rPr>
          <w:sz w:val="20"/>
          <w:szCs w:val="20"/>
          <w:color w:val="auto"/>
        </w:rPr>
      </w:pPr>
      <w:r>
        <w:rPr>
          <w:rFonts w:ascii="Arial" w:cs="Arial" w:eastAsia="Arial" w:hAnsi="Arial"/>
          <w:sz w:val="14"/>
          <w:szCs w:val="14"/>
          <w:color w:val="auto"/>
        </w:rPr>
        <w:t>For the three months ended December 31, 2015, we invested $130.3 million in four new and six existing portfolio companies with a weighted average yield on debt investments of 11.9%. Sales and repayments of investments for the three months ended December 31, 2015 totaled $108.1 million.</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100" w:lineRule="exact"/>
        <w:rPr>
          <w:sz w:val="20"/>
          <w:szCs w:val="20"/>
          <w:color w:val="auto"/>
        </w:rPr>
      </w:pPr>
    </w:p>
    <w:p>
      <w:pPr>
        <w:ind w:right="40" w:firstLine="562"/>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Valuations</w:t>
      </w:r>
    </w:p>
    <w:p>
      <w:pPr>
        <w:spacing w:after="0" w:line="96"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71" w:lineRule="exact"/>
        <w:rPr>
          <w:sz w:val="20"/>
          <w:szCs w:val="20"/>
          <w:color w:val="auto"/>
        </w:rPr>
      </w:pPr>
    </w:p>
    <w:p>
      <w:pPr>
        <w:ind w:right="240" w:firstLine="562"/>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7" w:lineRule="exact"/>
        <w:rPr>
          <w:sz w:val="20"/>
          <w:szCs w:val="20"/>
          <w:color w:val="auto"/>
        </w:rPr>
      </w:pPr>
    </w:p>
    <w:p>
      <w:pPr>
        <w:ind w:left="880" w:right="60" w:hanging="319"/>
        <w:spacing w:after="0" w:line="253" w:lineRule="auto"/>
        <w:tabs>
          <w:tab w:leader="none" w:pos="8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79" w:lineRule="exact"/>
        <w:rPr>
          <w:rFonts w:ascii="Arial" w:cs="Arial" w:eastAsia="Arial" w:hAnsi="Arial"/>
          <w:sz w:val="14"/>
          <w:szCs w:val="14"/>
          <w:color w:val="auto"/>
        </w:rPr>
      </w:pPr>
    </w:p>
    <w:p>
      <w:pPr>
        <w:ind w:left="880" w:hanging="319"/>
        <w:spacing w:after="0"/>
        <w:tabs>
          <w:tab w:leader="none" w:pos="8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09" w:lineRule="exact"/>
        <w:rPr>
          <w:rFonts w:ascii="Arial" w:cs="Arial" w:eastAsia="Arial" w:hAnsi="Arial"/>
          <w:sz w:val="14"/>
          <w:szCs w:val="14"/>
          <w:color w:val="auto"/>
        </w:rPr>
      </w:pPr>
    </w:p>
    <w:p>
      <w:pPr>
        <w:jc w:val="both"/>
        <w:ind w:left="880" w:right="100" w:hanging="319"/>
        <w:spacing w:after="0" w:line="264" w:lineRule="auto"/>
        <w:tabs>
          <w:tab w:leader="none" w:pos="8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73" w:lineRule="exact"/>
        <w:rPr>
          <w:rFonts w:ascii="Arial" w:cs="Arial" w:eastAsia="Arial" w:hAnsi="Arial"/>
          <w:sz w:val="13"/>
          <w:szCs w:val="13"/>
          <w:color w:val="auto"/>
        </w:rPr>
      </w:pPr>
    </w:p>
    <w:p>
      <w:pPr>
        <w:ind w:left="880" w:right="340" w:hanging="319"/>
        <w:spacing w:after="0" w:line="238" w:lineRule="auto"/>
        <w:tabs>
          <w:tab w:leader="none" w:pos="8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88" w:lineRule="exact"/>
        <w:rPr>
          <w:rFonts w:ascii="Arial" w:cs="Arial" w:eastAsia="Arial" w:hAnsi="Arial"/>
          <w:sz w:val="14"/>
          <w:szCs w:val="14"/>
          <w:color w:val="auto"/>
        </w:rPr>
      </w:pPr>
    </w:p>
    <w:p>
      <w:pPr>
        <w:ind w:left="880" w:right="120" w:hanging="319"/>
        <w:spacing w:after="0" w:line="253" w:lineRule="auto"/>
        <w:tabs>
          <w:tab w:leader="none" w:pos="8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66" w:lineRule="exact"/>
        <w:rPr>
          <w:sz w:val="20"/>
          <w:szCs w:val="20"/>
          <w:color w:val="auto"/>
        </w:rPr>
      </w:pPr>
    </w:p>
    <w:p>
      <w:pPr>
        <w:jc w:val="both"/>
        <w:ind w:right="180" w:firstLine="562"/>
        <w:spacing w:after="0" w:line="255"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by a principal market maker or a primary market dealer. The Investment Adviser assesses the source and reliability of bids from brokers or dealers.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67" w:lineRule="exact"/>
        <w:rPr>
          <w:sz w:val="20"/>
          <w:szCs w:val="20"/>
          <w:color w:val="auto"/>
        </w:rPr>
      </w:pPr>
    </w:p>
    <w:p>
      <w:pPr>
        <w:ind w:firstLine="562"/>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date.</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28</w:t>
      </w:r>
    </w:p>
    <w:p>
      <w:pPr>
        <w:sectPr>
          <w:pgSz w:w="11900" w:h="16838" w:orient="portrait"/>
          <w:cols w:equalWidth="0" w:num="1">
            <w:col w:w="11240"/>
          </w:cols>
          <w:pgMar w:left="320" w:top="45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09" w:lineRule="exact"/>
        <w:rPr>
          <w:sz w:val="20"/>
          <w:szCs w:val="20"/>
          <w:color w:val="auto"/>
        </w:rPr>
      </w:pPr>
    </w:p>
    <w:p>
      <w:pPr>
        <w:ind w:left="740"/>
        <w:spacing w:after="0"/>
        <w:tabs>
          <w:tab w:leader="none" w:pos="150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96" w:lineRule="exact"/>
        <w:rPr>
          <w:sz w:val="20"/>
          <w:szCs w:val="20"/>
          <w:color w:val="auto"/>
        </w:rPr>
      </w:pPr>
    </w:p>
    <w:p>
      <w:pPr>
        <w:ind w:left="1520" w:right="800" w:hanging="782"/>
        <w:spacing w:after="0" w:line="238" w:lineRule="auto"/>
        <w:tabs>
          <w:tab w:leader="none" w:pos="150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4"/>
          <w:szCs w:val="14"/>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75" w:lineRule="exact"/>
        <w:rPr>
          <w:sz w:val="20"/>
          <w:szCs w:val="20"/>
          <w:color w:val="auto"/>
        </w:rPr>
      </w:pPr>
    </w:p>
    <w:p>
      <w:pPr>
        <w:ind w:left="1520" w:right="780" w:hanging="782"/>
        <w:spacing w:after="0" w:line="253" w:lineRule="auto"/>
        <w:tabs>
          <w:tab w:leader="none" w:pos="150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4"/>
          <w:szCs w:val="14"/>
          <w:color w:val="auto"/>
        </w:rPr>
        <w:t>Inputs that are unobservable for an asset or liability because they are based on our own assumptions about how market participants would price the asset or liability.</w:t>
      </w:r>
    </w:p>
    <w:p>
      <w:pPr>
        <w:spacing w:after="0" w:line="66" w:lineRule="exact"/>
        <w:rPr>
          <w:sz w:val="20"/>
          <w:szCs w:val="20"/>
          <w:color w:val="auto"/>
        </w:rPr>
      </w:pPr>
    </w:p>
    <w:p>
      <w:pPr>
        <w:jc w:val="both"/>
        <w:ind w:right="280" w:firstLine="562"/>
        <w:spacing w:after="0" w:line="238"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75" w:lineRule="exact"/>
        <w:rPr>
          <w:sz w:val="20"/>
          <w:szCs w:val="20"/>
          <w:color w:val="auto"/>
        </w:rPr>
      </w:pPr>
    </w:p>
    <w:p>
      <w:pPr>
        <w:ind w:right="160" w:firstLine="562"/>
        <w:spacing w:after="0" w:line="290" w:lineRule="auto"/>
        <w:rPr>
          <w:sz w:val="20"/>
          <w:szCs w:val="20"/>
          <w:color w:val="auto"/>
        </w:rPr>
      </w:pPr>
      <w:r>
        <w:rPr>
          <w:rFonts w:ascii="Arial" w:cs="Arial" w:eastAsia="Arial" w:hAnsi="Arial"/>
          <w:sz w:val="13"/>
          <w:szCs w:val="13"/>
          <w:color w:val="auto"/>
        </w:rPr>
        <w:t>In addition to using the above inputs in cash equivalents, investments, our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44" w:lineRule="exact"/>
        <w:rPr>
          <w:sz w:val="20"/>
          <w:szCs w:val="20"/>
          <w:color w:val="auto"/>
        </w:rPr>
      </w:pPr>
    </w:p>
    <w:p>
      <w:pPr>
        <w:ind w:firstLine="562"/>
        <w:spacing w:after="0" w:line="225" w:lineRule="auto"/>
        <w:rPr>
          <w:sz w:val="20"/>
          <w:szCs w:val="20"/>
          <w:color w:val="auto"/>
        </w:rPr>
      </w:pPr>
      <w:r>
        <w:rPr>
          <w:rFonts w:ascii="Arial" w:cs="Arial" w:eastAsia="Arial" w:hAnsi="Arial"/>
          <w:sz w:val="14"/>
          <w:szCs w:val="14"/>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and our Notes. We elected to use the fair value option for the Credit Facility and our Notes to align the measurement attributes of both our assets and liabilities while mitigating volatility in earnings from using different measurement attributes.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and our Notes are reported in our Consolidated Statements of Operations. We elected not to apply ASC 825-10 to any other financial assets or liabilities, including the SBA debentures. For the three months ended December 31, 2016 and 2015, our Credit Facility and our Notes had a net change in unrealized depreciation of $5.8 million and $7.7 million, respectively. As of December 31, 2016 and September 30, 2016, net unrealized depreciation on our Credit Facility and our Notes totaled $11.1 million and $5.2 million, respectively. We use a nationally recognized independent valuation service to fair value of our Credit Facility and our 2019 Notes in a manner consistent with the valuation process that the board of directors uses to value investments. Our 2025 Notes trade on the NYSE under the ticker “PNTA” and we use the closing price on the exchange to determine their fair value.</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96" w:lineRule="exact"/>
        <w:rPr>
          <w:sz w:val="20"/>
          <w:szCs w:val="20"/>
          <w:color w:val="auto"/>
        </w:rPr>
      </w:pPr>
    </w:p>
    <w:p>
      <w:pPr>
        <w:ind w:right="20" w:firstLine="562"/>
        <w:spacing w:after="0" w:line="229" w:lineRule="auto"/>
        <w:rPr>
          <w:sz w:val="20"/>
          <w:szCs w:val="20"/>
          <w:color w:val="auto"/>
        </w:rPr>
      </w:pPr>
      <w:r>
        <w:rPr>
          <w:rFonts w:ascii="Arial" w:cs="Arial" w:eastAsia="Arial" w:hAnsi="Arial"/>
          <w:sz w:val="14"/>
          <w:szCs w:val="14"/>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collectible.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96" w:lineRule="exact"/>
        <w:rPr>
          <w:sz w:val="20"/>
          <w:szCs w:val="20"/>
          <w:color w:val="auto"/>
        </w:rPr>
      </w:pPr>
    </w:p>
    <w:p>
      <w:pPr>
        <w:ind w:right="160" w:firstLine="562"/>
        <w:spacing w:after="0" w:line="233" w:lineRule="auto"/>
        <w:rPr>
          <w:sz w:val="20"/>
          <w:szCs w:val="20"/>
          <w:color w:val="auto"/>
        </w:rPr>
      </w:pPr>
      <w:r>
        <w:rPr>
          <w:rFonts w:ascii="Arial" w:cs="Arial" w:eastAsia="Arial" w:hAnsi="Arial"/>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values of our portfolio investments, our Credit Facility and our Notes during the reporting period, including any reversal of previously recorded unrealized appreciation or depreciation, when gains or losses are realized.</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96" w:lineRule="exact"/>
        <w:rPr>
          <w:sz w:val="20"/>
          <w:szCs w:val="20"/>
          <w:color w:val="auto"/>
        </w:rPr>
      </w:pPr>
    </w:p>
    <w:p>
      <w:pPr>
        <w:ind w:left="1060" w:hanging="154"/>
        <w:spacing w:after="0"/>
        <w:tabs>
          <w:tab w:leader="none" w:pos="10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95" w:lineRule="exact"/>
        <w:rPr>
          <w:rFonts w:ascii="Arial" w:cs="Arial" w:eastAsia="Arial" w:hAnsi="Arial"/>
          <w:sz w:val="14"/>
          <w:szCs w:val="14"/>
          <w:color w:val="auto"/>
        </w:rPr>
      </w:pPr>
    </w:p>
    <w:p>
      <w:pPr>
        <w:ind w:left="1060" w:hanging="154"/>
        <w:spacing w:after="0"/>
        <w:tabs>
          <w:tab w:leader="none" w:pos="10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96" w:lineRule="exact"/>
        <w:rPr>
          <w:sz w:val="20"/>
          <w:szCs w:val="20"/>
          <w:color w:val="auto"/>
        </w:rPr>
      </w:pPr>
    </w:p>
    <w:p>
      <w:pPr>
        <w:ind w:right="40" w:firstLine="562"/>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Payment-In-Kind Interest or PIK</w:t>
      </w:r>
    </w:p>
    <w:p>
      <w:pPr>
        <w:spacing w:after="0" w:line="96" w:lineRule="exact"/>
        <w:rPr>
          <w:sz w:val="20"/>
          <w:szCs w:val="20"/>
          <w:color w:val="auto"/>
        </w:rPr>
      </w:pPr>
    </w:p>
    <w:p>
      <w:pPr>
        <w:ind w:right="300" w:firstLine="562"/>
        <w:spacing w:after="0" w:line="238" w:lineRule="auto"/>
        <w:rPr>
          <w:sz w:val="20"/>
          <w:szCs w:val="20"/>
          <w:color w:val="auto"/>
        </w:rPr>
      </w:pPr>
      <w:r>
        <w:rPr>
          <w:rFonts w:ascii="Arial" w:cs="Arial" w:eastAsia="Arial" w:hAnsi="Arial"/>
          <w:sz w:val="14"/>
          <w:szCs w:val="14"/>
          <w:color w:val="auto"/>
        </w:rPr>
        <w:t>We have investments in our portfolio which contain a PIK interest provision. PIK interest is added to the principal balance of the investment and is recorded as income. For us to maintain our ability to be treated as RIC for federal income tax purposes, substantially all of this income must be paid out to stockholders in the form of dividends for U.S. federal income tax purposes, even though we may not have collected any cash with respect to interest on PIK securities.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96" w:lineRule="exact"/>
        <w:rPr>
          <w:sz w:val="20"/>
          <w:szCs w:val="20"/>
          <w:color w:val="auto"/>
        </w:rPr>
      </w:pPr>
    </w:p>
    <w:p>
      <w:pPr>
        <w:ind w:right="200" w:firstLine="562"/>
        <w:spacing w:after="0" w:line="255" w:lineRule="auto"/>
        <w:rPr>
          <w:sz w:val="20"/>
          <w:szCs w:val="20"/>
          <w:color w:val="auto"/>
        </w:rPr>
      </w:pPr>
      <w:r>
        <w:rPr>
          <w:rFonts w:ascii="Arial" w:cs="Arial" w:eastAsia="Arial" w:hAnsi="Arial"/>
          <w:sz w:val="13"/>
          <w:szCs w:val="13"/>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67" w:lineRule="exact"/>
        <w:rPr>
          <w:sz w:val="20"/>
          <w:szCs w:val="20"/>
          <w:color w:val="auto"/>
        </w:rPr>
      </w:pPr>
    </w:p>
    <w:p>
      <w:pPr>
        <w:ind w:firstLine="562"/>
        <w:spacing w:after="0" w:line="247" w:lineRule="auto"/>
        <w:rPr>
          <w:sz w:val="20"/>
          <w:szCs w:val="20"/>
          <w:color w:val="auto"/>
        </w:rPr>
      </w:pPr>
      <w:r>
        <w:rPr>
          <w:rFonts w:ascii="Arial" w:cs="Arial" w:eastAsia="Arial" w:hAnsi="Arial"/>
          <w:sz w:val="13"/>
          <w:szCs w:val="13"/>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the excess, if any, of our capital gains over our capital losses, or capital net gain income (adjusted for certain ordinary losses) for the one-year period ending on October 31 of the calendar year plus (3) the sum of any net ordinary income plus capital gain net income for preceding years that was not distributed during such years and on which we did not incur any 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maintaining our ability to be subject to tax as a RIC, in order to provide us with additional liquidity.</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29</w:t>
      </w:r>
    </w:p>
    <w:p>
      <w:pPr>
        <w:sectPr>
          <w:pgSz w:w="11900" w:h="16838" w:orient="portrait"/>
          <w:cols w:equalWidth="0" w:num="1">
            <w:col w:w="11240"/>
          </w:cols>
          <w:pgMar w:left="32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both"/>
        <w:ind w:right="120" w:firstLine="562"/>
        <w:spacing w:after="0" w:line="296" w:lineRule="auto"/>
        <w:rPr>
          <w:sz w:val="20"/>
          <w:szCs w:val="20"/>
          <w:color w:val="auto"/>
        </w:rPr>
      </w:pPr>
      <w:r>
        <w:rPr>
          <w:rFonts w:ascii="Arial" w:cs="Arial" w:eastAsia="Arial" w:hAnsi="Arial"/>
          <w:sz w:val="12"/>
          <w:szCs w:val="12"/>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43" w:lineRule="exact"/>
        <w:rPr>
          <w:sz w:val="20"/>
          <w:szCs w:val="20"/>
          <w:color w:val="auto"/>
        </w:rPr>
      </w:pPr>
    </w:p>
    <w:p>
      <w:pPr>
        <w:ind w:right="180" w:firstLine="562"/>
        <w:spacing w:after="0" w:line="290" w:lineRule="auto"/>
        <w:rPr>
          <w:sz w:val="20"/>
          <w:szCs w:val="20"/>
          <w:color w:val="auto"/>
        </w:rPr>
      </w:pPr>
      <w:r>
        <w:rPr>
          <w:rFonts w:ascii="Arial" w:cs="Arial" w:eastAsia="Arial" w:hAnsi="Arial"/>
          <w:sz w:val="13"/>
          <w:szCs w:val="13"/>
          <w:color w:val="auto"/>
        </w:rPr>
        <w:t>We have formed and expect to continue to form certain Taxable Subsidiaries, which are subject to tax as corporations. These Taxable Subsidiaries allow us to hold equity securities of certain portfolio companies treated as pass-through entities for U.S. federal income tax purposes while allowing us to maintain our ability to qualify as a RIC under the Code.</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Set forth below are the results of operations for the three months ended December 31, 2016 and 2015.</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96" w:lineRule="exact"/>
        <w:rPr>
          <w:sz w:val="20"/>
          <w:szCs w:val="20"/>
          <w:color w:val="auto"/>
        </w:rPr>
      </w:pPr>
    </w:p>
    <w:p>
      <w:pPr>
        <w:ind w:right="140" w:firstLine="562"/>
        <w:spacing w:after="0" w:line="233" w:lineRule="auto"/>
        <w:rPr>
          <w:sz w:val="20"/>
          <w:szCs w:val="20"/>
          <w:color w:val="auto"/>
        </w:rPr>
      </w:pPr>
      <w:r>
        <w:rPr>
          <w:rFonts w:ascii="Arial" w:cs="Arial" w:eastAsia="Arial" w:hAnsi="Arial"/>
          <w:sz w:val="14"/>
          <w:szCs w:val="14"/>
          <w:color w:val="auto"/>
        </w:rPr>
        <w:t>Investment income for the three months ended December 31, 2016 was $31.9 million and was attributable to $13.2 million from senior secured debt, $12.7 million from second lien secured debt, $4.9 million from subordinated debt and $1.1 million from preferred and common equity, respectively. Investment income for the three months ended December 31, 2015 was $35.3 million and was attributable to $12.9 million from senior secured debt, $17.4 million from second lien secured debt and $5.0 million from subordinated debt, respectively. The decrease in investment income compared with the same period in the prior year was primarily due to a lower yielding portfolio.</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96" w:lineRule="exact"/>
        <w:rPr>
          <w:sz w:val="20"/>
          <w:szCs w:val="20"/>
          <w:color w:val="auto"/>
        </w:rPr>
      </w:pPr>
    </w:p>
    <w:p>
      <w:pPr>
        <w:ind w:right="120" w:firstLine="562"/>
        <w:spacing w:after="0" w:line="229" w:lineRule="auto"/>
        <w:rPr>
          <w:sz w:val="20"/>
          <w:szCs w:val="20"/>
          <w:color w:val="auto"/>
        </w:rPr>
      </w:pPr>
      <w:r>
        <w:rPr>
          <w:rFonts w:ascii="Arial" w:cs="Arial" w:eastAsia="Arial" w:hAnsi="Arial"/>
          <w:sz w:val="14"/>
          <w:szCs w:val="14"/>
          <w:color w:val="auto"/>
        </w:rPr>
        <w:t>Net expenses for the three months ended December 31, 2016 totaled $16.8 million. Base management fee for the same period totaled $5.3 million (after a base management fee waiver of $1.0 million), incentive fee totaled $2.9 million (after an incentive fee waiver of $0.5 million), debt related interest and expenses totaled $6.7 million, general and administrative expenses totaled $1.5 million and provision for taxes totaled $0.4 million. Net expenses for the three months ended December 31, 2015 totaled $18.4 million. Base management fee for the same period totaled $5.5 million (after a base management fee waiver of $1.0 million), incentive fee totaled $3.2 million (after an incentive fee waiver of $0.6 million), debt related interest and expenses totaled $6.7 million, general and administrative expenses totaled $1.7 million and provision for taxes totaled $1.3 million. The decrease in expenses compared with the same period in the prior year was primarily due to lower taxes.</w:t>
      </w:r>
    </w:p>
    <w:p>
      <w:pPr>
        <w:spacing w:after="0" w:line="7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96" w:lineRule="exact"/>
        <w:rPr>
          <w:sz w:val="20"/>
          <w:szCs w:val="20"/>
          <w:color w:val="auto"/>
        </w:rPr>
      </w:pPr>
    </w:p>
    <w:p>
      <w:pPr>
        <w:ind w:right="400" w:firstLine="562"/>
        <w:spacing w:after="0" w:line="253" w:lineRule="auto"/>
        <w:rPr>
          <w:sz w:val="20"/>
          <w:szCs w:val="20"/>
          <w:color w:val="auto"/>
        </w:rPr>
      </w:pPr>
      <w:r>
        <w:rPr>
          <w:rFonts w:ascii="Arial" w:cs="Arial" w:eastAsia="Arial" w:hAnsi="Arial"/>
          <w:sz w:val="14"/>
          <w:szCs w:val="14"/>
          <w:color w:val="auto"/>
        </w:rPr>
        <w:t>Net investment income totaled $15.0 million, or $0.21 per share, for the three months ended December 31, 2016, and $16.8 million, or $0.23 per share, for the three months ended December 31, 2015. The decrease in net investment income compared to the same period in the prior year was primarily due to the lower yielding portfolio.</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96" w:lineRule="exact"/>
        <w:rPr>
          <w:sz w:val="20"/>
          <w:szCs w:val="20"/>
          <w:color w:val="auto"/>
        </w:rPr>
      </w:pPr>
    </w:p>
    <w:p>
      <w:pPr>
        <w:ind w:right="20" w:firstLine="562"/>
        <w:spacing w:after="0" w:line="238" w:lineRule="auto"/>
        <w:rPr>
          <w:sz w:val="20"/>
          <w:szCs w:val="20"/>
          <w:color w:val="auto"/>
        </w:rPr>
      </w:pPr>
      <w:r>
        <w:rPr>
          <w:rFonts w:ascii="Arial" w:cs="Arial" w:eastAsia="Arial" w:hAnsi="Arial"/>
          <w:sz w:val="14"/>
          <w:szCs w:val="14"/>
          <w:color w:val="auto"/>
        </w:rPr>
        <w:t>Sales and repayments of investments for the three months ended December 31, 2016 totaled $64.2 million and realized losses totaled $22.2 million. Sales and repayments of investments totaled $108.1 million and realized losses totaled $25.4 million for the three months ended December 31, 2015. The change in realized gains/losses was primarily due to changes in the market conditions of our investments and the values at which they were realized.</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Credit Facility and our Notes</w:t>
      </w:r>
    </w:p>
    <w:p>
      <w:pPr>
        <w:spacing w:after="0" w:line="96"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For the three months ended December 31, 2016 and 2015, we reported net unrealized appreciation (depreciation) on investments of $25.4 million and $(39.9) million, respectively. As of December 31, 2016 and September 30, 2016, our net unrealized depreciation on investments totaled $74.9 million and $100.3 million, respectively. The net change in unrealized appreciation (depreciation) on our investments was driven primarily by changes in the capital market conditions, the financial performance of certain portfolio companies and the reversal of unrealized depreciation (appreciation) of investments that were realized.</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3"/>
          <w:szCs w:val="13"/>
          <w:color w:val="auto"/>
        </w:rPr>
        <w:t>For the three months ended December 31, 2016 and 2015, we reported net unrealized depreciation on our Credit Facility and our Notes of $5.8 million and $7.7 million, respectively.</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The change compared with the same period in the prior year was primarily due to changes in the capital markets.</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Change in Net Assets Resulting from Operations</w:t>
      </w:r>
    </w:p>
    <w:p>
      <w:pPr>
        <w:spacing w:after="0" w:line="96" w:lineRule="exact"/>
        <w:rPr>
          <w:sz w:val="20"/>
          <w:szCs w:val="20"/>
          <w:color w:val="auto"/>
        </w:rPr>
      </w:pPr>
    </w:p>
    <w:p>
      <w:pPr>
        <w:jc w:val="both"/>
        <w:ind w:right="120" w:firstLine="562"/>
        <w:spacing w:after="0" w:line="238" w:lineRule="auto"/>
        <w:rPr>
          <w:sz w:val="20"/>
          <w:szCs w:val="20"/>
          <w:color w:val="auto"/>
        </w:rPr>
      </w:pPr>
      <w:r>
        <w:rPr>
          <w:rFonts w:ascii="Arial" w:cs="Arial" w:eastAsia="Arial" w:hAnsi="Arial"/>
          <w:sz w:val="14"/>
          <w:szCs w:val="14"/>
          <w:color w:val="auto"/>
        </w:rPr>
        <w:t>Net change in net assets resulting from operations totaled $24.0 million, or $0.34 per share, for the three months ended December 31, 2016. This compares to a net change in net assets resulting from operations of $(40.8) million, or $(0.56) per share, for the three months ended December 31, 2015. The increase in the net change in net assets from operations compared with the same period in the prior year was primarily due to the continued growth of our portfolio and appreciation of our investments.</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00" w:lineRule="exact"/>
        <w:rPr>
          <w:sz w:val="20"/>
          <w:szCs w:val="20"/>
          <w:color w:val="auto"/>
        </w:rPr>
      </w:pPr>
    </w:p>
    <w:p>
      <w:pPr>
        <w:ind w:right="40" w:firstLine="562"/>
        <w:spacing w:after="0" w:line="264" w:lineRule="auto"/>
        <w:rPr>
          <w:sz w:val="20"/>
          <w:szCs w:val="20"/>
          <w:color w:val="auto"/>
        </w:rPr>
      </w:pPr>
      <w:r>
        <w:rPr>
          <w:rFonts w:ascii="Arial" w:cs="Arial" w:eastAsia="Arial" w:hAnsi="Arial"/>
          <w:sz w:val="13"/>
          <w:szCs w:val="13"/>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and proceeds from the rotation of our portfolio and proceeds from public and private offerings of securities to finance our investment objectives.</w:t>
      </w:r>
    </w:p>
    <w:p>
      <w:pPr>
        <w:spacing w:after="0" w:line="60" w:lineRule="exact"/>
        <w:rPr>
          <w:sz w:val="20"/>
          <w:szCs w:val="20"/>
          <w:color w:val="auto"/>
        </w:rPr>
      </w:pPr>
    </w:p>
    <w:p>
      <w:pPr>
        <w:ind w:right="220" w:firstLine="562"/>
        <w:spacing w:after="0" w:line="241" w:lineRule="auto"/>
        <w:rPr>
          <w:sz w:val="20"/>
          <w:szCs w:val="20"/>
          <w:color w:val="auto"/>
        </w:rPr>
      </w:pPr>
      <w:r>
        <w:rPr>
          <w:rFonts w:ascii="Arial" w:cs="Arial" w:eastAsia="Arial" w:hAnsi="Arial"/>
          <w:sz w:val="13"/>
          <w:szCs w:val="13"/>
          <w:color w:val="auto"/>
        </w:rPr>
        <w:t>As of December 31, 2016, we had a $545 million multi-currency Credit Facility with certain lenders and SunTrust Bank, acting as administrative agent, and JPMorgan Chase Bank, N.A., acting as syndication agent for the lenders. As of December 31, 2016 and September 30, 2016, there was $148.1 million and $50.3 million, respectively, in outstanding borrowings under the Credit Facility. The Credit Facility had a weighted average interest rate of 2.63% and 2.76%, as of December 31, 2016 and September 30, 2016, respectively, excluding the undrawn commitments fees of 0.375%. The annualized weighted average cost of debt for the three months ended December 31, 2016 and 2015, inclusive of the fee on the undrawn commitment on the Credit Facility and upfront fees on SBA debentures, was 4.51% and 4.50%, respectively. The Credit Facility is a five-year revolving facility with a stated maturity date of June 25, 2019, a one-year term-out period following its fourth year and pricing is set at 225 basis points over LIBOR. As of December 31, 2016 and September 30, 2016, we had $396.9 million and</w:t>
      </w:r>
    </w:p>
    <w:p>
      <w:pPr>
        <w:spacing w:after="0" w:line="2" w:lineRule="exact"/>
        <w:rPr>
          <w:sz w:val="20"/>
          <w:szCs w:val="20"/>
          <w:color w:val="auto"/>
        </w:rPr>
      </w:pPr>
    </w:p>
    <w:p>
      <w:pPr>
        <w:ind w:right="20"/>
        <w:spacing w:after="0" w:line="237" w:lineRule="auto"/>
        <w:rPr>
          <w:sz w:val="20"/>
          <w:szCs w:val="20"/>
          <w:color w:val="auto"/>
        </w:rPr>
      </w:pPr>
      <w:r>
        <w:rPr>
          <w:rFonts w:ascii="Arial" w:cs="Arial" w:eastAsia="Arial" w:hAnsi="Arial"/>
          <w:sz w:val="14"/>
          <w:szCs w:val="14"/>
          <w:color w:val="auto"/>
        </w:rPr>
        <w:t>$494.7 million of unused borrowing capacity under our Credit Facility, respectively, subject to the regulatory restrictions. The Credit Facility is secured by substantially all of our assets excluding assets held by our SBIC Funds.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1240"/>
          </w:cols>
          <w:pgMar w:left="32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760" w:firstLine="562"/>
        <w:spacing w:after="0" w:line="253" w:lineRule="auto"/>
        <w:rPr>
          <w:sz w:val="20"/>
          <w:szCs w:val="20"/>
          <w:color w:val="auto"/>
        </w:rPr>
      </w:pPr>
      <w:r>
        <w:rPr>
          <w:rFonts w:ascii="Arial" w:cs="Arial" w:eastAsia="Arial" w:hAnsi="Arial"/>
          <w:sz w:val="14"/>
          <w:szCs w:val="14"/>
          <w:color w:val="auto"/>
        </w:rPr>
        <w:t>For a complete list of covenants contained in the Credit Facility, see our Form 8-K filed on June 30, 2014 and the Credit Facility agreement filed as Exhibit 99.2 thereto and incorporated by reference herein. As of December 31, 2016, we were in compliance with the terms of our Credit Facility.</w:t>
      </w:r>
    </w:p>
    <w:p>
      <w:pPr>
        <w:spacing w:after="0" w:line="66" w:lineRule="exact"/>
        <w:rPr>
          <w:sz w:val="20"/>
          <w:szCs w:val="20"/>
          <w:color w:val="auto"/>
        </w:rPr>
      </w:pPr>
    </w:p>
    <w:p>
      <w:pPr>
        <w:ind w:firstLine="562"/>
        <w:spacing w:after="0" w:line="231" w:lineRule="auto"/>
        <w:rPr>
          <w:sz w:val="20"/>
          <w:szCs w:val="20"/>
          <w:color w:val="auto"/>
        </w:rPr>
      </w:pPr>
      <w:r>
        <w:rPr>
          <w:rFonts w:ascii="Arial" w:cs="Arial" w:eastAsia="Arial" w:hAnsi="Arial"/>
          <w:sz w:val="14"/>
          <w:szCs w:val="14"/>
          <w:color w:val="auto"/>
        </w:rPr>
        <w:t>In September 2014, we issued $250.0 million in aggregate principal amount of 2019 Notes, for net proceeds of $245.5 million after underwriting discounts and offering costs. Interest on the 2019 Notes is paid semi-annually on April 1 and October 1, at a rate of 4.50% per year.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 Please see our base indenture filed as Exhibit (d)(8) to our post-effective amendment filed on January 22, 2013, or the Base Indenture, and the supplemental indenture filed as Exhibit (d)(11) to our post-effective amendment filed on September 23, 2014 for more information.</w:t>
      </w:r>
    </w:p>
    <w:p>
      <w:pPr>
        <w:spacing w:after="0" w:line="76" w:lineRule="exact"/>
        <w:rPr>
          <w:sz w:val="20"/>
          <w:szCs w:val="20"/>
          <w:color w:val="auto"/>
        </w:rPr>
      </w:pPr>
    </w:p>
    <w:p>
      <w:pPr>
        <w:ind w:right="20" w:firstLine="562"/>
        <w:spacing w:after="0" w:line="233" w:lineRule="auto"/>
        <w:rPr>
          <w:sz w:val="20"/>
          <w:szCs w:val="20"/>
          <w:color w:val="auto"/>
        </w:rPr>
      </w:pPr>
      <w:r>
        <w:rPr>
          <w:rFonts w:ascii="Arial" w:cs="Arial" w:eastAsia="Arial" w:hAnsi="Arial"/>
          <w:sz w:val="14"/>
          <w:szCs w:val="14"/>
          <w:color w:val="auto"/>
        </w:rPr>
        <w:t>In January 2013, we issued $71.3 million in aggregate principal amount of 2025 Notes. Interest on the 2025 Notes is paid quarterly on February 1, May 1, August 1 and November 1, at a rate of 6.25% per year. The 2025 Notes mature on February 1, 2025. The 2025 Notes are general, unsecured obligations and rank equal in right of payment with all of our existing and future senior unsecured indebtedness. The 2025 Notes are structurally subordinated to our SBA debentures and the assets pledged or secured under our Credit Facility. Please see our Base Indenture and the supplemental indenture filed as Exhibit (d)(9) to our post-effective amendment filed on January 22, 2013 for more information.</w:t>
      </w:r>
    </w:p>
    <w:p>
      <w:pPr>
        <w:spacing w:after="0" w:line="77" w:lineRule="exact"/>
        <w:rPr>
          <w:sz w:val="20"/>
          <w:szCs w:val="20"/>
          <w:color w:val="auto"/>
        </w:rPr>
      </w:pPr>
    </w:p>
    <w:p>
      <w:pPr>
        <w:ind w:right="120" w:firstLine="562"/>
        <w:spacing w:after="0" w:line="231" w:lineRule="auto"/>
        <w:rPr>
          <w:sz w:val="20"/>
          <w:szCs w:val="20"/>
          <w:color w:val="auto"/>
        </w:rPr>
      </w:pPr>
      <w:r>
        <w:rPr>
          <w:rFonts w:ascii="Arial" w:cs="Arial" w:eastAsia="Arial" w:hAnsi="Arial"/>
          <w:sz w:val="14"/>
          <w:szCs w:val="14"/>
          <w:color w:val="auto"/>
        </w:rPr>
        <w:t>We may raise additional equity or debt capital through both registered offerings off our shelf registration statement and private offerings of securities, by securitizing a portion of our investments or borrowing from the SBA, among other sources. Any future additional debt capital we incur, to the extent it is available, may be issued at a higher cost and on less favorable terms and conditions than our current Credit Facility, SBA debentures or our Notes. Furthermore, our Credit Facility availability depends on various covenants and restrictions. The primary use of existing funds and any funds raised in the future is expected to be for repayment of indebtedness, investments in portfolio companies, cash distributions to our stockholders or for other general corporate or strategic purposes such as our stock repurchase program.</w:t>
      </w:r>
    </w:p>
    <w:p>
      <w:pPr>
        <w:spacing w:after="0" w:line="76" w:lineRule="exact"/>
        <w:rPr>
          <w:sz w:val="20"/>
          <w:szCs w:val="20"/>
          <w:color w:val="auto"/>
        </w:rPr>
      </w:pPr>
    </w:p>
    <w:p>
      <w:pPr>
        <w:ind w:right="160" w:firstLine="562"/>
        <w:spacing w:after="0" w:line="248" w:lineRule="auto"/>
        <w:rPr>
          <w:sz w:val="20"/>
          <w:szCs w:val="20"/>
          <w:color w:val="auto"/>
        </w:rPr>
      </w:pPr>
      <w:r>
        <w:rPr>
          <w:rFonts w:ascii="Arial" w:cs="Arial" w:eastAsia="Arial" w:hAnsi="Arial"/>
          <w:sz w:val="13"/>
          <w:szCs w:val="13"/>
          <w:color w:val="auto"/>
        </w:rPr>
        <w:t>Our SBIC Funds are able to borrow funds from the SBA against regulatory capital (which approximates equity capital) that is paid-in and is subject to customary regulatory requirements including an examination by the SBA. We have funded SBIC I with $75.0 million of equity capital and it had SBA debentures outstanding of $150.0 million as of December 31, 2016. We have funded SBIC II with $52.5 million of equity capital, and it had SBA debentures outstanding of $47.5 million and commitments from the SBA for another $27.5 million of debentures.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$150.0 million, which is up to twice its potential regulatory capital, and as part of a group of SBICs under common control may borrow a maximum of $350.0 million in the aggregate.</w:t>
      </w:r>
    </w:p>
    <w:p>
      <w:pPr>
        <w:spacing w:after="0" w:line="72" w:lineRule="exact"/>
        <w:rPr>
          <w:sz w:val="20"/>
          <w:szCs w:val="20"/>
          <w:color w:val="auto"/>
        </w:rPr>
      </w:pPr>
    </w:p>
    <w:p>
      <w:pPr>
        <w:ind w:right="80" w:firstLine="562"/>
        <w:spacing w:after="0" w:line="238" w:lineRule="auto"/>
        <w:rPr>
          <w:sz w:val="20"/>
          <w:szCs w:val="20"/>
          <w:color w:val="auto"/>
        </w:rPr>
      </w:pPr>
      <w:r>
        <w:rPr>
          <w:rFonts w:ascii="Arial" w:cs="Arial" w:eastAsia="Arial" w:hAnsi="Arial"/>
          <w:sz w:val="14"/>
          <w:szCs w:val="14"/>
          <w:color w:val="auto"/>
        </w:rPr>
        <w:t>As of December 31, 2016 and September 30, 2016, our SBIC Funds had $225.0 million in debt commitments, of which $197.5 million was drawn, respectively. As of December 31, 2016 and September 30, 2016, the unamortized fees on the SBA debentures was $4.1 million and $4.3 million, respectively. The SBA debentures’ upfront fees of 3.43% consist of a commitment fee of 1.00% and an issuance discount of 2.43%, which are being amortized.</w:t>
      </w:r>
    </w:p>
    <w:p>
      <w:pPr>
        <w:spacing w:after="0" w:line="75" w:lineRule="exact"/>
        <w:rPr>
          <w:sz w:val="20"/>
          <w:szCs w:val="20"/>
          <w:color w:val="auto"/>
        </w:rPr>
      </w:pPr>
    </w:p>
    <w:p>
      <w:pPr>
        <w:ind w:left="560"/>
        <w:spacing w:after="0"/>
        <w:rPr>
          <w:sz w:val="20"/>
          <w:szCs w:val="20"/>
          <w:color w:val="auto"/>
        </w:rPr>
      </w:pPr>
      <w:r>
        <w:rPr>
          <w:rFonts w:ascii="Arial" w:cs="Arial" w:eastAsia="Arial" w:hAnsi="Arial"/>
          <w:sz w:val="14"/>
          <w:szCs w:val="14"/>
          <w:color w:val="auto"/>
        </w:rPr>
        <w:t>Our fixed-rate SBA debentures as of December 31, 2016 and September 30, 2016 were as follows:</w:t>
      </w:r>
    </w:p>
    <w:p>
      <w:pPr>
        <w:spacing w:after="0" w:line="214"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340" w:type="dxa"/>
            <w:vAlign w:val="bottom"/>
            <w:vMerge w:val="restart"/>
          </w:tcPr>
          <w:p>
            <w:pPr>
              <w:ind w:left="720"/>
              <w:spacing w:after="0"/>
              <w:rPr>
                <w:sz w:val="20"/>
                <w:szCs w:val="20"/>
                <w:color w:val="auto"/>
              </w:rPr>
            </w:pPr>
            <w:r>
              <w:rPr>
                <w:rFonts w:ascii="Arial" w:cs="Arial" w:eastAsia="Arial" w:hAnsi="Arial"/>
                <w:sz w:val="14"/>
                <w:szCs w:val="14"/>
                <w:b w:val="1"/>
                <w:bCs w:val="1"/>
                <w:color w:val="auto"/>
              </w:rPr>
              <w:t>Issuance Dates</w:t>
            </w:r>
          </w:p>
        </w:tc>
        <w:tc>
          <w:tcPr>
            <w:tcW w:w="480" w:type="dxa"/>
            <w:vAlign w:val="bottom"/>
          </w:tcPr>
          <w:p>
            <w:pPr>
              <w:spacing w:after="0"/>
              <w:rPr>
                <w:sz w:val="14"/>
                <w:szCs w:val="14"/>
                <w:color w:val="auto"/>
              </w:rPr>
            </w:pPr>
          </w:p>
        </w:tc>
        <w:tc>
          <w:tcPr>
            <w:tcW w:w="182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Maturity</w:t>
            </w:r>
          </w:p>
        </w:tc>
        <w:tc>
          <w:tcPr>
            <w:tcW w:w="480" w:type="dxa"/>
            <w:vAlign w:val="bottom"/>
            <w:vMerge w:val="restart"/>
          </w:tcPr>
          <w:p>
            <w:pPr>
              <w:spacing w:after="0"/>
              <w:rPr>
                <w:sz w:val="14"/>
                <w:szCs w:val="14"/>
                <w:color w:val="auto"/>
              </w:rPr>
            </w:pPr>
          </w:p>
        </w:tc>
        <w:tc>
          <w:tcPr>
            <w:tcW w:w="2400" w:type="dxa"/>
            <w:vAlign w:val="bottom"/>
            <w:gridSpan w:val="2"/>
          </w:tcPr>
          <w:p>
            <w:pPr>
              <w:ind w:left="500"/>
              <w:spacing w:after="0"/>
              <w:rPr>
                <w:sz w:val="20"/>
                <w:szCs w:val="20"/>
                <w:color w:val="auto"/>
              </w:rPr>
            </w:pPr>
            <w:r>
              <w:rPr>
                <w:rFonts w:ascii="Arial" w:cs="Arial" w:eastAsia="Arial" w:hAnsi="Arial"/>
                <w:sz w:val="14"/>
                <w:szCs w:val="14"/>
                <w:b w:val="1"/>
                <w:bCs w:val="1"/>
                <w:color w:val="auto"/>
              </w:rPr>
              <w:t>Fixed All-in</w:t>
            </w:r>
          </w:p>
        </w:tc>
        <w:tc>
          <w:tcPr>
            <w:tcW w:w="220" w:type="dxa"/>
            <w:vAlign w:val="bottom"/>
          </w:tcPr>
          <w:p>
            <w:pPr>
              <w:spacing w:after="0"/>
              <w:rPr>
                <w:sz w:val="14"/>
                <w:szCs w:val="14"/>
                <w:color w:val="auto"/>
              </w:rPr>
            </w:pPr>
          </w:p>
        </w:tc>
        <w:tc>
          <w:tcPr>
            <w:tcW w:w="1600" w:type="dxa"/>
            <w:vAlign w:val="bottom"/>
            <w:vMerge w:val="restart"/>
          </w:tcPr>
          <w:p>
            <w:pPr>
              <w:jc w:val="right"/>
              <w:ind w:right="308"/>
              <w:spacing w:after="0"/>
              <w:rPr>
                <w:sz w:val="20"/>
                <w:szCs w:val="20"/>
                <w:color w:val="auto"/>
              </w:rPr>
            </w:pPr>
            <w:r>
              <w:rPr>
                <w:rFonts w:ascii="Arial" w:cs="Arial" w:eastAsia="Arial" w:hAnsi="Arial"/>
                <w:sz w:val="14"/>
                <w:szCs w:val="14"/>
                <w:b w:val="1"/>
                <w:bCs w:val="1"/>
                <w:color w:val="auto"/>
              </w:rPr>
              <w:t>Principal Balance</w:t>
            </w:r>
          </w:p>
        </w:tc>
        <w:tc>
          <w:tcPr>
            <w:tcW w:w="8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34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1820" w:type="dxa"/>
            <w:vAlign w:val="bottom"/>
            <w:tcBorders>
              <w:bottom w:val="single" w:sz="8" w:color="auto"/>
            </w:tcBorders>
            <w:vMerge w:val="continue"/>
          </w:tcPr>
          <w:p>
            <w:pPr>
              <w:spacing w:after="0"/>
              <w:rPr>
                <w:sz w:val="14"/>
                <w:szCs w:val="14"/>
                <w:color w:val="auto"/>
              </w:rPr>
            </w:pPr>
          </w:p>
        </w:tc>
        <w:tc>
          <w:tcPr>
            <w:tcW w:w="480" w:type="dxa"/>
            <w:vAlign w:val="bottom"/>
            <w:tcBorders>
              <w:bottom w:val="single" w:sz="8" w:color="CCEEFF"/>
            </w:tcBorders>
            <w:vMerge w:val="continue"/>
          </w:tcPr>
          <w:p>
            <w:pPr>
              <w:spacing w:after="0"/>
              <w:rPr>
                <w:sz w:val="14"/>
                <w:szCs w:val="14"/>
                <w:color w:val="auto"/>
              </w:rPr>
            </w:pPr>
          </w:p>
        </w:tc>
        <w:tc>
          <w:tcPr>
            <w:tcW w:w="178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 xml:space="preserve">coupon rate </w:t>
            </w:r>
            <w:r>
              <w:rPr>
                <w:rFonts w:ascii="Arial" w:cs="Arial" w:eastAsia="Arial" w:hAnsi="Arial"/>
                <w:sz w:val="12"/>
                <w:szCs w:val="12"/>
                <w:b w:val="1"/>
                <w:bCs w:val="1"/>
                <w:color w:val="auto"/>
              </w:rPr>
              <w:t>(1)</w:t>
            </w:r>
          </w:p>
        </w:tc>
        <w:tc>
          <w:tcPr>
            <w:tcW w:w="6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September 22, 2010</w:t>
            </w:r>
          </w:p>
        </w:tc>
        <w:tc>
          <w:tcPr>
            <w:tcW w:w="480" w:type="dxa"/>
            <w:vAlign w:val="bottom"/>
            <w:shd w:val="clear" w:color="auto" w:fill="CCEEFF"/>
          </w:tcPr>
          <w:p>
            <w:pPr>
              <w:spacing w:after="0"/>
              <w:rPr>
                <w:sz w:val="12"/>
                <w:szCs w:val="12"/>
                <w:color w:val="auto"/>
              </w:rPr>
            </w:pPr>
          </w:p>
        </w:tc>
        <w:tc>
          <w:tcPr>
            <w:tcW w:w="18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September 1, 2020</w:t>
            </w:r>
          </w:p>
        </w:tc>
        <w:tc>
          <w:tcPr>
            <w:tcW w:w="48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ind w:left="1520"/>
              <w:spacing w:after="0" w:line="142" w:lineRule="exact"/>
              <w:rPr>
                <w:sz w:val="20"/>
                <w:szCs w:val="20"/>
                <w:color w:val="auto"/>
              </w:rPr>
            </w:pPr>
            <w:r>
              <w:rPr>
                <w:rFonts w:ascii="Arial" w:cs="Arial" w:eastAsia="Arial" w:hAnsi="Arial"/>
                <w:sz w:val="14"/>
                <w:szCs w:val="14"/>
                <w:color w:val="auto"/>
              </w:rPr>
              <w:t>3.50%</w:t>
            </w: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16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500,000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40" w:type="dxa"/>
            <w:vAlign w:val="bottom"/>
          </w:tcPr>
          <w:p>
            <w:pPr>
              <w:spacing w:after="0" w:line="149" w:lineRule="exact"/>
              <w:rPr>
                <w:sz w:val="20"/>
                <w:szCs w:val="20"/>
                <w:color w:val="auto"/>
              </w:rPr>
            </w:pPr>
            <w:r>
              <w:rPr>
                <w:rFonts w:ascii="Arial" w:cs="Arial" w:eastAsia="Arial" w:hAnsi="Arial"/>
                <w:sz w:val="14"/>
                <w:szCs w:val="14"/>
                <w:color w:val="auto"/>
              </w:rPr>
              <w:t>March 29, 2011</w:t>
            </w:r>
          </w:p>
        </w:tc>
        <w:tc>
          <w:tcPr>
            <w:tcW w:w="2780" w:type="dxa"/>
            <w:vAlign w:val="bottom"/>
            <w:gridSpan w:val="3"/>
          </w:tcPr>
          <w:p>
            <w:pPr>
              <w:ind w:left="480"/>
              <w:spacing w:after="0" w:line="149" w:lineRule="exact"/>
              <w:rPr>
                <w:sz w:val="20"/>
                <w:szCs w:val="20"/>
                <w:color w:val="auto"/>
              </w:rPr>
            </w:pPr>
            <w:r>
              <w:rPr>
                <w:rFonts w:ascii="Arial" w:cs="Arial" w:eastAsia="Arial" w:hAnsi="Arial"/>
                <w:sz w:val="14"/>
                <w:szCs w:val="14"/>
                <w:color w:val="auto"/>
              </w:rPr>
              <w:t>March 1, 2021</w:t>
            </w:r>
          </w:p>
        </w:tc>
        <w:tc>
          <w:tcPr>
            <w:tcW w:w="2400" w:type="dxa"/>
            <w:vAlign w:val="bottom"/>
            <w:gridSpan w:val="2"/>
          </w:tcPr>
          <w:p>
            <w:pPr>
              <w:ind w:left="1520"/>
              <w:spacing w:after="0" w:line="149" w:lineRule="exact"/>
              <w:rPr>
                <w:sz w:val="20"/>
                <w:szCs w:val="20"/>
                <w:color w:val="auto"/>
              </w:rPr>
            </w:pPr>
            <w:r>
              <w:rPr>
                <w:rFonts w:ascii="Arial" w:cs="Arial" w:eastAsia="Arial" w:hAnsi="Arial"/>
                <w:sz w:val="14"/>
                <w:szCs w:val="14"/>
                <w:color w:val="auto"/>
              </w:rPr>
              <w:t>4.46</w:t>
            </w:r>
          </w:p>
        </w:tc>
        <w:tc>
          <w:tcPr>
            <w:tcW w:w="220" w:type="dxa"/>
            <w:vAlign w:val="bottom"/>
          </w:tcPr>
          <w:p>
            <w:pPr>
              <w:spacing w:after="0"/>
              <w:rPr>
                <w:sz w:val="12"/>
                <w:szCs w:val="12"/>
                <w:color w:val="auto"/>
              </w:rPr>
            </w:pPr>
          </w:p>
        </w:tc>
        <w:tc>
          <w:tcPr>
            <w:tcW w:w="1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44,500,000</w:t>
            </w:r>
          </w:p>
        </w:tc>
        <w:tc>
          <w:tcPr>
            <w:tcW w:w="0" w:type="dxa"/>
            <w:vAlign w:val="bottom"/>
          </w:tcPr>
          <w:p>
            <w:pPr>
              <w:spacing w:after="0"/>
              <w:rPr>
                <w:sz w:val="1"/>
                <w:szCs w:val="1"/>
                <w:color w:val="auto"/>
              </w:rPr>
            </w:pP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September 21, 2011</w:t>
            </w:r>
          </w:p>
        </w:tc>
        <w:tc>
          <w:tcPr>
            <w:tcW w:w="2780" w:type="dxa"/>
            <w:vAlign w:val="bottom"/>
            <w:gridSpan w:val="3"/>
            <w:shd w:val="clear" w:color="auto" w:fill="CCEEFF"/>
          </w:tcPr>
          <w:p>
            <w:pPr>
              <w:ind w:left="480"/>
              <w:spacing w:after="0" w:line="149" w:lineRule="exact"/>
              <w:rPr>
                <w:sz w:val="20"/>
                <w:szCs w:val="20"/>
                <w:color w:val="auto"/>
              </w:rPr>
            </w:pPr>
            <w:r>
              <w:rPr>
                <w:rFonts w:ascii="Arial" w:cs="Arial" w:eastAsia="Arial" w:hAnsi="Arial"/>
                <w:sz w:val="14"/>
                <w:szCs w:val="14"/>
                <w:color w:val="auto"/>
              </w:rPr>
              <w:t>September 1, 2021</w:t>
            </w:r>
          </w:p>
        </w:tc>
        <w:tc>
          <w:tcPr>
            <w:tcW w:w="2400" w:type="dxa"/>
            <w:vAlign w:val="bottom"/>
            <w:gridSpan w:val="2"/>
            <w:shd w:val="clear" w:color="auto" w:fill="CCEEFF"/>
          </w:tcPr>
          <w:p>
            <w:pPr>
              <w:ind w:left="1520"/>
              <w:spacing w:after="0" w:line="149" w:lineRule="exact"/>
              <w:rPr>
                <w:sz w:val="20"/>
                <w:szCs w:val="20"/>
                <w:color w:val="auto"/>
              </w:rPr>
            </w:pPr>
            <w:r>
              <w:rPr>
                <w:rFonts w:ascii="Arial" w:cs="Arial" w:eastAsia="Arial" w:hAnsi="Arial"/>
                <w:sz w:val="14"/>
                <w:szCs w:val="14"/>
                <w:color w:val="auto"/>
              </w:rPr>
              <w:t>3.38</w:t>
            </w:r>
          </w:p>
        </w:tc>
        <w:tc>
          <w:tcPr>
            <w:tcW w:w="220" w:type="dxa"/>
            <w:vAlign w:val="bottom"/>
            <w:shd w:val="clear" w:color="auto" w:fill="CCEEFF"/>
          </w:tcPr>
          <w:p>
            <w:pPr>
              <w:spacing w:after="0"/>
              <w:rPr>
                <w:sz w:val="12"/>
                <w:szCs w:val="12"/>
                <w:color w:val="auto"/>
              </w:rPr>
            </w:pPr>
          </w:p>
        </w:tc>
        <w:tc>
          <w:tcPr>
            <w:tcW w:w="16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105,000,000</w:t>
            </w:r>
          </w:p>
        </w:tc>
        <w:tc>
          <w:tcPr>
            <w:tcW w:w="0" w:type="dxa"/>
            <w:vAlign w:val="bottom"/>
          </w:tcPr>
          <w:p>
            <w:pPr>
              <w:spacing w:after="0"/>
              <w:rPr>
                <w:sz w:val="1"/>
                <w:szCs w:val="1"/>
                <w:color w:val="auto"/>
              </w:rPr>
            </w:pPr>
          </w:p>
        </w:tc>
      </w:tr>
      <w:tr>
        <w:trPr>
          <w:trHeight w:val="148"/>
        </w:trPr>
        <w:tc>
          <w:tcPr>
            <w:tcW w:w="2340" w:type="dxa"/>
            <w:vAlign w:val="bottom"/>
          </w:tcPr>
          <w:p>
            <w:pPr>
              <w:spacing w:after="0" w:line="149" w:lineRule="exact"/>
              <w:rPr>
                <w:sz w:val="20"/>
                <w:szCs w:val="20"/>
                <w:color w:val="auto"/>
              </w:rPr>
            </w:pPr>
            <w:r>
              <w:rPr>
                <w:rFonts w:ascii="Arial" w:cs="Arial" w:eastAsia="Arial" w:hAnsi="Arial"/>
                <w:sz w:val="14"/>
                <w:szCs w:val="14"/>
                <w:color w:val="auto"/>
              </w:rPr>
              <w:t>March 23, 2016</w:t>
            </w:r>
          </w:p>
        </w:tc>
        <w:tc>
          <w:tcPr>
            <w:tcW w:w="2780" w:type="dxa"/>
            <w:vAlign w:val="bottom"/>
            <w:gridSpan w:val="3"/>
          </w:tcPr>
          <w:p>
            <w:pPr>
              <w:ind w:left="480"/>
              <w:spacing w:after="0" w:line="149" w:lineRule="exact"/>
              <w:rPr>
                <w:sz w:val="20"/>
                <w:szCs w:val="20"/>
                <w:color w:val="auto"/>
              </w:rPr>
            </w:pPr>
            <w:r>
              <w:rPr>
                <w:rFonts w:ascii="Arial" w:cs="Arial" w:eastAsia="Arial" w:hAnsi="Arial"/>
                <w:sz w:val="14"/>
                <w:szCs w:val="14"/>
                <w:color w:val="auto"/>
              </w:rPr>
              <w:t>March 1, 2026</w:t>
            </w:r>
          </w:p>
        </w:tc>
        <w:tc>
          <w:tcPr>
            <w:tcW w:w="2400" w:type="dxa"/>
            <w:vAlign w:val="bottom"/>
            <w:gridSpan w:val="2"/>
          </w:tcPr>
          <w:p>
            <w:pPr>
              <w:ind w:left="1520"/>
              <w:spacing w:after="0" w:line="149" w:lineRule="exact"/>
              <w:rPr>
                <w:sz w:val="20"/>
                <w:szCs w:val="20"/>
                <w:color w:val="auto"/>
              </w:rPr>
            </w:pPr>
            <w:r>
              <w:rPr>
                <w:rFonts w:ascii="Arial" w:cs="Arial" w:eastAsia="Arial" w:hAnsi="Arial"/>
                <w:sz w:val="14"/>
                <w:szCs w:val="14"/>
                <w:color w:val="auto"/>
              </w:rPr>
              <w:t>2.86</w:t>
            </w:r>
          </w:p>
        </w:tc>
        <w:tc>
          <w:tcPr>
            <w:tcW w:w="220" w:type="dxa"/>
            <w:vAlign w:val="bottom"/>
          </w:tcPr>
          <w:p>
            <w:pPr>
              <w:spacing w:after="0"/>
              <w:rPr>
                <w:sz w:val="12"/>
                <w:szCs w:val="12"/>
                <w:color w:val="auto"/>
              </w:rPr>
            </w:pPr>
          </w:p>
        </w:tc>
        <w:tc>
          <w:tcPr>
            <w:tcW w:w="16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22,500,000</w:t>
            </w:r>
          </w:p>
        </w:tc>
        <w:tc>
          <w:tcPr>
            <w:tcW w:w="0" w:type="dxa"/>
            <w:vAlign w:val="bottom"/>
          </w:tcPr>
          <w:p>
            <w:pPr>
              <w:spacing w:after="0"/>
              <w:rPr>
                <w:sz w:val="1"/>
                <w:szCs w:val="1"/>
                <w:color w:val="auto"/>
              </w:rPr>
            </w:pPr>
          </w:p>
        </w:tc>
      </w:tr>
      <w:tr>
        <w:trPr>
          <w:trHeight w:val="148"/>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September 21, 2016</w:t>
            </w:r>
          </w:p>
        </w:tc>
        <w:tc>
          <w:tcPr>
            <w:tcW w:w="2780" w:type="dxa"/>
            <w:vAlign w:val="bottom"/>
            <w:gridSpan w:val="3"/>
            <w:shd w:val="clear" w:color="auto" w:fill="CCEEFF"/>
          </w:tcPr>
          <w:p>
            <w:pPr>
              <w:ind w:left="480"/>
              <w:spacing w:after="0" w:line="149" w:lineRule="exact"/>
              <w:rPr>
                <w:sz w:val="20"/>
                <w:szCs w:val="20"/>
                <w:color w:val="auto"/>
              </w:rPr>
            </w:pPr>
            <w:r>
              <w:rPr>
                <w:rFonts w:ascii="Arial" w:cs="Arial" w:eastAsia="Arial" w:hAnsi="Arial"/>
                <w:sz w:val="14"/>
                <w:szCs w:val="14"/>
                <w:color w:val="auto"/>
              </w:rPr>
              <w:t>September 1, 2026</w:t>
            </w:r>
          </w:p>
        </w:tc>
        <w:tc>
          <w:tcPr>
            <w:tcW w:w="1780" w:type="dxa"/>
            <w:vAlign w:val="bottom"/>
            <w:tcBorders>
              <w:bottom w:val="single" w:sz="8" w:color="auto"/>
            </w:tcBorders>
            <w:shd w:val="clear" w:color="auto" w:fill="CCEEFF"/>
          </w:tcPr>
          <w:p>
            <w:pPr>
              <w:ind w:left="1520"/>
              <w:spacing w:after="0" w:line="149" w:lineRule="exact"/>
              <w:rPr>
                <w:sz w:val="20"/>
                <w:szCs w:val="20"/>
                <w:color w:val="auto"/>
              </w:rPr>
            </w:pPr>
            <w:r>
              <w:rPr>
                <w:rFonts w:ascii="Arial" w:cs="Arial" w:eastAsia="Arial" w:hAnsi="Arial"/>
                <w:sz w:val="14"/>
                <w:szCs w:val="14"/>
                <w:color w:val="auto"/>
                <w:w w:val="87"/>
              </w:rPr>
              <w:t>2.41</w:t>
            </w:r>
          </w:p>
        </w:tc>
        <w:tc>
          <w:tcPr>
            <w:tcW w:w="6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16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25,000,000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340" w:type="dxa"/>
            <w:vAlign w:val="bottom"/>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4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0" w:type="dxa"/>
            <w:vAlign w:val="bottom"/>
            <w:gridSpan w:val="2"/>
          </w:tcPr>
          <w:p>
            <w:pPr>
              <w:ind w:left="1520"/>
              <w:spacing w:after="0" w:line="155" w:lineRule="exact"/>
              <w:rPr>
                <w:sz w:val="20"/>
                <w:szCs w:val="20"/>
                <w:color w:val="auto"/>
              </w:rPr>
            </w:pPr>
            <w:r>
              <w:rPr>
                <w:rFonts w:ascii="Arial" w:cs="Arial" w:eastAsia="Arial" w:hAnsi="Arial"/>
                <w:sz w:val="14"/>
                <w:szCs w:val="14"/>
                <w:color w:val="auto"/>
              </w:rPr>
              <w:t>3.44%</w:t>
            </w: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1600" w:type="dxa"/>
            <w:vAlign w:val="bottom"/>
          </w:tcPr>
          <w:p>
            <w:pPr>
              <w:jc w:val="right"/>
              <w:spacing w:after="0" w:line="155" w:lineRule="exact"/>
              <w:rPr>
                <w:sz w:val="20"/>
                <w:szCs w:val="20"/>
                <w:color w:val="auto"/>
              </w:rPr>
            </w:pPr>
            <w:r>
              <w:rPr>
                <w:rFonts w:ascii="Arial" w:cs="Arial" w:eastAsia="Arial" w:hAnsi="Arial"/>
                <w:sz w:val="14"/>
                <w:szCs w:val="14"/>
                <w:color w:val="auto"/>
              </w:rPr>
              <w:t>197,500,000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94615</wp:posOffset>
            </wp:positionV>
            <wp:extent cx="6597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9765" cy="8255"/>
                    </a:xfrm>
                    <a:prstGeom prst="rect">
                      <a:avLst/>
                    </a:prstGeom>
                    <a:noFill/>
                  </pic:spPr>
                </pic:pic>
              </a:graphicData>
            </a:graphic>
          </wp:anchor>
        </w:drawing>
      </w:r>
    </w:p>
    <w:p>
      <w:pPr>
        <w:spacing w:after="0" w:line="164" w:lineRule="exact"/>
        <w:rPr>
          <w:sz w:val="20"/>
          <w:szCs w:val="20"/>
          <w:color w:val="auto"/>
        </w:rPr>
      </w:pPr>
    </w:p>
    <w:p>
      <w:pPr>
        <w:ind w:left="1280" w:hanging="368"/>
        <w:spacing w:after="0"/>
        <w:tabs>
          <w:tab w:leader="none" w:pos="1280" w:val="left"/>
        </w:tabs>
        <w:numPr>
          <w:ilvl w:val="0"/>
          <w:numId w:val="16"/>
        </w:numPr>
        <w:rPr>
          <w:rFonts w:ascii="Arial" w:cs="Arial" w:eastAsia="Arial" w:hAnsi="Arial"/>
          <w:sz w:val="12"/>
          <w:szCs w:val="12"/>
          <w:color w:val="auto"/>
        </w:rPr>
      </w:pPr>
      <w:r>
        <w:rPr>
          <w:rFonts w:ascii="Arial" w:cs="Arial" w:eastAsia="Arial" w:hAnsi="Arial"/>
          <w:sz w:val="14"/>
          <w:szCs w:val="14"/>
          <w:color w:val="auto"/>
        </w:rPr>
        <w:t>Excludes 3.43% of upfront fees.</w:t>
      </w:r>
    </w:p>
    <w:p>
      <w:pPr>
        <w:spacing w:after="0" w:line="109" w:lineRule="exact"/>
        <w:rPr>
          <w:sz w:val="20"/>
          <w:szCs w:val="20"/>
          <w:color w:val="auto"/>
        </w:rPr>
      </w:pPr>
    </w:p>
    <w:p>
      <w:pPr>
        <w:ind w:right="20" w:firstLine="562"/>
        <w:spacing w:after="0" w:line="231"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December 31, 2016, our SBIC Funds were in compliance with their regulatory requirements.</w:t>
      </w:r>
    </w:p>
    <w:p>
      <w:pPr>
        <w:spacing w:after="0" w:line="76" w:lineRule="exact"/>
        <w:rPr>
          <w:sz w:val="20"/>
          <w:szCs w:val="20"/>
          <w:color w:val="auto"/>
        </w:rPr>
      </w:pPr>
    </w:p>
    <w:p>
      <w:pPr>
        <w:ind w:right="160" w:firstLine="562"/>
        <w:spacing w:after="0" w:line="231" w:lineRule="auto"/>
        <w:rPr>
          <w:sz w:val="20"/>
          <w:szCs w:val="20"/>
          <w:color w:val="auto"/>
        </w:rPr>
      </w:pPr>
      <w:r>
        <w:rPr>
          <w:rFonts w:ascii="Arial" w:cs="Arial" w:eastAsia="Arial" w:hAnsi="Arial"/>
          <w:sz w:val="14"/>
          <w:szCs w:val="14"/>
          <w:color w:val="auto"/>
        </w:rPr>
        <w:t>In accordance with the 1940 Act, with certain limited exceptions, PennantPark Investment is only allowed to borrow amounts such that our asset coverage ratio is met after such borrowing. As of December 31, 2016 and September 30, 2016, we excluded the principal amounts of our SBA debentures from our asset coverage ratio pursuant to SEC exemptive relief. In 2011, we received exemptive relief from the SEC allowing us to modify the asset coverage ratio requirement to exclude the SBA debentures from the calculation. Accordingly, our ratio of total assets on a consolidated basis to outstanding indebtedness may be less than 200% which, while providing increased investment flexibility, also increases our exposure to risks associated with leverage.</w:t>
      </w:r>
    </w:p>
    <w:p>
      <w:pPr>
        <w:spacing w:after="0" w:line="76" w:lineRule="exact"/>
        <w:rPr>
          <w:sz w:val="20"/>
          <w:szCs w:val="20"/>
          <w:color w:val="auto"/>
        </w:rPr>
      </w:pPr>
    </w:p>
    <w:p>
      <w:pPr>
        <w:ind w:right="500" w:firstLine="562"/>
        <w:spacing w:after="0" w:line="253" w:lineRule="auto"/>
        <w:rPr>
          <w:sz w:val="20"/>
          <w:szCs w:val="20"/>
          <w:color w:val="auto"/>
        </w:rPr>
      </w:pPr>
      <w:r>
        <w:rPr>
          <w:rFonts w:ascii="Arial" w:cs="Arial" w:eastAsia="Arial" w:hAnsi="Arial"/>
          <w:sz w:val="14"/>
          <w:szCs w:val="14"/>
          <w:color w:val="auto"/>
        </w:rPr>
        <w:t>At December 31, 2016 and September 30, 2016, we had cash and cash equivalents of $45.3 million and $75.6 million, respectively, available for investing and general corporate purposes. We believe our liquidity and capital resources are sufficient to take advantage of market opportunities.</w:t>
      </w:r>
    </w:p>
    <w:p>
      <w:pPr>
        <w:spacing w:after="0" w:line="66" w:lineRule="exact"/>
        <w:rPr>
          <w:sz w:val="20"/>
          <w:szCs w:val="20"/>
          <w:color w:val="auto"/>
        </w:rPr>
      </w:pPr>
    </w:p>
    <w:p>
      <w:pPr>
        <w:ind w:right="40" w:firstLine="562"/>
        <w:spacing w:after="0" w:line="253" w:lineRule="auto"/>
        <w:rPr>
          <w:sz w:val="20"/>
          <w:szCs w:val="20"/>
          <w:color w:val="auto"/>
        </w:rPr>
      </w:pPr>
      <w:r>
        <w:rPr>
          <w:rFonts w:ascii="Arial" w:cs="Arial" w:eastAsia="Arial" w:hAnsi="Arial"/>
          <w:sz w:val="14"/>
          <w:szCs w:val="14"/>
          <w:color w:val="auto"/>
        </w:rPr>
        <w:t>Our operating activities used cash of $108.3 million for the three months ended December 31, 2016, and our financing activities provided cash of $77.9 million for the same period. Our operating activities used cash primarily for our investment activities and our financing activities provided cash primarily for net borrowings under our Credit Facility.</w:t>
      </w:r>
    </w:p>
    <w:p>
      <w:pPr>
        <w:spacing w:after="0" w:line="66" w:lineRule="exact"/>
        <w:rPr>
          <w:sz w:val="20"/>
          <w:szCs w:val="20"/>
          <w:color w:val="auto"/>
        </w:rPr>
      </w:pPr>
    </w:p>
    <w:p>
      <w:pPr>
        <w:ind w:right="440" w:firstLine="562"/>
        <w:spacing w:after="0" w:line="253" w:lineRule="auto"/>
        <w:rPr>
          <w:sz w:val="20"/>
          <w:szCs w:val="20"/>
          <w:color w:val="auto"/>
        </w:rPr>
      </w:pPr>
      <w:r>
        <w:rPr>
          <w:rFonts w:ascii="Arial" w:cs="Arial" w:eastAsia="Arial" w:hAnsi="Arial"/>
          <w:sz w:val="14"/>
          <w:szCs w:val="14"/>
          <w:color w:val="auto"/>
        </w:rPr>
        <w:t>Our operating activities used cash of $0.9 million for the three months ended December 31, 2015, and our financing activities used cash of $22.7 million for the same period. Our operating activities used cash primarily for our investment activities and our financing activities used cash primarily for our stock repurchase plan.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ectPr>
          <w:pgSz w:w="11900" w:h="16838" w:orient="portrait"/>
          <w:cols w:equalWidth="0" w:num="1">
            <w:col w:w="11240"/>
          </w:cols>
          <w:pgMar w:left="320" w:top="45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Contractual Obligations</w:t>
      </w:r>
    </w:p>
    <w:p>
      <w:pPr>
        <w:spacing w:after="0" w:line="96" w:lineRule="exact"/>
        <w:rPr>
          <w:sz w:val="20"/>
          <w:szCs w:val="20"/>
          <w:color w:val="auto"/>
        </w:rPr>
      </w:pPr>
    </w:p>
    <w:p>
      <w:pPr>
        <w:ind w:right="60" w:firstLine="562"/>
        <w:spacing w:after="0" w:line="253" w:lineRule="auto"/>
        <w:rPr>
          <w:sz w:val="20"/>
          <w:szCs w:val="20"/>
          <w:color w:val="auto"/>
        </w:rPr>
      </w:pPr>
      <w:r>
        <w:rPr>
          <w:rFonts w:ascii="Arial" w:cs="Arial" w:eastAsia="Arial" w:hAnsi="Arial"/>
          <w:sz w:val="14"/>
          <w:szCs w:val="14"/>
          <w:color w:val="auto"/>
        </w:rPr>
        <w:t>A summary of our significant contractual payment obligations at cost as of December 31, 2016, including borrowings under our various debt facilities and other contractual obligations, is as follows: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8"/>
          </w:tcPr>
          <w:p>
            <w:pPr>
              <w:ind w:left="420"/>
              <w:spacing w:after="0"/>
              <w:rPr>
                <w:sz w:val="20"/>
                <w:szCs w:val="20"/>
                <w:color w:val="auto"/>
              </w:rPr>
            </w:pPr>
            <w:r>
              <w:rPr>
                <w:rFonts w:ascii="Arial" w:cs="Arial" w:eastAsia="Arial" w:hAnsi="Arial"/>
                <w:sz w:val="14"/>
                <w:szCs w:val="14"/>
                <w:b w:val="1"/>
                <w:bCs w:val="1"/>
                <w:color w:val="auto"/>
                <w:w w:val="91"/>
              </w:rPr>
              <w:t>Payments due by period (in millions)</w:t>
            </w: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29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Less than 1 year</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1-3 years</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3-5 years</w:t>
            </w:r>
          </w:p>
        </w:tc>
        <w:tc>
          <w:tcPr>
            <w:tcW w:w="200" w:type="dxa"/>
            <w:vAlign w:val="bottom"/>
          </w:tcPr>
          <w:p>
            <w:pPr>
              <w:spacing w:after="0"/>
              <w:rPr>
                <w:sz w:val="12"/>
                <w:szCs w:val="12"/>
                <w:color w:val="auto"/>
              </w:rPr>
            </w:pPr>
          </w:p>
        </w:tc>
        <w:tc>
          <w:tcPr>
            <w:tcW w:w="11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More than 5 years</w:t>
            </w:r>
          </w:p>
        </w:tc>
        <w:tc>
          <w:tcPr>
            <w:tcW w:w="80" w:type="dxa"/>
            <w:vAlign w:val="bottom"/>
          </w:tcPr>
          <w:p>
            <w:pPr>
              <w:spacing w:after="0"/>
              <w:rPr>
                <w:sz w:val="12"/>
                <w:szCs w:val="12"/>
                <w:color w:val="auto"/>
              </w:rPr>
            </w:pPr>
          </w:p>
        </w:tc>
      </w:tr>
      <w:tr>
        <w:trPr>
          <w:trHeight w:val="142"/>
        </w:trPr>
        <w:tc>
          <w:tcPr>
            <w:tcW w:w="292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Credit Facility</w:t>
            </w:r>
          </w:p>
        </w:tc>
        <w:tc>
          <w:tcPr>
            <w:tcW w:w="12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jc w:val="right"/>
              <w:ind w:right="568"/>
              <w:spacing w:after="0" w:line="142" w:lineRule="exact"/>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148.1</w:t>
            </w: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ind w:right="328"/>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ind w:left="440"/>
              <w:spacing w:after="0" w:line="142" w:lineRule="exact"/>
              <w:rPr>
                <w:sz w:val="20"/>
                <w:szCs w:val="20"/>
                <w:color w:val="auto"/>
              </w:rPr>
            </w:pPr>
            <w:r>
              <w:rPr>
                <w:rFonts w:ascii="Arial" w:cs="Arial" w:eastAsia="Arial" w:hAnsi="Arial"/>
                <w:sz w:val="14"/>
                <w:szCs w:val="14"/>
                <w:color w:val="auto"/>
                <w:w w:val="85"/>
              </w:rPr>
              <w:t>—</w:t>
            </w: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148.1</w:t>
            </w: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2"/>
                <w:szCs w:val="12"/>
                <w:color w:val="auto"/>
              </w:rPr>
            </w:pPr>
          </w:p>
        </w:tc>
      </w:tr>
      <w:tr>
        <w:trPr>
          <w:trHeight w:val="149"/>
        </w:trPr>
        <w:tc>
          <w:tcPr>
            <w:tcW w:w="2920" w:type="dxa"/>
            <w:vAlign w:val="bottom"/>
          </w:tcPr>
          <w:p>
            <w:pPr>
              <w:spacing w:after="0" w:line="149" w:lineRule="exact"/>
              <w:rPr>
                <w:sz w:val="20"/>
                <w:szCs w:val="20"/>
                <w:color w:val="auto"/>
              </w:rPr>
            </w:pPr>
            <w:r>
              <w:rPr>
                <w:rFonts w:ascii="Arial" w:cs="Arial" w:eastAsia="Arial" w:hAnsi="Arial"/>
                <w:sz w:val="14"/>
                <w:szCs w:val="14"/>
                <w:color w:val="auto"/>
              </w:rPr>
              <w:t>SBA debentures</w:t>
            </w:r>
          </w:p>
        </w:tc>
        <w:tc>
          <w:tcPr>
            <w:tcW w:w="1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91"/>
              </w:rPr>
              <w:t>197.5</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150.0</w:t>
            </w: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47.5</w:t>
            </w:r>
          </w:p>
        </w:tc>
      </w:tr>
      <w:tr>
        <w:trPr>
          <w:trHeight w:val="148"/>
        </w:trPr>
        <w:tc>
          <w:tcPr>
            <w:tcW w:w="2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2019 Notes</w:t>
            </w:r>
          </w:p>
        </w:tc>
        <w:tc>
          <w:tcPr>
            <w:tcW w:w="12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1"/>
              </w:rPr>
              <w:t>250.0</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250.0</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r>
      <w:tr>
        <w:trPr>
          <w:trHeight w:val="155"/>
        </w:trPr>
        <w:tc>
          <w:tcPr>
            <w:tcW w:w="2920" w:type="dxa"/>
            <w:vAlign w:val="bottom"/>
          </w:tcPr>
          <w:p>
            <w:pPr>
              <w:spacing w:after="0" w:line="149" w:lineRule="exact"/>
              <w:rPr>
                <w:sz w:val="20"/>
                <w:szCs w:val="20"/>
                <w:color w:val="auto"/>
              </w:rPr>
            </w:pPr>
            <w:r>
              <w:rPr>
                <w:rFonts w:ascii="Arial" w:cs="Arial" w:eastAsia="Arial" w:hAnsi="Arial"/>
                <w:sz w:val="14"/>
                <w:szCs w:val="14"/>
                <w:color w:val="auto"/>
              </w:rPr>
              <w:t>2025 Notes</w:t>
            </w:r>
          </w:p>
        </w:tc>
        <w:tc>
          <w:tcPr>
            <w:tcW w:w="128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71.3</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ind w:left="440"/>
              <w:spacing w:after="0" w:line="149" w:lineRule="exact"/>
              <w:rPr>
                <w:sz w:val="20"/>
                <w:szCs w:val="20"/>
                <w:color w:val="auto"/>
              </w:rPr>
            </w:pPr>
            <w:r>
              <w:rPr>
                <w:rFonts w:ascii="Arial" w:cs="Arial" w:eastAsia="Arial" w:hAnsi="Arial"/>
                <w:sz w:val="14"/>
                <w:szCs w:val="14"/>
                <w:color w:val="auto"/>
                <w:w w:val="85"/>
              </w:rPr>
              <w: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71.3</w:t>
            </w:r>
          </w:p>
        </w:tc>
        <w:tc>
          <w:tcPr>
            <w:tcW w:w="80" w:type="dxa"/>
            <w:vAlign w:val="bottom"/>
          </w:tcPr>
          <w:p>
            <w:pPr>
              <w:spacing w:after="0"/>
              <w:rPr>
                <w:sz w:val="13"/>
                <w:szCs w:val="13"/>
                <w:color w:val="auto"/>
              </w:rPr>
            </w:pPr>
          </w:p>
        </w:tc>
      </w:tr>
      <w:tr>
        <w:trPr>
          <w:trHeight w:val="149"/>
        </w:trPr>
        <w:tc>
          <w:tcPr>
            <w:tcW w:w="2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 xml:space="preserve">Total debt outstanding </w:t>
            </w:r>
            <w:r>
              <w:rPr>
                <w:rFonts w:ascii="Arial" w:cs="Arial" w:eastAsia="Arial" w:hAnsi="Arial"/>
                <w:sz w:val="12"/>
                <w:szCs w:val="12"/>
                <w:color w:val="auto"/>
              </w:rPr>
              <w:t>(1)</w:t>
            </w:r>
          </w:p>
        </w:tc>
        <w:tc>
          <w:tcPr>
            <w:tcW w:w="12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1"/>
              </w:rPr>
              <w:t>666.9</w:t>
            </w:r>
          </w:p>
        </w:tc>
        <w:tc>
          <w:tcPr>
            <w:tcW w:w="2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398.1</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150.0</w:t>
            </w: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118.8</w:t>
            </w:r>
          </w:p>
        </w:tc>
      </w:tr>
      <w:tr>
        <w:trPr>
          <w:trHeight w:val="155"/>
        </w:trPr>
        <w:tc>
          <w:tcPr>
            <w:tcW w:w="2920" w:type="dxa"/>
            <w:vAlign w:val="bottom"/>
          </w:tcPr>
          <w:p>
            <w:pPr>
              <w:spacing w:after="0" w:line="149" w:lineRule="exact"/>
              <w:rPr>
                <w:sz w:val="20"/>
                <w:szCs w:val="20"/>
                <w:color w:val="auto"/>
              </w:rPr>
            </w:pPr>
            <w:r>
              <w:rPr>
                <w:rFonts w:ascii="Arial" w:cs="Arial" w:eastAsia="Arial" w:hAnsi="Arial"/>
                <w:sz w:val="14"/>
                <w:szCs w:val="14"/>
                <w:color w:val="auto"/>
              </w:rPr>
              <w:t xml:space="preserve">Unfunded investments </w:t>
            </w:r>
            <w:r>
              <w:rPr>
                <w:rFonts w:ascii="Arial" w:cs="Arial" w:eastAsia="Arial" w:hAnsi="Arial"/>
                <w:sz w:val="12"/>
                <w:szCs w:val="12"/>
                <w:color w:val="auto"/>
              </w:rPr>
              <w:t>(2)</w:t>
            </w:r>
          </w:p>
        </w:tc>
        <w:tc>
          <w:tcPr>
            <w:tcW w:w="128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7.6</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ind w:left="440"/>
              <w:spacing w:after="0" w:line="149" w:lineRule="exact"/>
              <w:rPr>
                <w:sz w:val="20"/>
                <w:szCs w:val="20"/>
                <w:color w:val="auto"/>
              </w:rPr>
            </w:pPr>
            <w:r>
              <w:rPr>
                <w:rFonts w:ascii="Arial" w:cs="Arial" w:eastAsia="Arial" w:hAnsi="Arial"/>
                <w:sz w:val="14"/>
                <w:szCs w:val="14"/>
                <w:color w:val="auto"/>
                <w:w w:val="85"/>
              </w:rPr>
              <w: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6.5</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w:t>
            </w:r>
          </w:p>
        </w:tc>
        <w:tc>
          <w:tcPr>
            <w:tcW w:w="80" w:type="dxa"/>
            <w:vAlign w:val="bottom"/>
          </w:tcPr>
          <w:p>
            <w:pPr>
              <w:spacing w:after="0"/>
              <w:rPr>
                <w:sz w:val="13"/>
                <w:szCs w:val="13"/>
                <w:color w:val="auto"/>
              </w:rPr>
            </w:pPr>
          </w:p>
        </w:tc>
      </w:tr>
      <w:tr>
        <w:trPr>
          <w:trHeight w:val="148"/>
        </w:trPr>
        <w:tc>
          <w:tcPr>
            <w:tcW w:w="2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Total contractual obligations</w:t>
            </w:r>
          </w:p>
        </w:tc>
        <w:tc>
          <w:tcPr>
            <w:tcW w:w="2000" w:type="dxa"/>
            <w:vAlign w:val="bottom"/>
            <w:gridSpan w:val="2"/>
            <w:shd w:val="clear" w:color="auto" w:fill="CCEEFF"/>
          </w:tcPr>
          <w:p>
            <w:pPr>
              <w:jc w:val="right"/>
              <w:ind w:right="568"/>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91"/>
              </w:rPr>
              <w:t>674.5</w:t>
            </w:r>
          </w:p>
        </w:tc>
        <w:tc>
          <w:tcPr>
            <w:tcW w:w="680" w:type="dxa"/>
            <w:vAlign w:val="bottom"/>
            <w:gridSpan w:val="2"/>
            <w:shd w:val="clear" w:color="auto" w:fill="CCEEFF"/>
          </w:tcPr>
          <w:p>
            <w:pPr>
              <w:jc w:val="right"/>
              <w:ind w:right="328"/>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398.1</w:t>
            </w:r>
          </w:p>
        </w:tc>
        <w:tc>
          <w:tcPr>
            <w:tcW w:w="44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156.5</w:t>
            </w:r>
          </w:p>
        </w:tc>
        <w:tc>
          <w:tcPr>
            <w:tcW w:w="6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119.9</w:t>
            </w:r>
          </w:p>
        </w:tc>
      </w:tr>
      <w:tr>
        <w:trPr>
          <w:trHeight w:val="20"/>
        </w:trPr>
        <w:tc>
          <w:tcPr>
            <w:tcW w:w="2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7112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64" w:lineRule="exact"/>
        <w:rPr>
          <w:sz w:val="20"/>
          <w:szCs w:val="20"/>
          <w:color w:val="auto"/>
        </w:rPr>
      </w:pPr>
    </w:p>
    <w:p>
      <w:pPr>
        <w:ind w:left="560" w:right="460" w:hanging="552"/>
        <w:spacing w:after="0" w:line="230" w:lineRule="auto"/>
        <w:tabs>
          <w:tab w:leader="none" w:pos="560" w:val="left"/>
        </w:tabs>
        <w:numPr>
          <w:ilvl w:val="0"/>
          <w:numId w:val="17"/>
        </w:numPr>
        <w:rPr>
          <w:rFonts w:ascii="Arial" w:cs="Arial" w:eastAsia="Arial" w:hAnsi="Arial"/>
          <w:sz w:val="12"/>
          <w:szCs w:val="12"/>
          <w:color w:val="auto"/>
        </w:rPr>
      </w:pPr>
      <w:r>
        <w:rPr>
          <w:rFonts w:ascii="Arial" w:cs="Arial" w:eastAsia="Arial" w:hAnsi="Arial"/>
          <w:sz w:val="14"/>
          <w:szCs w:val="14"/>
          <w:color w:val="auto"/>
        </w:rPr>
        <w:t>The annualized weighted average cost of debt as of December 31, 2016, excluding debt issuance costs, was 3.96% exclusive of the fee on the undrawn commitment on the Credit Facility and 3.43% of upfront fees on SBA debentures.</w:t>
      </w:r>
    </w:p>
    <w:p>
      <w:pPr>
        <w:ind w:left="560" w:hanging="552"/>
        <w:spacing w:after="0"/>
        <w:tabs>
          <w:tab w:leader="none" w:pos="560" w:val="left"/>
        </w:tabs>
        <w:numPr>
          <w:ilvl w:val="0"/>
          <w:numId w:val="17"/>
        </w:numPr>
        <w:rPr>
          <w:rFonts w:ascii="Arial" w:cs="Arial" w:eastAsia="Arial" w:hAnsi="Arial"/>
          <w:sz w:val="12"/>
          <w:szCs w:val="12"/>
          <w:color w:val="auto"/>
        </w:rPr>
      </w:pPr>
      <w:r>
        <w:rPr>
          <w:rFonts w:ascii="Arial" w:cs="Arial" w:eastAsia="Arial" w:hAnsi="Arial"/>
          <w:sz w:val="14"/>
          <w:szCs w:val="14"/>
          <w:color w:val="auto"/>
        </w:rPr>
        <w:t>Unfunded debt and equity investments are disclosed in the Consolidated Schedule of Investments and Note 11 of our Consolidated Financial Statements.</w:t>
      </w:r>
    </w:p>
    <w:p>
      <w:pPr>
        <w:spacing w:after="0" w:line="84" w:lineRule="exact"/>
        <w:rPr>
          <w:sz w:val="20"/>
          <w:szCs w:val="20"/>
          <w:color w:val="auto"/>
        </w:rPr>
      </w:pPr>
    </w:p>
    <w:p>
      <w:pPr>
        <w:ind w:right="120" w:firstLine="562"/>
        <w:spacing w:after="0" w:line="229" w:lineRule="auto"/>
        <w:rPr>
          <w:sz w:val="20"/>
          <w:szCs w:val="20"/>
          <w:color w:val="auto"/>
        </w:rPr>
      </w:pPr>
      <w:r>
        <w:rPr>
          <w:rFonts w:ascii="Arial" w:cs="Arial" w:eastAsia="Arial" w:hAnsi="Arial"/>
          <w:sz w:val="14"/>
          <w:szCs w:val="14"/>
          <w:color w:val="auto"/>
        </w:rPr>
        <w:t>We have entered into certain contracts under which we have material future commitments. Under our Investment Management Agreement, which was most recently reapproved by our board of directors, including a majority of our directors who are not interested persons of us or the Investment Adviser, in February 2017, PennantPark Investment Advisers serves as our Investment Adviser. PennantPark Investment, through the Investment Adviser, provides similar services to our SBIC Funds under their investment management agreements with us. Our SBIC Funds’ investment management agreements do not affect the management or incentive fees that we pay to the Investment Adviser on a consolidated basis. Payments under our Investment Management Agreement in each reporting period are equal to (1) a management fee equal to a percentage of the value of our average adjusted gross assets and (2) an incentive fee based on our performance.</w:t>
      </w:r>
    </w:p>
    <w:p>
      <w:pPr>
        <w:spacing w:after="0" w:line="77" w:lineRule="exact"/>
        <w:rPr>
          <w:sz w:val="20"/>
          <w:szCs w:val="20"/>
          <w:color w:val="auto"/>
        </w:rPr>
      </w:pPr>
    </w:p>
    <w:p>
      <w:pPr>
        <w:ind w:firstLine="562"/>
        <w:spacing w:after="0" w:line="229" w:lineRule="auto"/>
        <w:rPr>
          <w:sz w:val="20"/>
          <w:szCs w:val="20"/>
          <w:color w:val="auto"/>
        </w:rPr>
      </w:pPr>
      <w:r>
        <w:rPr>
          <w:rFonts w:ascii="Arial" w:cs="Arial" w:eastAsia="Arial" w:hAnsi="Arial"/>
          <w:sz w:val="14"/>
          <w:szCs w:val="14"/>
          <w:color w:val="auto"/>
        </w:rPr>
        <w:t>Under our Administration Agreement, which was most recently reapproved by our board of directors, including a majority of our directors who are not interested persons of us, in February 2017, PennantPark Investment Administration furnishes us with office facilities and administrative services necessary to conduct our day-to-day operations. PennantPark Investment, through the Administrator, provides similar services to our SBIC Funds under their administration agreements, which are intended to have no effect on the consolidated administration fee. If requested to provide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77" w:lineRule="exact"/>
        <w:rPr>
          <w:sz w:val="20"/>
          <w:szCs w:val="20"/>
          <w:color w:val="auto"/>
        </w:rPr>
      </w:pPr>
    </w:p>
    <w:p>
      <w:pPr>
        <w:ind w:right="20" w:firstLine="562"/>
        <w:spacing w:after="0" w:line="238" w:lineRule="auto"/>
        <w:rPr>
          <w:sz w:val="20"/>
          <w:szCs w:val="20"/>
          <w:color w:val="auto"/>
        </w:rPr>
      </w:pPr>
      <w:r>
        <w:rPr>
          <w:rFonts w:ascii="Arial" w:cs="Arial" w:eastAsia="Arial" w:hAnsi="Arial"/>
          <w:sz w:val="14"/>
          <w:szCs w:val="14"/>
          <w:color w:val="auto"/>
        </w:rPr>
        <w:t>If any of our contractual obligations discussed above is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Off-Balance-Sheet Arrangements</w:t>
      </w:r>
    </w:p>
    <w:p>
      <w:pPr>
        <w:spacing w:after="0" w:line="96"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We currently engage in no off-balance-sheet arrangements other than our funding requirements for the unfunded investments described above.</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w:t>
      </w:r>
    </w:p>
    <w:p>
      <w:pPr>
        <w:spacing w:after="0" w:line="96" w:lineRule="exact"/>
        <w:rPr>
          <w:sz w:val="20"/>
          <w:szCs w:val="20"/>
          <w:color w:val="auto"/>
        </w:rPr>
      </w:pPr>
    </w:p>
    <w:p>
      <w:pPr>
        <w:ind w:right="80" w:firstLine="562"/>
        <w:spacing w:after="0" w:line="238" w:lineRule="auto"/>
        <w:rPr>
          <w:sz w:val="20"/>
          <w:szCs w:val="20"/>
          <w:color w:val="auto"/>
        </w:rPr>
      </w:pPr>
      <w:r>
        <w:rPr>
          <w:rFonts w:ascii="Arial" w:cs="Arial" w:eastAsia="Arial" w:hAnsi="Arial"/>
          <w:sz w:val="14"/>
          <w:szCs w:val="14"/>
          <w:color w:val="auto"/>
        </w:rPr>
        <w:t>In order to be treated as a RIC for federal income tax purposes and to not be subject to corporate-level tax on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p>
    <w:p>
      <w:pPr>
        <w:spacing w:after="0" w:line="75" w:lineRule="exact"/>
        <w:rPr>
          <w:sz w:val="20"/>
          <w:szCs w:val="20"/>
          <w:color w:val="auto"/>
        </w:rPr>
      </w:pPr>
    </w:p>
    <w:p>
      <w:pPr>
        <w:ind w:right="40" w:firstLine="562"/>
        <w:spacing w:after="0" w:line="228" w:lineRule="auto"/>
        <w:rPr>
          <w:sz w:val="20"/>
          <w:szCs w:val="20"/>
          <w:color w:val="auto"/>
        </w:rPr>
      </w:pPr>
      <w:r>
        <w:rPr>
          <w:rFonts w:ascii="Arial" w:cs="Arial" w:eastAsia="Arial" w:hAnsi="Arial"/>
          <w:sz w:val="14"/>
          <w:szCs w:val="14"/>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our capital gain net income (adjusted for certain ordinary losses) for the one-year period ending on October 31 of the calendar year plus (3) the sum of any net ordinary income plus capital gain net income for preceding years that was not distributed during such years and on which we did not incur any 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contingent on our ability to be subject to tax as a RIC, in order to provide us with additional liquidity.</w:t>
      </w:r>
    </w:p>
    <w:p>
      <w:pPr>
        <w:spacing w:after="0" w:line="77" w:lineRule="exact"/>
        <w:rPr>
          <w:sz w:val="20"/>
          <w:szCs w:val="20"/>
          <w:color w:val="auto"/>
        </w:rPr>
      </w:pPr>
    </w:p>
    <w:p>
      <w:pPr>
        <w:ind w:right="180" w:firstLine="562"/>
        <w:spacing w:after="0" w:line="255" w:lineRule="auto"/>
        <w:rPr>
          <w:sz w:val="20"/>
          <w:szCs w:val="20"/>
          <w:color w:val="auto"/>
        </w:rPr>
      </w:pPr>
      <w:r>
        <w:rPr>
          <w:rFonts w:ascii="Arial" w:cs="Arial" w:eastAsia="Arial" w:hAnsi="Arial"/>
          <w:sz w:val="13"/>
          <w:szCs w:val="13"/>
          <w:color w:val="auto"/>
        </w:rPr>
        <w:t>During the three months ended December 31, 2016 and 2015, we declared distributions of $0.28 per share for each period for total distributions of $19.9 million and $20.1 million, respectively. We monitor available net investment income to determine if a return of capital for taxation purposes may occur for the fiscal year. To the extent our taxable earnings fall below the total amount of our distributions for any given fiscal year, common stockholders will be notified of the portion of those distributions deemed to be a return of capital. Tax characteristics of all distributions will be reported to stockholders subject to information reporting on Form 1099-DIV after the end of the calendar year and in our periodic reports filed with the SEC.</w:t>
      </w:r>
    </w:p>
    <w:p>
      <w:pPr>
        <w:spacing w:after="0" w:line="67" w:lineRule="exact"/>
        <w:rPr>
          <w:sz w:val="20"/>
          <w:szCs w:val="20"/>
          <w:color w:val="auto"/>
        </w:rPr>
      </w:pPr>
    </w:p>
    <w:p>
      <w:pPr>
        <w:ind w:left="560"/>
        <w:spacing w:after="0"/>
        <w:rPr>
          <w:sz w:val="20"/>
          <w:szCs w:val="20"/>
          <w:color w:val="auto"/>
        </w:rPr>
      </w:pPr>
      <w:r>
        <w:rPr>
          <w:rFonts w:ascii="Arial" w:cs="Arial" w:eastAsia="Arial" w:hAnsi="Arial"/>
          <w:sz w:val="14"/>
          <w:szCs w:val="14"/>
          <w:color w:val="auto"/>
        </w:rPr>
        <w:t>We intend to continue to make quarterly distributions to our stockholders. Our quarterly distributions, if any, are ratified by the board of directors.</w:t>
      </w:r>
    </w:p>
    <w:p>
      <w:pPr>
        <w:spacing w:after="0" w:line="96" w:lineRule="exact"/>
        <w:rPr>
          <w:sz w:val="20"/>
          <w:szCs w:val="20"/>
          <w:color w:val="auto"/>
        </w:rPr>
      </w:pPr>
    </w:p>
    <w:p>
      <w:pPr>
        <w:ind w:right="140" w:firstLine="562"/>
        <w:spacing w:after="0" w:line="253" w:lineRule="auto"/>
        <w:rPr>
          <w:sz w:val="20"/>
          <w:szCs w:val="20"/>
          <w:color w:val="auto"/>
        </w:rPr>
      </w:pPr>
      <w:r>
        <w:rPr>
          <w:rFonts w:ascii="Arial" w:cs="Arial" w:eastAsia="Arial" w:hAnsi="Arial"/>
          <w:sz w:val="14"/>
          <w:szCs w:val="14"/>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66" w:lineRule="exact"/>
        <w:rPr>
          <w:sz w:val="20"/>
          <w:szCs w:val="20"/>
          <w:color w:val="auto"/>
        </w:rPr>
      </w:pPr>
    </w:p>
    <w:p>
      <w:pPr>
        <w:ind w:right="80" w:firstLine="562"/>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 certain percentage of our income annually, we will suffer adverse tax consequences, including possible loss of our ability to be subject to tax as a RIC. We cannot assure stockholders that they will receive any distributions at a particular level.</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240"/>
          </w:cols>
          <w:pgMar w:left="320" w:top="45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100" w:lineRule="exact"/>
        <w:rPr>
          <w:sz w:val="20"/>
          <w:szCs w:val="20"/>
          <w:color w:val="auto"/>
        </w:rPr>
      </w:pPr>
    </w:p>
    <w:p>
      <w:pPr>
        <w:ind w:right="80" w:firstLine="562"/>
        <w:spacing w:after="0" w:line="231" w:lineRule="auto"/>
        <w:rPr>
          <w:sz w:val="20"/>
          <w:szCs w:val="20"/>
          <w:color w:val="auto"/>
        </w:rPr>
      </w:pPr>
      <w:r>
        <w:rPr>
          <w:rFonts w:ascii="Arial" w:cs="Arial" w:eastAsia="Arial" w:hAnsi="Arial"/>
          <w:sz w:val="14"/>
          <w:szCs w:val="14"/>
          <w:color w:val="auto"/>
        </w:rPr>
        <w:t>We are subject to financial market risks, including changes in interest rates. As of December 31, 2016, our debt portfolio consisted of 81% variable-rate investments (including 74% with a floor) and 19%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76" w:lineRule="exact"/>
        <w:rPr>
          <w:sz w:val="20"/>
          <w:szCs w:val="20"/>
          <w:color w:val="auto"/>
        </w:rPr>
      </w:pPr>
    </w:p>
    <w:p>
      <w:pPr>
        <w:ind w:right="280" w:firstLine="562"/>
        <w:spacing w:after="0" w:line="253" w:lineRule="auto"/>
        <w:rPr>
          <w:sz w:val="20"/>
          <w:szCs w:val="20"/>
          <w:color w:val="auto"/>
        </w:rPr>
      </w:pPr>
      <w:r>
        <w:rPr>
          <w:rFonts w:ascii="Arial" w:cs="Arial" w:eastAsia="Arial" w:hAnsi="Arial"/>
          <w:sz w:val="14"/>
          <w:szCs w:val="14"/>
          <w:color w:val="auto"/>
        </w:rPr>
        <w:t>Assuming that the most recent Consolidated Statements of Assets and Liabilities was to remain constant, and no actions were taken to alter the interest rate sensitivity, the following table shows the annualized impact of hypothetical base rate changes in interest rates:</w:t>
      </w:r>
    </w:p>
    <w:p>
      <w:pPr>
        <w:spacing w:after="0" w:line="18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0" w:type="dxa"/>
            <w:vAlign w:val="bottom"/>
            <w:gridSpan w:val="3"/>
          </w:tcPr>
          <w:p>
            <w:pPr>
              <w:jc w:val="center"/>
              <w:ind w:right="880"/>
              <w:spacing w:after="0"/>
              <w:rPr>
                <w:sz w:val="20"/>
                <w:szCs w:val="20"/>
                <w:color w:val="auto"/>
              </w:rPr>
            </w:pPr>
            <w:r>
              <w:rPr>
                <w:rFonts w:ascii="Arial" w:cs="Arial" w:eastAsia="Arial" w:hAnsi="Arial"/>
                <w:sz w:val="14"/>
                <w:szCs w:val="14"/>
                <w:color w:val="auto"/>
                <w:w w:val="92"/>
              </w:rPr>
              <w:t>Change In Interest Income,</w:t>
            </w:r>
          </w:p>
        </w:tc>
        <w:tc>
          <w:tcPr>
            <w:tcW w:w="1900" w:type="dxa"/>
            <w:vAlign w:val="bottom"/>
            <w:gridSpan w:val="3"/>
          </w:tcPr>
          <w:p>
            <w:pPr>
              <w:jc w:val="center"/>
              <w:ind w:right="100"/>
              <w:spacing w:after="0"/>
              <w:rPr>
                <w:sz w:val="20"/>
                <w:szCs w:val="20"/>
                <w:color w:val="auto"/>
              </w:rPr>
            </w:pPr>
            <w:r>
              <w:rPr>
                <w:rFonts w:ascii="Arial" w:cs="Arial" w:eastAsia="Arial" w:hAnsi="Arial"/>
                <w:sz w:val="14"/>
                <w:szCs w:val="14"/>
                <w:color w:val="auto"/>
                <w:w w:val="92"/>
              </w:rPr>
              <w:t>Change In Interest Income,</w:t>
            </w:r>
          </w:p>
        </w:tc>
      </w:tr>
      <w:tr>
        <w:trPr>
          <w:trHeight w:val="148"/>
        </w:trPr>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800" w:type="dxa"/>
            <w:vAlign w:val="bottom"/>
            <w:gridSpan w:val="3"/>
          </w:tcPr>
          <w:p>
            <w:pPr>
              <w:jc w:val="center"/>
              <w:ind w:right="880"/>
              <w:spacing w:after="0" w:line="149" w:lineRule="exact"/>
              <w:rPr>
                <w:sz w:val="20"/>
                <w:szCs w:val="20"/>
                <w:color w:val="auto"/>
              </w:rPr>
            </w:pPr>
            <w:r>
              <w:rPr>
                <w:rFonts w:ascii="Arial" w:cs="Arial" w:eastAsia="Arial" w:hAnsi="Arial"/>
                <w:sz w:val="14"/>
                <w:szCs w:val="14"/>
                <w:color w:val="auto"/>
                <w:w w:val="93"/>
              </w:rPr>
              <w:t>Net Of Interest Expense</w:t>
            </w:r>
          </w:p>
        </w:tc>
        <w:tc>
          <w:tcPr>
            <w:tcW w:w="190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2"/>
              </w:rPr>
              <w:t>Net Of Interest Expense</w:t>
            </w:r>
          </w:p>
        </w:tc>
      </w:tr>
      <w:tr>
        <w:trPr>
          <w:trHeight w:val="181"/>
        </w:trPr>
        <w:tc>
          <w:tcPr>
            <w:tcW w:w="3160" w:type="dxa"/>
            <w:vAlign w:val="bottom"/>
            <w:gridSpan w:val="3"/>
          </w:tcPr>
          <w:p>
            <w:pPr>
              <w:jc w:val="center"/>
              <w:ind w:right="1220"/>
              <w:spacing w:after="0"/>
              <w:rPr>
                <w:sz w:val="20"/>
                <w:szCs w:val="20"/>
                <w:color w:val="auto"/>
              </w:rPr>
            </w:pPr>
            <w:r>
              <w:rPr>
                <w:rFonts w:ascii="Arial" w:cs="Arial" w:eastAsia="Arial" w:hAnsi="Arial"/>
                <w:sz w:val="14"/>
                <w:szCs w:val="14"/>
                <w:color w:val="auto"/>
                <w:w w:val="91"/>
              </w:rPr>
              <w:t>Change In Interest Rates</w:t>
            </w:r>
          </w:p>
        </w:tc>
        <w:tc>
          <w:tcPr>
            <w:tcW w:w="440" w:type="dxa"/>
            <w:vAlign w:val="bottom"/>
          </w:tcPr>
          <w:p>
            <w:pPr>
              <w:spacing w:after="0"/>
              <w:rPr>
                <w:sz w:val="15"/>
                <w:szCs w:val="15"/>
                <w:color w:val="auto"/>
              </w:rPr>
            </w:pPr>
          </w:p>
        </w:tc>
        <w:tc>
          <w:tcPr>
            <w:tcW w:w="2360" w:type="dxa"/>
            <w:vAlign w:val="bottom"/>
            <w:gridSpan w:val="2"/>
          </w:tcPr>
          <w:p>
            <w:pPr>
              <w:jc w:val="center"/>
              <w:ind w:right="1320"/>
              <w:spacing w:after="0"/>
              <w:rPr>
                <w:sz w:val="20"/>
                <w:szCs w:val="20"/>
                <w:color w:val="auto"/>
              </w:rPr>
            </w:pPr>
            <w:r>
              <w:rPr>
                <w:rFonts w:ascii="Arial" w:cs="Arial" w:eastAsia="Arial" w:hAnsi="Arial"/>
                <w:sz w:val="14"/>
                <w:szCs w:val="14"/>
                <w:color w:val="auto"/>
                <w:w w:val="93"/>
              </w:rPr>
              <w:t>(In Thousands)</w:t>
            </w:r>
          </w:p>
        </w:tc>
        <w:tc>
          <w:tcPr>
            <w:tcW w:w="500" w:type="dxa"/>
            <w:vAlign w:val="bottom"/>
          </w:tcPr>
          <w:p>
            <w:pPr>
              <w:spacing w:after="0"/>
              <w:rPr>
                <w:sz w:val="15"/>
                <w:szCs w:val="15"/>
                <w:color w:val="auto"/>
              </w:rPr>
            </w:pPr>
          </w:p>
        </w:tc>
        <w:tc>
          <w:tcPr>
            <w:tcW w:w="1400" w:type="dxa"/>
            <w:vAlign w:val="bottom"/>
            <w:gridSpan w:val="2"/>
          </w:tcPr>
          <w:p>
            <w:pPr>
              <w:jc w:val="center"/>
              <w:ind w:right="600"/>
              <w:spacing w:after="0"/>
              <w:rPr>
                <w:sz w:val="20"/>
                <w:szCs w:val="20"/>
                <w:color w:val="auto"/>
              </w:rPr>
            </w:pPr>
            <w:r>
              <w:rPr>
                <w:rFonts w:ascii="Arial" w:cs="Arial" w:eastAsia="Arial" w:hAnsi="Arial"/>
                <w:sz w:val="14"/>
                <w:szCs w:val="14"/>
                <w:color w:val="auto"/>
                <w:w w:val="88"/>
              </w:rPr>
              <w:t>Per Share</w:t>
            </w:r>
          </w:p>
        </w:tc>
      </w:tr>
      <w:tr>
        <w:trPr>
          <w:trHeight w:val="142"/>
        </w:trPr>
        <w:tc>
          <w:tcPr>
            <w:tcW w:w="260" w:type="dxa"/>
            <w:vAlign w:val="bottom"/>
            <w:tcBorders>
              <w:top w:val="single" w:sz="8" w:color="CCEEFF"/>
            </w:tcBorders>
            <w:shd w:val="clear" w:color="auto" w:fill="CCEEFF"/>
          </w:tcPr>
          <w:p>
            <w:pPr>
              <w:spacing w:after="0"/>
              <w:rPr>
                <w:sz w:val="12"/>
                <w:szCs w:val="12"/>
                <w:color w:val="auto"/>
              </w:rPr>
            </w:pPr>
          </w:p>
        </w:tc>
        <w:tc>
          <w:tcPr>
            <w:tcW w:w="14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5"/>
              </w:rPr>
              <w:t>Up 1%</w:t>
            </w:r>
          </w:p>
        </w:tc>
        <w:tc>
          <w:tcPr>
            <w:tcW w:w="14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3,999</w:t>
            </w:r>
          </w:p>
        </w:tc>
        <w:tc>
          <w:tcPr>
            <w:tcW w:w="880" w:type="dxa"/>
            <w:vAlign w:val="bottom"/>
            <w:tcBorders>
              <w:top w:val="single" w:sz="8" w:color="CCEEFF"/>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0.06</w:t>
            </w:r>
          </w:p>
        </w:tc>
        <w:tc>
          <w:tcPr>
            <w:tcW w:w="100" w:type="dxa"/>
            <w:vAlign w:val="bottom"/>
            <w:tcBorders>
              <w:top w:val="single" w:sz="8" w:color="CCEEFF"/>
            </w:tcBorders>
            <w:shd w:val="clear" w:color="auto" w:fill="CCEEFF"/>
          </w:tcPr>
          <w:p>
            <w:pPr>
              <w:spacing w:after="0"/>
              <w:rPr>
                <w:sz w:val="12"/>
                <w:szCs w:val="12"/>
                <w:color w:val="auto"/>
              </w:rPr>
            </w:pPr>
          </w:p>
        </w:tc>
      </w:tr>
      <w:tr>
        <w:trPr>
          <w:trHeight w:val="148"/>
        </w:trPr>
        <w:tc>
          <w:tcPr>
            <w:tcW w:w="260" w:type="dxa"/>
            <w:vAlign w:val="bottom"/>
          </w:tcPr>
          <w:p>
            <w:pPr>
              <w:spacing w:after="0"/>
              <w:rPr>
                <w:sz w:val="12"/>
                <w:szCs w:val="12"/>
                <w:color w:val="auto"/>
              </w:rPr>
            </w:pPr>
          </w:p>
        </w:tc>
        <w:tc>
          <w:tcPr>
            <w:tcW w:w="2900" w:type="dxa"/>
            <w:vAlign w:val="bottom"/>
            <w:gridSpan w:val="2"/>
          </w:tcPr>
          <w:p>
            <w:pPr>
              <w:jc w:val="center"/>
              <w:ind w:right="1500"/>
              <w:spacing w:after="0" w:line="149" w:lineRule="exact"/>
              <w:rPr>
                <w:sz w:val="20"/>
                <w:szCs w:val="20"/>
                <w:color w:val="auto"/>
              </w:rPr>
            </w:pPr>
            <w:r>
              <w:rPr>
                <w:rFonts w:ascii="Arial" w:cs="Arial" w:eastAsia="Arial" w:hAnsi="Arial"/>
                <w:sz w:val="14"/>
                <w:szCs w:val="14"/>
                <w:color w:val="auto"/>
                <w:w w:val="95"/>
              </w:rPr>
              <w:t>Up 2%</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360" w:type="dxa"/>
            <w:vAlign w:val="bottom"/>
            <w:gridSpan w:val="2"/>
          </w:tcPr>
          <w:p>
            <w:pPr>
              <w:jc w:val="right"/>
              <w:ind w:right="880"/>
              <w:spacing w:after="0" w:line="149" w:lineRule="exact"/>
              <w:rPr>
                <w:sz w:val="20"/>
                <w:szCs w:val="20"/>
                <w:color w:val="auto"/>
              </w:rPr>
            </w:pPr>
            <w:r>
              <w:rPr>
                <w:rFonts w:ascii="Arial" w:cs="Arial" w:eastAsia="Arial" w:hAnsi="Arial"/>
                <w:sz w:val="14"/>
                <w:szCs w:val="14"/>
                <w:color w:val="auto"/>
              </w:rPr>
              <w:t>12,093</w:t>
            </w:r>
          </w:p>
        </w:tc>
        <w:tc>
          <w:tcPr>
            <w:tcW w:w="500" w:type="dxa"/>
            <w:vAlign w:val="bottom"/>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0.17</w:t>
            </w:r>
          </w:p>
        </w:tc>
      </w:tr>
      <w:tr>
        <w:trPr>
          <w:trHeight w:val="148"/>
        </w:trPr>
        <w:tc>
          <w:tcPr>
            <w:tcW w:w="260" w:type="dxa"/>
            <w:vAlign w:val="bottom"/>
            <w:shd w:val="clear" w:color="auto" w:fill="CCEEFF"/>
          </w:tcPr>
          <w:p>
            <w:pPr>
              <w:spacing w:after="0"/>
              <w:rPr>
                <w:sz w:val="12"/>
                <w:szCs w:val="12"/>
                <w:color w:val="auto"/>
              </w:rPr>
            </w:pPr>
          </w:p>
        </w:tc>
        <w:tc>
          <w:tcPr>
            <w:tcW w:w="2900" w:type="dxa"/>
            <w:vAlign w:val="bottom"/>
            <w:gridSpan w:val="2"/>
            <w:shd w:val="clear" w:color="auto" w:fill="CCEEFF"/>
          </w:tcPr>
          <w:p>
            <w:pPr>
              <w:jc w:val="center"/>
              <w:ind w:right="1500"/>
              <w:spacing w:after="0" w:line="149" w:lineRule="exact"/>
              <w:rPr>
                <w:sz w:val="20"/>
                <w:szCs w:val="20"/>
                <w:color w:val="auto"/>
              </w:rPr>
            </w:pPr>
            <w:r>
              <w:rPr>
                <w:rFonts w:ascii="Arial" w:cs="Arial" w:eastAsia="Arial" w:hAnsi="Arial"/>
                <w:sz w:val="14"/>
                <w:szCs w:val="14"/>
                <w:color w:val="auto"/>
                <w:w w:val="95"/>
              </w:rPr>
              <w:t>Up 3%</w:t>
            </w:r>
          </w:p>
        </w:tc>
        <w:tc>
          <w:tcPr>
            <w:tcW w:w="4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360" w:type="dxa"/>
            <w:vAlign w:val="bottom"/>
            <w:gridSpan w:val="2"/>
            <w:shd w:val="clear" w:color="auto" w:fill="CCEEFF"/>
          </w:tcPr>
          <w:p>
            <w:pPr>
              <w:jc w:val="right"/>
              <w:ind w:right="880"/>
              <w:spacing w:after="0" w:line="149" w:lineRule="exact"/>
              <w:rPr>
                <w:sz w:val="20"/>
                <w:szCs w:val="20"/>
                <w:color w:val="auto"/>
              </w:rPr>
            </w:pPr>
            <w:r>
              <w:rPr>
                <w:rFonts w:ascii="Arial" w:cs="Arial" w:eastAsia="Arial" w:hAnsi="Arial"/>
                <w:sz w:val="14"/>
                <w:szCs w:val="14"/>
                <w:color w:val="auto"/>
              </w:rPr>
              <w:t>20,187</w:t>
            </w:r>
          </w:p>
        </w:tc>
        <w:tc>
          <w:tcPr>
            <w:tcW w:w="5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4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0.28</w:t>
            </w:r>
          </w:p>
        </w:tc>
      </w:tr>
      <w:tr>
        <w:trPr>
          <w:trHeight w:val="182"/>
        </w:trPr>
        <w:tc>
          <w:tcPr>
            <w:tcW w:w="260" w:type="dxa"/>
            <w:vAlign w:val="bottom"/>
          </w:tcPr>
          <w:p>
            <w:pPr>
              <w:spacing w:after="0"/>
              <w:rPr>
                <w:sz w:val="15"/>
                <w:szCs w:val="15"/>
                <w:color w:val="auto"/>
              </w:rPr>
            </w:pPr>
          </w:p>
        </w:tc>
        <w:tc>
          <w:tcPr>
            <w:tcW w:w="2900" w:type="dxa"/>
            <w:vAlign w:val="bottom"/>
            <w:gridSpan w:val="2"/>
          </w:tcPr>
          <w:p>
            <w:pPr>
              <w:jc w:val="center"/>
              <w:ind w:right="1500"/>
              <w:spacing w:after="0"/>
              <w:rPr>
                <w:sz w:val="20"/>
                <w:szCs w:val="20"/>
                <w:color w:val="auto"/>
              </w:rPr>
            </w:pPr>
            <w:r>
              <w:rPr>
                <w:rFonts w:ascii="Arial" w:cs="Arial" w:eastAsia="Arial" w:hAnsi="Arial"/>
                <w:sz w:val="14"/>
                <w:szCs w:val="14"/>
                <w:color w:val="auto"/>
                <w:w w:val="95"/>
              </w:rPr>
              <w:t>Up 4%</w:t>
            </w: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2360" w:type="dxa"/>
            <w:vAlign w:val="bottom"/>
            <w:gridSpan w:val="2"/>
          </w:tcPr>
          <w:p>
            <w:pPr>
              <w:jc w:val="right"/>
              <w:ind w:right="880"/>
              <w:spacing w:after="0"/>
              <w:rPr>
                <w:sz w:val="20"/>
                <w:szCs w:val="20"/>
                <w:color w:val="auto"/>
              </w:rPr>
            </w:pPr>
            <w:r>
              <w:rPr>
                <w:rFonts w:ascii="Arial" w:cs="Arial" w:eastAsia="Arial" w:hAnsi="Arial"/>
                <w:sz w:val="14"/>
                <w:szCs w:val="14"/>
                <w:color w:val="auto"/>
              </w:rPr>
              <w:t>28,281</w:t>
            </w: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4"/>
                <w:szCs w:val="14"/>
                <w:color w:val="auto"/>
              </w:rPr>
              <w:t>0.40</w:t>
            </w:r>
          </w:p>
        </w:tc>
      </w:tr>
    </w:tbl>
    <w:p>
      <w:pPr>
        <w:spacing w:after="0" w:line="56" w:lineRule="exact"/>
        <w:rPr>
          <w:sz w:val="20"/>
          <w:szCs w:val="20"/>
          <w:color w:val="auto"/>
        </w:rPr>
      </w:pPr>
    </w:p>
    <w:p>
      <w:pPr>
        <w:ind w:firstLine="562"/>
        <w:spacing w:after="0" w:line="238" w:lineRule="auto"/>
        <w:rPr>
          <w:sz w:val="20"/>
          <w:szCs w:val="20"/>
          <w:color w:val="auto"/>
        </w:rPr>
      </w:pPr>
      <w:r>
        <w:rPr>
          <w:rFonts w:ascii="Arial" w:cs="Arial" w:eastAsia="Arial" w:hAnsi="Arial"/>
          <w:sz w:val="14"/>
          <w:szCs w:val="14"/>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75" w:lineRule="exact"/>
        <w:rPr>
          <w:sz w:val="20"/>
          <w:szCs w:val="20"/>
          <w:color w:val="auto"/>
        </w:rPr>
      </w:pPr>
    </w:p>
    <w:p>
      <w:pPr>
        <w:ind w:right="40" w:firstLine="562"/>
        <w:spacing w:after="0" w:line="238"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75" w:lineRule="exact"/>
        <w:rPr>
          <w:sz w:val="20"/>
          <w:szCs w:val="20"/>
          <w:color w:val="auto"/>
        </w:rPr>
      </w:pPr>
    </w:p>
    <w:p>
      <w:pPr>
        <w:ind w:right="80" w:firstLine="562"/>
        <w:spacing w:after="0" w:line="233" w:lineRule="auto"/>
        <w:rPr>
          <w:sz w:val="20"/>
          <w:szCs w:val="20"/>
          <w:color w:val="auto"/>
        </w:rPr>
      </w:pPr>
      <w:r>
        <w:rPr>
          <w:rFonts w:ascii="Arial" w:cs="Arial" w:eastAsia="Arial" w:hAnsi="Arial"/>
          <w:sz w:val="14"/>
          <w:szCs w:val="14"/>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During the periods covered by this Report, we did not engage in interest rate hedging activities.</w:t>
      </w:r>
    </w:p>
    <w:p>
      <w:pPr>
        <w:spacing w:after="0" w:line="86"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Controls and Procedures</w:t>
      </w:r>
    </w:p>
    <w:p>
      <w:pPr>
        <w:spacing w:after="0" w:line="100" w:lineRule="exact"/>
        <w:rPr>
          <w:sz w:val="20"/>
          <w:szCs w:val="20"/>
          <w:color w:val="auto"/>
        </w:rPr>
      </w:pPr>
    </w:p>
    <w:p>
      <w:pPr>
        <w:ind w:right="60" w:firstLine="562"/>
        <w:spacing w:after="0" w:line="247" w:lineRule="auto"/>
        <w:rPr>
          <w:sz w:val="20"/>
          <w:szCs w:val="20"/>
          <w:color w:val="auto"/>
        </w:rPr>
      </w:pPr>
      <w:r>
        <w:rPr>
          <w:rFonts w:ascii="Arial" w:cs="Arial" w:eastAsia="Arial" w:hAnsi="Arial"/>
          <w:sz w:val="13"/>
          <w:szCs w:val="13"/>
          <w:color w:val="auto"/>
        </w:rPr>
        <w:t>As of the period covered by this Report,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71" w:lineRule="exact"/>
        <w:rPr>
          <w:sz w:val="20"/>
          <w:szCs w:val="20"/>
          <w:color w:val="auto"/>
        </w:rPr>
      </w:pPr>
    </w:p>
    <w:p>
      <w:pPr>
        <w:ind w:right="220" w:firstLine="562"/>
        <w:spacing w:after="0" w:line="253" w:lineRule="auto"/>
        <w:rPr>
          <w:sz w:val="20"/>
          <w:szCs w:val="20"/>
          <w:color w:val="auto"/>
        </w:rPr>
      </w:pPr>
      <w:r>
        <w:rPr>
          <w:rFonts w:ascii="Arial" w:cs="Arial" w:eastAsia="Arial" w:hAnsi="Arial"/>
          <w:sz w:val="14"/>
          <w:szCs w:val="14"/>
          <w:color w:val="auto"/>
        </w:rPr>
        <w:t>There have been no changes in our internal control over financial reporting that occurred during the quarter ended December 31, 2016 that have materially affected, or are reasonably likely to materially affect, our internal control over financial reporting.</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240"/>
          </w:cols>
          <w:pgMar w:left="320" w:top="459" w:right="3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II – OTHER INFORMATION</w:t>
      </w:r>
    </w:p>
    <w:p>
      <w:pPr>
        <w:spacing w:after="0" w:line="109"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Legal Proceedings</w:t>
      </w:r>
    </w:p>
    <w:p>
      <w:pPr>
        <w:spacing w:after="0" w:line="100" w:lineRule="exact"/>
        <w:rPr>
          <w:sz w:val="20"/>
          <w:szCs w:val="20"/>
          <w:color w:val="auto"/>
        </w:rPr>
      </w:pPr>
    </w:p>
    <w:p>
      <w:pPr>
        <w:ind w:firstLine="562"/>
        <w:spacing w:after="0" w:line="233" w:lineRule="auto"/>
        <w:rPr>
          <w:sz w:val="20"/>
          <w:szCs w:val="20"/>
          <w:color w:val="auto"/>
        </w:rPr>
      </w:pPr>
      <w:r>
        <w:rPr>
          <w:rFonts w:ascii="Arial" w:cs="Arial" w:eastAsia="Arial" w:hAnsi="Arial"/>
          <w:sz w:val="14"/>
          <w:szCs w:val="14"/>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86"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100" w:lineRule="exact"/>
        <w:rPr>
          <w:sz w:val="20"/>
          <w:szCs w:val="20"/>
          <w:color w:val="auto"/>
        </w:rPr>
      </w:pPr>
    </w:p>
    <w:p>
      <w:pPr>
        <w:jc w:val="both"/>
        <w:ind w:right="20" w:firstLine="562"/>
        <w:spacing w:after="0" w:line="233" w:lineRule="auto"/>
        <w:rPr>
          <w:sz w:val="20"/>
          <w:szCs w:val="20"/>
          <w:color w:val="auto"/>
        </w:rPr>
      </w:pPr>
      <w:r>
        <w:rPr>
          <w:rFonts w:ascii="Arial" w:cs="Arial" w:eastAsia="Arial" w:hAnsi="Arial"/>
          <w:sz w:val="14"/>
          <w:szCs w:val="14"/>
          <w:color w:val="auto"/>
        </w:rPr>
        <w:t>In addition to the other information set forth in this Report, you should consider carefully the factors discussed in Part I “Item 1A. Risk Factors” in our Annual Report on Form 10-K for the fiscal year ended September 30, 2016, which could materially affect our business, financial condition and/or operating results. The risks described in our Annual Report on Form 10-K are not the only risks facing PennantPark Investment. Additional risks and uncertainties not currently known to us or that we currently deem to be immaterial also may materially and adversely affect our business, financial condition and/or operating results.</w:t>
      </w:r>
    </w:p>
    <w:p>
      <w:pPr>
        <w:spacing w:after="0" w:line="86"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Unregistered Sales of Equity Securities and Use of Proceeds</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None.</w:t>
      </w:r>
    </w:p>
    <w:p>
      <w:pPr>
        <w:spacing w:after="0" w:line="105"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Defaults Upon Senior Securities</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None.</w:t>
      </w:r>
    </w:p>
    <w:p>
      <w:pPr>
        <w:spacing w:after="0" w:line="105"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100" w:lineRule="exact"/>
        <w:rPr>
          <w:sz w:val="20"/>
          <w:szCs w:val="20"/>
          <w:color w:val="auto"/>
        </w:rPr>
      </w:pPr>
    </w:p>
    <w:p>
      <w:pPr>
        <w:jc w:val="center"/>
        <w:ind w:right="9240"/>
        <w:spacing w:after="0"/>
        <w:rPr>
          <w:sz w:val="20"/>
          <w:szCs w:val="20"/>
          <w:color w:val="auto"/>
        </w:rPr>
      </w:pPr>
      <w:r>
        <w:rPr>
          <w:rFonts w:ascii="Arial" w:cs="Arial" w:eastAsia="Arial" w:hAnsi="Arial"/>
          <w:sz w:val="14"/>
          <w:szCs w:val="14"/>
          <w:color w:val="auto"/>
        </w:rPr>
        <w:t>Not applicable.</w:t>
      </w:r>
    </w:p>
    <w:p>
      <w:pPr>
        <w:spacing w:after="0" w:line="105"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3"/>
          <w:szCs w:val="13"/>
          <w:b w:val="1"/>
          <w:bCs w:val="1"/>
          <w:color w:val="auto"/>
        </w:rPr>
        <w:t>Other Information</w:t>
      </w:r>
    </w:p>
    <w:p>
      <w:pPr>
        <w:spacing w:after="0" w:line="100" w:lineRule="exact"/>
        <w:rPr>
          <w:sz w:val="20"/>
          <w:szCs w:val="20"/>
          <w:color w:val="auto"/>
        </w:rPr>
      </w:pPr>
    </w:p>
    <w:p>
      <w:pPr>
        <w:ind w:left="560"/>
        <w:spacing w:after="0"/>
        <w:rPr>
          <w:sz w:val="20"/>
          <w:szCs w:val="20"/>
          <w:color w:val="auto"/>
        </w:rPr>
      </w:pPr>
      <w:r>
        <w:rPr>
          <w:rFonts w:ascii="Arial" w:cs="Arial" w:eastAsia="Arial" w:hAnsi="Arial"/>
          <w:sz w:val="14"/>
          <w:szCs w:val="14"/>
          <w:color w:val="auto"/>
        </w:rPr>
        <w:t>None.</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ectPr>
          <w:pgSz w:w="11900" w:h="16838" w:orient="portrait"/>
          <w:cols w:equalWidth="0" w:num="1">
            <w:col w:w="11240"/>
          </w:cols>
          <w:pgMar w:left="320" w:top="459"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p>
      <w:pPr>
        <w:spacing w:after="0"/>
        <w:tabs>
          <w:tab w:leader="none" w:pos="88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3"/>
          <w:szCs w:val="13"/>
          <w:b w:val="1"/>
          <w:bCs w:val="1"/>
          <w:color w:val="auto"/>
        </w:rPr>
        <w:t>Exhibits</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Unless specifically indicated otherwise, the following exhibits are incorporated by reference to exhibits previously filed with the SEC:</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jc w:val="right"/>
              <w:ind w:right="188"/>
              <w:spacing w:after="0"/>
              <w:rPr>
                <w:sz w:val="20"/>
                <w:szCs w:val="20"/>
                <w:color w:val="auto"/>
              </w:rPr>
            </w:pPr>
            <w:r>
              <w:rPr>
                <w:rFonts w:ascii="Arial" w:cs="Arial" w:eastAsia="Arial" w:hAnsi="Arial"/>
                <w:sz w:val="14"/>
                <w:szCs w:val="14"/>
                <w:color w:val="auto"/>
              </w:rPr>
              <w:t>3.1</w:t>
            </w:r>
          </w:p>
        </w:tc>
        <w:tc>
          <w:tcPr>
            <w:tcW w:w="10340" w:type="dxa"/>
            <w:vAlign w:val="bottom"/>
          </w:tcPr>
          <w:p>
            <w:pPr>
              <w:ind w:left="240"/>
              <w:spacing w:after="0"/>
              <w:rPr>
                <w:sz w:val="20"/>
                <w:szCs w:val="20"/>
                <w:color w:val="auto"/>
              </w:rPr>
            </w:pPr>
            <w:r>
              <w:rPr>
                <w:rFonts w:ascii="Arial" w:cs="Arial" w:eastAsia="Arial" w:hAnsi="Arial"/>
                <w:sz w:val="14"/>
                <w:szCs w:val="14"/>
                <w:color w:val="auto"/>
              </w:rPr>
              <w:t>Articles of Incorporation (Incorporated by reference to Exhibit 99(a) to the Registrant’s Pre-Effective Amendment No. 3 to the</w:t>
            </w:r>
          </w:p>
        </w:tc>
      </w:tr>
      <w:tr>
        <w:trPr>
          <w:trHeight w:val="182"/>
        </w:trPr>
        <w:tc>
          <w:tcPr>
            <w:tcW w:w="520" w:type="dxa"/>
            <w:vAlign w:val="bottom"/>
          </w:tcPr>
          <w:p>
            <w:pPr>
              <w:spacing w:after="0"/>
              <w:rPr>
                <w:sz w:val="15"/>
                <w:szCs w:val="15"/>
                <w:color w:val="auto"/>
              </w:rPr>
            </w:pPr>
          </w:p>
        </w:tc>
        <w:tc>
          <w:tcPr>
            <w:tcW w:w="10340" w:type="dxa"/>
            <w:vAlign w:val="bottom"/>
          </w:tcPr>
          <w:p>
            <w:pPr>
              <w:ind w:left="240"/>
              <w:spacing w:after="0"/>
              <w:rPr>
                <w:sz w:val="20"/>
                <w:szCs w:val="20"/>
                <w:color w:val="auto"/>
              </w:rPr>
            </w:pPr>
            <w:r>
              <w:rPr>
                <w:rFonts w:ascii="Arial" w:cs="Arial" w:eastAsia="Arial" w:hAnsi="Arial"/>
                <w:sz w:val="14"/>
                <w:szCs w:val="14"/>
                <w:color w:val="auto"/>
              </w:rPr>
              <w:t>Registration Statement on Form N-2/A (File No. 333-140092), filed on April 5, 2007).</w:t>
            </w:r>
          </w:p>
        </w:tc>
      </w:tr>
      <w:tr>
        <w:trPr>
          <w:trHeight w:val="236"/>
        </w:trPr>
        <w:tc>
          <w:tcPr>
            <w:tcW w:w="520" w:type="dxa"/>
            <w:vAlign w:val="bottom"/>
          </w:tcPr>
          <w:p>
            <w:pPr>
              <w:jc w:val="right"/>
              <w:ind w:right="188"/>
              <w:spacing w:after="0"/>
              <w:rPr>
                <w:sz w:val="20"/>
                <w:szCs w:val="20"/>
                <w:color w:val="auto"/>
              </w:rPr>
            </w:pPr>
            <w:r>
              <w:rPr>
                <w:rFonts w:ascii="Arial" w:cs="Arial" w:eastAsia="Arial" w:hAnsi="Arial"/>
                <w:sz w:val="14"/>
                <w:szCs w:val="14"/>
                <w:color w:val="auto"/>
              </w:rPr>
              <w:t>3.2</w:t>
            </w:r>
          </w:p>
        </w:tc>
        <w:tc>
          <w:tcPr>
            <w:tcW w:w="10340" w:type="dxa"/>
            <w:vAlign w:val="bottom"/>
          </w:tcPr>
          <w:p>
            <w:pPr>
              <w:ind w:left="240"/>
              <w:spacing w:after="0"/>
              <w:rPr>
                <w:sz w:val="20"/>
                <w:szCs w:val="20"/>
                <w:color w:val="auto"/>
              </w:rPr>
            </w:pPr>
            <w:r>
              <w:rPr>
                <w:rFonts w:ascii="Arial" w:cs="Arial" w:eastAsia="Arial" w:hAnsi="Arial"/>
                <w:sz w:val="14"/>
                <w:szCs w:val="14"/>
                <w:color w:val="auto"/>
                <w:w w:val="97"/>
              </w:rPr>
              <w:t>Amended and Restated Bylaws of the Registrant (Incorporated by reference to Exhibit 3.1 to the Registrant’s Current Report on Form 8-K (File No. 814-00736), filed on</w:t>
            </w:r>
          </w:p>
        </w:tc>
      </w:tr>
      <w:tr>
        <w:trPr>
          <w:trHeight w:val="182"/>
        </w:trPr>
        <w:tc>
          <w:tcPr>
            <w:tcW w:w="520" w:type="dxa"/>
            <w:vAlign w:val="bottom"/>
          </w:tcPr>
          <w:p>
            <w:pPr>
              <w:spacing w:after="0"/>
              <w:rPr>
                <w:sz w:val="15"/>
                <w:szCs w:val="15"/>
                <w:color w:val="auto"/>
              </w:rPr>
            </w:pPr>
          </w:p>
        </w:tc>
        <w:tc>
          <w:tcPr>
            <w:tcW w:w="10340" w:type="dxa"/>
            <w:vAlign w:val="bottom"/>
          </w:tcPr>
          <w:p>
            <w:pPr>
              <w:ind w:left="240"/>
              <w:spacing w:after="0"/>
              <w:rPr>
                <w:sz w:val="20"/>
                <w:szCs w:val="20"/>
                <w:color w:val="auto"/>
              </w:rPr>
            </w:pPr>
            <w:r>
              <w:rPr>
                <w:rFonts w:ascii="Arial" w:cs="Arial" w:eastAsia="Arial" w:hAnsi="Arial"/>
                <w:sz w:val="14"/>
                <w:szCs w:val="14"/>
                <w:color w:val="auto"/>
              </w:rPr>
              <w:t>December 2, 2015).</w:t>
            </w:r>
          </w:p>
        </w:tc>
      </w:tr>
      <w:tr>
        <w:trPr>
          <w:trHeight w:val="223"/>
        </w:trPr>
        <w:tc>
          <w:tcPr>
            <w:tcW w:w="520" w:type="dxa"/>
            <w:vAlign w:val="bottom"/>
          </w:tcPr>
          <w:p>
            <w:pPr>
              <w:jc w:val="right"/>
              <w:ind w:right="188"/>
              <w:spacing w:after="0"/>
              <w:rPr>
                <w:sz w:val="20"/>
                <w:szCs w:val="20"/>
                <w:color w:val="auto"/>
              </w:rPr>
            </w:pPr>
            <w:r>
              <w:rPr>
                <w:rFonts w:ascii="Arial" w:cs="Arial" w:eastAsia="Arial" w:hAnsi="Arial"/>
                <w:sz w:val="14"/>
                <w:szCs w:val="14"/>
                <w:color w:val="auto"/>
              </w:rPr>
              <w:t>4.1</w:t>
            </w:r>
          </w:p>
        </w:tc>
        <w:tc>
          <w:tcPr>
            <w:tcW w:w="10340" w:type="dxa"/>
            <w:vAlign w:val="bottom"/>
          </w:tcPr>
          <w:p>
            <w:pPr>
              <w:ind w:left="240"/>
              <w:spacing w:after="0"/>
              <w:rPr>
                <w:sz w:val="20"/>
                <w:szCs w:val="20"/>
                <w:color w:val="auto"/>
              </w:rPr>
            </w:pPr>
            <w:r>
              <w:rPr>
                <w:rFonts w:ascii="Arial" w:cs="Arial" w:eastAsia="Arial" w:hAnsi="Arial"/>
                <w:sz w:val="14"/>
                <w:szCs w:val="14"/>
                <w:color w:val="auto"/>
              </w:rPr>
              <w:t>Form of Share Certificate (Incorporated by reference to Exhibit 99(d)(1) to the Registrant’s Registration Statement on</w:t>
            </w:r>
          </w:p>
        </w:tc>
      </w:tr>
      <w:tr>
        <w:trPr>
          <w:trHeight w:val="182"/>
        </w:trPr>
        <w:tc>
          <w:tcPr>
            <w:tcW w:w="520" w:type="dxa"/>
            <w:vAlign w:val="bottom"/>
          </w:tcPr>
          <w:p>
            <w:pPr>
              <w:spacing w:after="0"/>
              <w:rPr>
                <w:sz w:val="15"/>
                <w:szCs w:val="15"/>
                <w:color w:val="auto"/>
              </w:rPr>
            </w:pPr>
          </w:p>
        </w:tc>
        <w:tc>
          <w:tcPr>
            <w:tcW w:w="10340" w:type="dxa"/>
            <w:vAlign w:val="bottom"/>
          </w:tcPr>
          <w:p>
            <w:pPr>
              <w:ind w:left="240"/>
              <w:spacing w:after="0"/>
              <w:rPr>
                <w:sz w:val="20"/>
                <w:szCs w:val="20"/>
                <w:color w:val="auto"/>
              </w:rPr>
            </w:pPr>
            <w:r>
              <w:rPr>
                <w:rFonts w:ascii="Arial" w:cs="Arial" w:eastAsia="Arial" w:hAnsi="Arial"/>
                <w:sz w:val="14"/>
                <w:szCs w:val="14"/>
                <w:color w:val="auto"/>
              </w:rPr>
              <w:t>Form N-2 (File No. 333-150033), filed on April 2, 2008).</w:t>
            </w:r>
          </w:p>
        </w:tc>
      </w:tr>
      <w:tr>
        <w:trPr>
          <w:trHeight w:val="236"/>
        </w:trPr>
        <w:tc>
          <w:tcPr>
            <w:tcW w:w="520" w:type="dxa"/>
            <w:vAlign w:val="bottom"/>
          </w:tcPr>
          <w:p>
            <w:pPr>
              <w:jc w:val="right"/>
              <w:ind w:right="188"/>
              <w:spacing w:after="0"/>
              <w:rPr>
                <w:sz w:val="20"/>
                <w:szCs w:val="20"/>
                <w:color w:val="auto"/>
              </w:rPr>
            </w:pPr>
            <w:r>
              <w:rPr>
                <w:rFonts w:ascii="Arial" w:cs="Arial" w:eastAsia="Arial" w:hAnsi="Arial"/>
                <w:sz w:val="14"/>
                <w:szCs w:val="14"/>
                <w:color w:val="auto"/>
                <w:w w:val="87"/>
              </w:rPr>
              <w:t>10.1</w:t>
            </w:r>
          </w:p>
        </w:tc>
        <w:tc>
          <w:tcPr>
            <w:tcW w:w="10340" w:type="dxa"/>
            <w:vAlign w:val="bottom"/>
          </w:tcPr>
          <w:p>
            <w:pPr>
              <w:ind w:left="240"/>
              <w:spacing w:after="0"/>
              <w:rPr>
                <w:sz w:val="20"/>
                <w:szCs w:val="20"/>
                <w:color w:val="auto"/>
              </w:rPr>
            </w:pPr>
            <w:r>
              <w:rPr>
                <w:rFonts w:ascii="Arial" w:cs="Arial" w:eastAsia="Arial" w:hAnsi="Arial"/>
                <w:sz w:val="14"/>
                <w:szCs w:val="14"/>
                <w:color w:val="auto"/>
                <w:w w:val="92"/>
              </w:rPr>
              <w:t>Indemnification Agreement, dated as of November 15, 2016, between PennantPark Investment Corporation and each of the directors and officers listed on Schedule A attached</w:t>
            </w:r>
          </w:p>
        </w:tc>
      </w:tr>
      <w:tr>
        <w:trPr>
          <w:trHeight w:val="182"/>
        </w:trPr>
        <w:tc>
          <w:tcPr>
            <w:tcW w:w="520" w:type="dxa"/>
            <w:vAlign w:val="bottom"/>
          </w:tcPr>
          <w:p>
            <w:pPr>
              <w:spacing w:after="0"/>
              <w:rPr>
                <w:sz w:val="15"/>
                <w:szCs w:val="15"/>
                <w:color w:val="auto"/>
              </w:rPr>
            </w:pPr>
          </w:p>
        </w:tc>
        <w:tc>
          <w:tcPr>
            <w:tcW w:w="10340" w:type="dxa"/>
            <w:vAlign w:val="bottom"/>
          </w:tcPr>
          <w:p>
            <w:pPr>
              <w:ind w:left="240"/>
              <w:spacing w:after="0"/>
              <w:rPr>
                <w:sz w:val="20"/>
                <w:szCs w:val="20"/>
                <w:color w:val="auto"/>
              </w:rPr>
            </w:pPr>
            <w:r>
              <w:rPr>
                <w:rFonts w:ascii="Arial" w:cs="Arial" w:eastAsia="Arial" w:hAnsi="Arial"/>
                <w:sz w:val="14"/>
                <w:szCs w:val="14"/>
                <w:color w:val="auto"/>
              </w:rPr>
              <w:t>thereto (Incorporated by reference to Exhibit 10.5 to the Registrant’s Annual Report on Form 10-K (File No. 814-00736), filed on November 21, 2016).</w:t>
            </w:r>
          </w:p>
        </w:tc>
      </w:tr>
    </w:tbl>
    <w:p>
      <w:pPr>
        <w:spacing w:after="0" w:line="74" w:lineRule="exact"/>
        <w:rPr>
          <w:sz w:val="20"/>
          <w:szCs w:val="20"/>
          <w:color w:val="auto"/>
        </w:rPr>
      </w:pPr>
    </w:p>
    <w:p>
      <w:pPr>
        <w:ind w:left="760" w:hanging="680"/>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Computation of Per Share Earnings (included in the notes to the Consolidated Financial Statements contained in this Report).</w:t>
      </w:r>
    </w:p>
    <w:p>
      <w:pPr>
        <w:spacing w:after="0" w:line="9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31.1*</w:t>
      </w:r>
      <w:r>
        <w:rPr>
          <w:rFonts w:ascii="Arial" w:cs="Arial" w:eastAsia="Arial" w:hAnsi="Arial"/>
          <w:sz w:val="13"/>
          <w:szCs w:val="13"/>
          <w:color w:val="auto"/>
        </w:rPr>
        <w:t>Certification of Chief Executive Officer pursuant to Rule 13a-14 of the Securities Exchange Act of 1934, as amended.</w:t>
      </w:r>
    </w:p>
    <w:p>
      <w:pPr>
        <w:spacing w:after="0" w:line="9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31.2*</w:t>
      </w:r>
      <w:r>
        <w:rPr>
          <w:rFonts w:ascii="Arial" w:cs="Arial" w:eastAsia="Arial" w:hAnsi="Arial"/>
          <w:sz w:val="13"/>
          <w:szCs w:val="13"/>
          <w:color w:val="auto"/>
        </w:rPr>
        <w:t>Certification of Chief Financial Officer pursuant to Rule 13a-14 of the Securities Exchange Act of 1934, as amended.</w:t>
      </w:r>
    </w:p>
    <w:p>
      <w:pPr>
        <w:spacing w:after="0" w:line="9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32.1*</w:t>
      </w:r>
      <w:r>
        <w:rPr>
          <w:rFonts w:ascii="Arial" w:cs="Arial" w:eastAsia="Arial" w:hAnsi="Arial"/>
          <w:sz w:val="13"/>
          <w:szCs w:val="13"/>
          <w:color w:val="auto"/>
        </w:rPr>
        <w:t>Certification of Chief Executive Officer pursuant to Section 906 of the Sarbanes-Oxley Act of 2002.</w:t>
      </w:r>
    </w:p>
    <w:p>
      <w:pPr>
        <w:spacing w:after="0" w:line="95"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32.2*</w:t>
      </w:r>
      <w:r>
        <w:rPr>
          <w:rFonts w:ascii="Arial" w:cs="Arial" w:eastAsia="Arial" w:hAnsi="Arial"/>
          <w:sz w:val="13"/>
          <w:szCs w:val="13"/>
          <w:color w:val="auto"/>
        </w:rPr>
        <w:t>Certification of Chief Financial Officer pursuant to Section 906 of the Sarbanes-Oxley Act of 2002.</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jc w:val="right"/>
              <w:ind w:right="188"/>
              <w:spacing w:after="0"/>
              <w:rPr>
                <w:sz w:val="20"/>
                <w:szCs w:val="20"/>
                <w:color w:val="auto"/>
              </w:rPr>
            </w:pPr>
            <w:r>
              <w:rPr>
                <w:rFonts w:ascii="Arial" w:cs="Arial" w:eastAsia="Arial" w:hAnsi="Arial"/>
                <w:sz w:val="14"/>
                <w:szCs w:val="14"/>
                <w:color w:val="auto"/>
                <w:w w:val="87"/>
              </w:rPr>
              <w:t>99.1</w:t>
            </w:r>
          </w:p>
        </w:tc>
        <w:tc>
          <w:tcPr>
            <w:tcW w:w="8680" w:type="dxa"/>
            <w:vAlign w:val="bottom"/>
          </w:tcPr>
          <w:p>
            <w:pPr>
              <w:ind w:left="240"/>
              <w:spacing w:after="0"/>
              <w:rPr>
                <w:sz w:val="20"/>
                <w:szCs w:val="20"/>
                <w:color w:val="auto"/>
              </w:rPr>
            </w:pPr>
            <w:r>
              <w:rPr>
                <w:rFonts w:ascii="Arial" w:cs="Arial" w:eastAsia="Arial" w:hAnsi="Arial"/>
                <w:sz w:val="14"/>
                <w:szCs w:val="14"/>
                <w:color w:val="auto"/>
                <w:w w:val="94"/>
              </w:rPr>
              <w:t>Privacy Policy of the Registrant (Incorporated by reference to Exhibit 99.1 to the Registrant’s Annual Report on Form 10-K (File No. 814-00736),</w:t>
            </w:r>
          </w:p>
        </w:tc>
      </w:tr>
      <w:tr>
        <w:trPr>
          <w:trHeight w:val="182"/>
        </w:trPr>
        <w:tc>
          <w:tcPr>
            <w:tcW w:w="520" w:type="dxa"/>
            <w:vAlign w:val="bottom"/>
          </w:tcPr>
          <w:p>
            <w:pPr>
              <w:spacing w:after="0"/>
              <w:rPr>
                <w:sz w:val="15"/>
                <w:szCs w:val="15"/>
                <w:color w:val="auto"/>
              </w:rPr>
            </w:pPr>
          </w:p>
        </w:tc>
        <w:tc>
          <w:tcPr>
            <w:tcW w:w="8680" w:type="dxa"/>
            <w:vAlign w:val="bottom"/>
          </w:tcPr>
          <w:p>
            <w:pPr>
              <w:ind w:left="240"/>
              <w:spacing w:after="0"/>
              <w:rPr>
                <w:sz w:val="20"/>
                <w:szCs w:val="20"/>
                <w:color w:val="auto"/>
              </w:rPr>
            </w:pPr>
            <w:r>
              <w:rPr>
                <w:rFonts w:ascii="Arial" w:cs="Arial" w:eastAsia="Arial" w:hAnsi="Arial"/>
                <w:sz w:val="14"/>
                <w:szCs w:val="14"/>
                <w:color w:val="auto"/>
              </w:rPr>
              <w:t>filed on November 16, 2011).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470535</wp:posOffset>
            </wp:positionV>
            <wp:extent cx="107124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712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136" w:lineRule="exact"/>
        <w:rPr>
          <w:sz w:val="20"/>
          <w:szCs w:val="20"/>
          <w:color w:val="auto"/>
        </w:rPr>
      </w:pPr>
    </w:p>
    <w:p>
      <w:pPr>
        <w:jc w:val="center"/>
        <w:ind w:right="-379"/>
        <w:spacing w:after="0"/>
        <w:rPr>
          <w:sz w:val="20"/>
          <w:szCs w:val="20"/>
          <w:color w:val="auto"/>
        </w:rPr>
      </w:pPr>
      <w:r>
        <w:rPr>
          <w:rFonts w:ascii="Arial" w:cs="Arial" w:eastAsia="Arial" w:hAnsi="Arial"/>
          <w:sz w:val="14"/>
          <w:szCs w:val="14"/>
          <w:color w:val="auto"/>
        </w:rPr>
        <w:t>35</w:t>
      </w:r>
    </w:p>
    <w:p>
      <w:pPr>
        <w:sectPr>
          <w:pgSz w:w="11900" w:h="16838" w:orient="portrait"/>
          <w:cols w:equalWidth="0" w:num="1">
            <w:col w:w="10860"/>
          </w:cols>
          <w:pgMar w:left="320" w:top="459" w:right="7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SIGNATURES</w:t>
      </w:r>
    </w:p>
    <w:p>
      <w:pPr>
        <w:spacing w:after="0" w:line="208" w:lineRule="exact"/>
        <w:rPr>
          <w:sz w:val="20"/>
          <w:szCs w:val="20"/>
          <w:color w:val="auto"/>
        </w:rPr>
      </w:pPr>
    </w:p>
    <w:p>
      <w:pPr>
        <w:ind w:right="200" w:firstLine="562"/>
        <w:spacing w:after="0" w:line="253"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on Form 10-Q to be signed on its behalf by the undersigned, thereunto duly authorized.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3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20" w:type="dxa"/>
            <w:vAlign w:val="bottom"/>
          </w:tcPr>
          <w:p>
            <w:pPr>
              <w:ind w:left="740"/>
              <w:spacing w:after="0"/>
              <w:rPr>
                <w:sz w:val="20"/>
                <w:szCs w:val="20"/>
                <w:color w:val="auto"/>
              </w:rPr>
            </w:pPr>
            <w:r>
              <w:rPr>
                <w:rFonts w:ascii="Arial" w:cs="Arial" w:eastAsia="Arial" w:hAnsi="Arial"/>
                <w:sz w:val="14"/>
                <w:szCs w:val="14"/>
                <w:color w:val="auto"/>
              </w:rPr>
              <w:t>PENNANTPARK INVESTMENT CORPORATION</w:t>
            </w:r>
          </w:p>
        </w:tc>
      </w:tr>
      <w:tr>
        <w:trPr>
          <w:trHeight w:val="350"/>
        </w:trPr>
        <w:tc>
          <w:tcPr>
            <w:tcW w:w="3340" w:type="dxa"/>
            <w:vAlign w:val="bottom"/>
          </w:tcPr>
          <w:p>
            <w:pPr>
              <w:spacing w:after="0"/>
              <w:rPr>
                <w:sz w:val="20"/>
                <w:szCs w:val="20"/>
                <w:color w:val="auto"/>
              </w:rPr>
            </w:pPr>
            <w:r>
              <w:rPr>
                <w:rFonts w:ascii="Arial" w:cs="Arial" w:eastAsia="Arial" w:hAnsi="Arial"/>
                <w:sz w:val="14"/>
                <w:szCs w:val="14"/>
                <w:color w:val="auto"/>
              </w:rPr>
              <w:t>Date: February 8, 2017</w:t>
            </w:r>
          </w:p>
        </w:tc>
        <w:tc>
          <w:tcPr>
            <w:tcW w:w="2200" w:type="dxa"/>
            <w:vAlign w:val="bottom"/>
          </w:tcPr>
          <w:p>
            <w:pPr>
              <w:ind w:left="1980"/>
              <w:spacing w:after="0"/>
              <w:rPr>
                <w:sz w:val="20"/>
                <w:szCs w:val="20"/>
                <w:color w:val="auto"/>
              </w:rPr>
            </w:pPr>
            <w:r>
              <w:rPr>
                <w:rFonts w:ascii="Arial" w:cs="Arial" w:eastAsia="Arial" w:hAnsi="Arial"/>
                <w:sz w:val="14"/>
                <w:szCs w:val="14"/>
                <w:color w:val="auto"/>
                <w:w w:val="98"/>
              </w:rPr>
              <w:t>By:</w:t>
            </w:r>
          </w:p>
        </w:tc>
        <w:tc>
          <w:tcPr>
            <w:tcW w:w="480" w:type="dxa"/>
            <w:vAlign w:val="bottom"/>
          </w:tcPr>
          <w:p>
            <w:pPr>
              <w:spacing w:after="0"/>
              <w:rPr>
                <w:sz w:val="24"/>
                <w:szCs w:val="24"/>
                <w:color w:val="auto"/>
              </w:rPr>
            </w:pPr>
          </w:p>
        </w:tc>
        <w:tc>
          <w:tcPr>
            <w:tcW w:w="522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color w:val="auto"/>
                <w:w w:val="95"/>
              </w:rPr>
              <w:t>/s/ Arthur H. Penn</w:t>
            </w:r>
          </w:p>
        </w:tc>
      </w:tr>
      <w:tr>
        <w:trPr>
          <w:trHeight w:val="133"/>
        </w:trPr>
        <w:tc>
          <w:tcPr>
            <w:tcW w:w="334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22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9"/>
              </w:rPr>
              <w:t>Arthur H. Penn</w:t>
            </w:r>
          </w:p>
        </w:tc>
      </w:tr>
      <w:tr>
        <w:trPr>
          <w:trHeight w:val="148"/>
        </w:trPr>
        <w:tc>
          <w:tcPr>
            <w:tcW w:w="334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Chief Executive Officer and Chairman of the Board of Directors</w:t>
            </w:r>
          </w:p>
        </w:tc>
      </w:tr>
      <w:tr>
        <w:trPr>
          <w:trHeight w:val="186"/>
        </w:trPr>
        <w:tc>
          <w:tcPr>
            <w:tcW w:w="33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20" w:type="dxa"/>
            <w:vAlign w:val="bottom"/>
          </w:tcPr>
          <w:p>
            <w:pPr>
              <w:jc w:val="center"/>
              <w:spacing w:after="0"/>
              <w:rPr>
                <w:sz w:val="20"/>
                <w:szCs w:val="20"/>
                <w:color w:val="auto"/>
              </w:rPr>
            </w:pPr>
            <w:r>
              <w:rPr>
                <w:rFonts w:ascii="Arial" w:cs="Arial" w:eastAsia="Arial" w:hAnsi="Arial"/>
                <w:sz w:val="14"/>
                <w:szCs w:val="14"/>
                <w:b w:val="1"/>
                <w:bCs w:val="1"/>
                <w:color w:val="auto"/>
                <w:w w:val="95"/>
              </w:rPr>
              <w:t>(Principal Executive Officer)</w:t>
            </w:r>
          </w:p>
        </w:tc>
      </w:tr>
      <w:tr>
        <w:trPr>
          <w:trHeight w:val="363"/>
        </w:trPr>
        <w:tc>
          <w:tcPr>
            <w:tcW w:w="3340" w:type="dxa"/>
            <w:vAlign w:val="bottom"/>
          </w:tcPr>
          <w:p>
            <w:pPr>
              <w:spacing w:after="0"/>
              <w:rPr>
                <w:sz w:val="20"/>
                <w:szCs w:val="20"/>
                <w:color w:val="auto"/>
              </w:rPr>
            </w:pPr>
            <w:r>
              <w:rPr>
                <w:rFonts w:ascii="Arial" w:cs="Arial" w:eastAsia="Arial" w:hAnsi="Arial"/>
                <w:sz w:val="14"/>
                <w:szCs w:val="14"/>
                <w:color w:val="auto"/>
              </w:rPr>
              <w:t>Date: February 8, 2017</w:t>
            </w:r>
          </w:p>
        </w:tc>
        <w:tc>
          <w:tcPr>
            <w:tcW w:w="2200" w:type="dxa"/>
            <w:vAlign w:val="bottom"/>
          </w:tcPr>
          <w:p>
            <w:pPr>
              <w:ind w:left="1980"/>
              <w:spacing w:after="0"/>
              <w:rPr>
                <w:sz w:val="20"/>
                <w:szCs w:val="20"/>
                <w:color w:val="auto"/>
              </w:rPr>
            </w:pPr>
            <w:r>
              <w:rPr>
                <w:rFonts w:ascii="Arial" w:cs="Arial" w:eastAsia="Arial" w:hAnsi="Arial"/>
                <w:sz w:val="14"/>
                <w:szCs w:val="14"/>
                <w:color w:val="auto"/>
                <w:w w:val="98"/>
              </w:rPr>
              <w:t>By:</w:t>
            </w:r>
          </w:p>
        </w:tc>
        <w:tc>
          <w:tcPr>
            <w:tcW w:w="480" w:type="dxa"/>
            <w:vAlign w:val="bottom"/>
          </w:tcPr>
          <w:p>
            <w:pPr>
              <w:spacing w:after="0"/>
              <w:rPr>
                <w:sz w:val="24"/>
                <w:szCs w:val="24"/>
                <w:color w:val="auto"/>
              </w:rPr>
            </w:pPr>
          </w:p>
        </w:tc>
        <w:tc>
          <w:tcPr>
            <w:tcW w:w="522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color w:val="auto"/>
                <w:w w:val="99"/>
              </w:rPr>
              <w:t>/s/ Aviv Efrat</w:t>
            </w:r>
          </w:p>
        </w:tc>
      </w:tr>
      <w:tr>
        <w:trPr>
          <w:trHeight w:val="180"/>
        </w:trPr>
        <w:tc>
          <w:tcPr>
            <w:tcW w:w="33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220" w:type="dxa"/>
            <w:vAlign w:val="bottom"/>
          </w:tcPr>
          <w:p>
            <w:pPr>
              <w:jc w:val="center"/>
              <w:spacing w:after="0"/>
              <w:rPr>
                <w:sz w:val="20"/>
                <w:szCs w:val="20"/>
                <w:color w:val="auto"/>
              </w:rPr>
            </w:pPr>
            <w:r>
              <w:rPr>
                <w:rFonts w:ascii="Arial" w:cs="Arial" w:eastAsia="Arial" w:hAnsi="Arial"/>
                <w:sz w:val="14"/>
                <w:szCs w:val="14"/>
                <w:b w:val="1"/>
                <w:bCs w:val="1"/>
                <w:color w:val="auto"/>
                <w:w w:val="97"/>
              </w:rPr>
              <w:t>Aviv Efrat</w:t>
            </w:r>
          </w:p>
        </w:tc>
      </w:tr>
      <w:tr>
        <w:trPr>
          <w:trHeight w:val="169"/>
        </w:trPr>
        <w:tc>
          <w:tcPr>
            <w:tcW w:w="334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220" w:type="dxa"/>
            <w:vAlign w:val="bottom"/>
          </w:tcPr>
          <w:p>
            <w:pPr>
              <w:jc w:val="center"/>
              <w:spacing w:after="0"/>
              <w:rPr>
                <w:sz w:val="20"/>
                <w:szCs w:val="20"/>
                <w:color w:val="auto"/>
              </w:rPr>
            </w:pPr>
            <w:r>
              <w:rPr>
                <w:rFonts w:ascii="Arial" w:cs="Arial" w:eastAsia="Arial" w:hAnsi="Arial"/>
                <w:sz w:val="14"/>
                <w:szCs w:val="14"/>
                <w:b w:val="1"/>
                <w:bCs w:val="1"/>
                <w:color w:val="auto"/>
                <w:w w:val="95"/>
              </w:rPr>
              <w:t>Chief Financial Officer and Treasurer</w:t>
            </w:r>
          </w:p>
        </w:tc>
      </w:tr>
      <w:tr>
        <w:trPr>
          <w:trHeight w:val="186"/>
        </w:trPr>
        <w:tc>
          <w:tcPr>
            <w:tcW w:w="33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220" w:type="dxa"/>
            <w:vAlign w:val="bottom"/>
          </w:tcPr>
          <w:p>
            <w:pPr>
              <w:jc w:val="center"/>
              <w:spacing w:after="0"/>
              <w:rPr>
                <w:sz w:val="20"/>
                <w:szCs w:val="20"/>
                <w:color w:val="auto"/>
              </w:rPr>
            </w:pPr>
            <w:r>
              <w:rPr>
                <w:rFonts w:ascii="Arial" w:cs="Arial" w:eastAsia="Arial" w:hAnsi="Arial"/>
                <w:sz w:val="14"/>
                <w:szCs w:val="14"/>
                <w:b w:val="1"/>
                <w:bCs w:val="1"/>
                <w:color w:val="auto"/>
                <w:w w:val="94"/>
              </w:rPr>
              <w:t>(Principal Financial and Accounting Officer)</w:t>
            </w:r>
          </w:p>
        </w:tc>
      </w:tr>
      <w:tr>
        <w:trPr>
          <w:trHeight w:val="432"/>
        </w:trPr>
        <w:tc>
          <w:tcPr>
            <w:tcW w:w="33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480" w:type="dxa"/>
            <w:vAlign w:val="bottom"/>
          </w:tcPr>
          <w:p>
            <w:pPr>
              <w:jc w:val="right"/>
              <w:ind w:right="248"/>
              <w:spacing w:after="0"/>
              <w:rPr>
                <w:sz w:val="20"/>
                <w:szCs w:val="20"/>
                <w:color w:val="auto"/>
              </w:rPr>
            </w:pPr>
            <w:r>
              <w:rPr>
                <w:rFonts w:ascii="Arial" w:cs="Arial" w:eastAsia="Arial" w:hAnsi="Arial"/>
                <w:sz w:val="14"/>
                <w:szCs w:val="14"/>
                <w:color w:val="auto"/>
                <w:w w:val="89"/>
              </w:rPr>
              <w:t>36</w:t>
            </w:r>
          </w:p>
        </w:tc>
        <w:tc>
          <w:tcPr>
            <w:tcW w:w="522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36" w:name="page37"/>
    <w:bookmarkEnd w:id="36"/>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3" w:lineRule="exact"/>
        <w:rPr>
          <w:sz w:val="20"/>
          <w:szCs w:val="20"/>
          <w:color w:val="auto"/>
        </w:rPr>
      </w:pPr>
    </w:p>
    <w:p>
      <w:pPr>
        <w:ind w:left="4020"/>
        <w:spacing w:after="0"/>
        <w:rPr>
          <w:sz w:val="20"/>
          <w:szCs w:val="20"/>
          <w:color w:val="auto"/>
        </w:rPr>
      </w:pPr>
      <w:r>
        <w:rPr>
          <w:rFonts w:ascii="Arial" w:cs="Arial" w:eastAsia="Arial" w:hAnsi="Arial"/>
          <w:sz w:val="14"/>
          <w:szCs w:val="14"/>
          <w:b w:val="1"/>
          <w:bCs w:val="1"/>
          <w:color w:val="auto"/>
        </w:rPr>
        <w:t>CHIEF EXECUTIVE OFFICER CERTIFICATION</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Exhibit 31.1</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I, Arthur H. Penn, Chief Executive Officer of PennantPark Investment Corporation, certify that:</w:t>
      </w:r>
    </w:p>
    <w:p>
      <w:pPr>
        <w:spacing w:after="0" w:line="163" w:lineRule="exact"/>
        <w:rPr>
          <w:sz w:val="20"/>
          <w:szCs w:val="20"/>
          <w:color w:val="auto"/>
        </w:rPr>
      </w:pPr>
    </w:p>
    <w:p>
      <w:pPr>
        <w:ind w:left="720" w:hanging="150"/>
        <w:spacing w:after="0"/>
        <w:tabs>
          <w:tab w:leader="none" w:pos="7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Investment Corporation;</w:t>
      </w:r>
    </w:p>
    <w:p>
      <w:pPr>
        <w:spacing w:after="0" w:line="176" w:lineRule="exact"/>
        <w:rPr>
          <w:rFonts w:ascii="Arial" w:cs="Arial" w:eastAsia="Arial" w:hAnsi="Arial"/>
          <w:sz w:val="14"/>
          <w:szCs w:val="14"/>
          <w:color w:val="auto"/>
        </w:rPr>
      </w:pPr>
    </w:p>
    <w:p>
      <w:pPr>
        <w:ind w:right="260" w:firstLine="570"/>
        <w:spacing w:after="0" w:line="253" w:lineRule="auto"/>
        <w:tabs>
          <w:tab w:leader="none" w:pos="705" w:val="left"/>
        </w:tabs>
        <w:numPr>
          <w:ilvl w:val="0"/>
          <w:numId w:val="1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4"/>
          <w:szCs w:val="14"/>
          <w:color w:val="auto"/>
        </w:rPr>
      </w:pPr>
    </w:p>
    <w:p>
      <w:pPr>
        <w:ind w:right="360" w:firstLine="570"/>
        <w:spacing w:after="0" w:line="253" w:lineRule="auto"/>
        <w:tabs>
          <w:tab w:leader="none" w:pos="705" w:val="left"/>
        </w:tabs>
        <w:numPr>
          <w:ilvl w:val="0"/>
          <w:numId w:val="19"/>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4"/>
          <w:szCs w:val="14"/>
          <w:color w:val="auto"/>
        </w:rPr>
      </w:pPr>
    </w:p>
    <w:p>
      <w:pPr>
        <w:ind w:left="720" w:hanging="150"/>
        <w:spacing w:after="0"/>
        <w:tabs>
          <w:tab w:leader="none" w:pos="7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164" w:lineRule="exact"/>
        <w:rPr>
          <w:rFonts w:ascii="Arial" w:cs="Arial" w:eastAsia="Arial" w:hAnsi="Arial"/>
          <w:sz w:val="13"/>
          <w:szCs w:val="13"/>
          <w:color w:val="auto"/>
        </w:rPr>
      </w:pPr>
    </w:p>
    <w:p>
      <w:pPr>
        <w:jc w:val="both"/>
        <w:ind w:right="260" w:firstLine="794"/>
        <w:spacing w:after="0" w:line="335" w:lineRule="auto"/>
        <w:tabs>
          <w:tab w:leader="none" w:pos="934" w:val="left"/>
        </w:tabs>
        <w:numPr>
          <w:ilvl w:val="1"/>
          <w:numId w:val="19"/>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87" w:lineRule="exact"/>
        <w:rPr>
          <w:rFonts w:ascii="Arial" w:cs="Arial" w:eastAsia="Arial" w:hAnsi="Arial"/>
          <w:sz w:val="12"/>
          <w:szCs w:val="12"/>
          <w:color w:val="auto"/>
        </w:rPr>
      </w:pPr>
    </w:p>
    <w:p>
      <w:pPr>
        <w:ind w:right="440" w:firstLine="794"/>
        <w:spacing w:after="0" w:line="290" w:lineRule="auto"/>
        <w:tabs>
          <w:tab w:leader="none" w:pos="942" w:val="left"/>
        </w:tabs>
        <w:numPr>
          <w:ilvl w:val="1"/>
          <w:numId w:val="19"/>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11" w:lineRule="exact"/>
        <w:rPr>
          <w:rFonts w:ascii="Arial" w:cs="Arial" w:eastAsia="Arial" w:hAnsi="Arial"/>
          <w:sz w:val="13"/>
          <w:szCs w:val="13"/>
          <w:color w:val="auto"/>
        </w:rPr>
      </w:pPr>
    </w:p>
    <w:p>
      <w:pPr>
        <w:ind w:right="220" w:firstLine="794"/>
        <w:spacing w:after="0" w:line="253" w:lineRule="auto"/>
        <w:tabs>
          <w:tab w:leader="none" w:pos="934" w:val="left"/>
        </w:tabs>
        <w:numPr>
          <w:ilvl w:val="1"/>
          <w:numId w:val="1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4"/>
          <w:szCs w:val="14"/>
          <w:color w:val="auto"/>
        </w:rPr>
      </w:pPr>
    </w:p>
    <w:p>
      <w:pPr>
        <w:ind w:right="360" w:firstLine="794"/>
        <w:spacing w:after="0" w:line="290" w:lineRule="auto"/>
        <w:tabs>
          <w:tab w:leader="none" w:pos="942" w:val="left"/>
        </w:tabs>
        <w:numPr>
          <w:ilvl w:val="1"/>
          <w:numId w:val="19"/>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3"/>
          <w:szCs w:val="13"/>
          <w:color w:val="auto"/>
        </w:rPr>
      </w:pPr>
    </w:p>
    <w:p>
      <w:pPr>
        <w:ind w:right="120" w:firstLine="570"/>
        <w:spacing w:after="0" w:line="253" w:lineRule="auto"/>
        <w:tabs>
          <w:tab w:leader="none" w:pos="705"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4"/>
          <w:szCs w:val="14"/>
          <w:color w:val="auto"/>
        </w:rPr>
      </w:pPr>
    </w:p>
    <w:p>
      <w:pPr>
        <w:ind w:right="380" w:firstLine="794"/>
        <w:spacing w:after="0" w:line="253" w:lineRule="auto"/>
        <w:tabs>
          <w:tab w:leader="none" w:pos="934" w:val="left"/>
        </w:tabs>
        <w:numPr>
          <w:ilvl w:val="1"/>
          <w:numId w:val="1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4"/>
          <w:szCs w:val="14"/>
          <w:color w:val="auto"/>
        </w:rPr>
      </w:pPr>
    </w:p>
    <w:p>
      <w:pPr>
        <w:ind w:left="940" w:hanging="146"/>
        <w:spacing w:after="0"/>
        <w:tabs>
          <w:tab w:leader="none" w:pos="940" w:val="left"/>
        </w:tabs>
        <w:numPr>
          <w:ilvl w:val="1"/>
          <w:numId w:val="19"/>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Dated: February 8, 2017</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Name: Arthur H. Penn</w:t>
      </w:r>
    </w:p>
    <w:p>
      <w:pPr>
        <w:spacing w:after="0"/>
        <w:rPr>
          <w:sz w:val="20"/>
          <w:szCs w:val="20"/>
          <w:color w:val="auto"/>
        </w:rPr>
      </w:pPr>
      <w:r>
        <w:rPr>
          <w:rFonts w:ascii="Arial" w:cs="Arial" w:eastAsia="Arial" w:hAnsi="Arial"/>
          <w:sz w:val="14"/>
          <w:szCs w:val="14"/>
          <w:color w:val="auto"/>
        </w:rPr>
        <w:t>Title: Chief Executive Officer</w:t>
      </w:r>
    </w:p>
    <w:p>
      <w:pPr>
        <w:sectPr>
          <w:pgSz w:w="11900" w:h="16838" w:orient="portrait"/>
          <w:cols w:equalWidth="0" w:num="1">
            <w:col w:w="11240"/>
          </w:cols>
          <w:pgMar w:left="320" w:top="118" w:right="339" w:bottom="1440" w:gutter="0" w:footer="0" w:header="0"/>
        </w:sectPr>
      </w:pPr>
    </w:p>
    <w:bookmarkStart w:id="37" w:name="page38"/>
    <w:bookmarkEnd w:id="37"/>
    <w:p>
      <w:pPr>
        <w:ind w:left="404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3"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CHIEF FINANCIAL OFFICER CERTIFICATION</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Exhibit 31.2</w:t>
      </w:r>
    </w:p>
    <w:p>
      <w:pPr>
        <w:spacing w:after="0" w:line="208" w:lineRule="exact"/>
        <w:rPr>
          <w:sz w:val="20"/>
          <w:szCs w:val="20"/>
          <w:color w:val="auto"/>
        </w:rPr>
      </w:pPr>
    </w:p>
    <w:p>
      <w:pPr>
        <w:spacing w:after="0"/>
        <w:rPr>
          <w:sz w:val="20"/>
          <w:szCs w:val="20"/>
          <w:color w:val="auto"/>
        </w:rPr>
      </w:pPr>
      <w:r>
        <w:rPr>
          <w:rFonts w:ascii="Arial" w:cs="Arial" w:eastAsia="Arial" w:hAnsi="Arial"/>
          <w:sz w:val="14"/>
          <w:szCs w:val="14"/>
          <w:color w:val="auto"/>
        </w:rPr>
        <w:t>I, Aviv Efrat, Chief Financial Officer of PennantPark Investment Corporation, certify that:</w:t>
      </w:r>
    </w:p>
    <w:p>
      <w:pPr>
        <w:spacing w:after="0" w:line="163" w:lineRule="exact"/>
        <w:rPr>
          <w:sz w:val="20"/>
          <w:szCs w:val="20"/>
          <w:color w:val="auto"/>
        </w:rPr>
      </w:pPr>
    </w:p>
    <w:p>
      <w:pPr>
        <w:ind w:left="720" w:hanging="150"/>
        <w:spacing w:after="0"/>
        <w:tabs>
          <w:tab w:leader="none" w:pos="7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Investment Corporation;</w:t>
      </w:r>
    </w:p>
    <w:p>
      <w:pPr>
        <w:spacing w:after="0" w:line="176" w:lineRule="exact"/>
        <w:rPr>
          <w:rFonts w:ascii="Arial" w:cs="Arial" w:eastAsia="Arial" w:hAnsi="Arial"/>
          <w:sz w:val="14"/>
          <w:szCs w:val="14"/>
          <w:color w:val="auto"/>
        </w:rPr>
      </w:pPr>
    </w:p>
    <w:p>
      <w:pPr>
        <w:ind w:right="260" w:firstLine="570"/>
        <w:spacing w:after="0" w:line="253" w:lineRule="auto"/>
        <w:tabs>
          <w:tab w:leader="none" w:pos="705" w:val="left"/>
        </w:tabs>
        <w:numPr>
          <w:ilvl w:val="0"/>
          <w:numId w:val="2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3" w:lineRule="exact"/>
        <w:rPr>
          <w:rFonts w:ascii="Arial" w:cs="Arial" w:eastAsia="Arial" w:hAnsi="Arial"/>
          <w:sz w:val="14"/>
          <w:szCs w:val="14"/>
          <w:color w:val="auto"/>
        </w:rPr>
      </w:pPr>
    </w:p>
    <w:p>
      <w:pPr>
        <w:ind w:right="360" w:firstLine="570"/>
        <w:spacing w:after="0" w:line="253" w:lineRule="auto"/>
        <w:tabs>
          <w:tab w:leader="none" w:pos="705" w:val="left"/>
        </w:tabs>
        <w:numPr>
          <w:ilvl w:val="0"/>
          <w:numId w:val="20"/>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3" w:lineRule="exact"/>
        <w:rPr>
          <w:rFonts w:ascii="Arial" w:cs="Arial" w:eastAsia="Arial" w:hAnsi="Arial"/>
          <w:sz w:val="14"/>
          <w:szCs w:val="14"/>
          <w:color w:val="auto"/>
        </w:rPr>
      </w:pPr>
    </w:p>
    <w:p>
      <w:pPr>
        <w:ind w:left="720" w:hanging="150"/>
        <w:spacing w:after="0"/>
        <w:tabs>
          <w:tab w:leader="none" w:pos="7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164" w:lineRule="exact"/>
        <w:rPr>
          <w:rFonts w:ascii="Arial" w:cs="Arial" w:eastAsia="Arial" w:hAnsi="Arial"/>
          <w:sz w:val="13"/>
          <w:szCs w:val="13"/>
          <w:color w:val="auto"/>
        </w:rPr>
      </w:pPr>
    </w:p>
    <w:p>
      <w:pPr>
        <w:jc w:val="both"/>
        <w:ind w:right="260" w:firstLine="794"/>
        <w:spacing w:after="0" w:line="335" w:lineRule="auto"/>
        <w:tabs>
          <w:tab w:leader="none" w:pos="934" w:val="left"/>
        </w:tabs>
        <w:numPr>
          <w:ilvl w:val="1"/>
          <w:numId w:val="20"/>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87" w:lineRule="exact"/>
        <w:rPr>
          <w:rFonts w:ascii="Arial" w:cs="Arial" w:eastAsia="Arial" w:hAnsi="Arial"/>
          <w:sz w:val="12"/>
          <w:szCs w:val="12"/>
          <w:color w:val="auto"/>
        </w:rPr>
      </w:pPr>
    </w:p>
    <w:p>
      <w:pPr>
        <w:ind w:right="440" w:firstLine="794"/>
        <w:spacing w:after="0" w:line="290" w:lineRule="auto"/>
        <w:tabs>
          <w:tab w:leader="none" w:pos="942" w:val="left"/>
        </w:tabs>
        <w:numPr>
          <w:ilvl w:val="1"/>
          <w:numId w:val="20"/>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11" w:lineRule="exact"/>
        <w:rPr>
          <w:rFonts w:ascii="Arial" w:cs="Arial" w:eastAsia="Arial" w:hAnsi="Arial"/>
          <w:sz w:val="13"/>
          <w:szCs w:val="13"/>
          <w:color w:val="auto"/>
        </w:rPr>
      </w:pPr>
    </w:p>
    <w:p>
      <w:pPr>
        <w:ind w:right="220" w:firstLine="794"/>
        <w:spacing w:after="0" w:line="253" w:lineRule="auto"/>
        <w:tabs>
          <w:tab w:leader="none" w:pos="934" w:val="left"/>
        </w:tabs>
        <w:numPr>
          <w:ilvl w:val="1"/>
          <w:numId w:val="2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4"/>
          <w:szCs w:val="14"/>
          <w:color w:val="auto"/>
        </w:rPr>
      </w:pPr>
    </w:p>
    <w:p>
      <w:pPr>
        <w:ind w:right="360" w:firstLine="794"/>
        <w:spacing w:after="0" w:line="290" w:lineRule="auto"/>
        <w:tabs>
          <w:tab w:leader="none" w:pos="942" w:val="left"/>
        </w:tabs>
        <w:numPr>
          <w:ilvl w:val="1"/>
          <w:numId w:val="20"/>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3"/>
          <w:szCs w:val="13"/>
          <w:color w:val="auto"/>
        </w:rPr>
      </w:pPr>
    </w:p>
    <w:p>
      <w:pPr>
        <w:ind w:right="120" w:firstLine="570"/>
        <w:spacing w:after="0" w:line="253" w:lineRule="auto"/>
        <w:tabs>
          <w:tab w:leader="none" w:pos="705"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3" w:lineRule="exact"/>
        <w:rPr>
          <w:rFonts w:ascii="Arial" w:cs="Arial" w:eastAsia="Arial" w:hAnsi="Arial"/>
          <w:sz w:val="14"/>
          <w:szCs w:val="14"/>
          <w:color w:val="auto"/>
        </w:rPr>
      </w:pPr>
    </w:p>
    <w:p>
      <w:pPr>
        <w:ind w:right="380" w:firstLine="794"/>
        <w:spacing w:after="0" w:line="253" w:lineRule="auto"/>
        <w:tabs>
          <w:tab w:leader="none" w:pos="934" w:val="left"/>
        </w:tabs>
        <w:numPr>
          <w:ilvl w:val="1"/>
          <w:numId w:val="20"/>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4"/>
          <w:szCs w:val="14"/>
          <w:color w:val="auto"/>
        </w:rPr>
      </w:pPr>
    </w:p>
    <w:p>
      <w:pPr>
        <w:ind w:left="940" w:hanging="146"/>
        <w:spacing w:after="0"/>
        <w:tabs>
          <w:tab w:leader="none" w:pos="940" w:val="left"/>
        </w:tabs>
        <w:numPr>
          <w:ilvl w:val="1"/>
          <w:numId w:val="20"/>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Dated: February 8, 2017</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Name: Aviv Efrat</w:t>
      </w:r>
    </w:p>
    <w:p>
      <w:pPr>
        <w:spacing w:after="0"/>
        <w:rPr>
          <w:sz w:val="20"/>
          <w:szCs w:val="20"/>
          <w:color w:val="auto"/>
        </w:rPr>
      </w:pPr>
      <w:r>
        <w:rPr>
          <w:rFonts w:ascii="Arial" w:cs="Arial" w:eastAsia="Arial" w:hAnsi="Arial"/>
          <w:sz w:val="14"/>
          <w:szCs w:val="14"/>
          <w:color w:val="auto"/>
        </w:rPr>
        <w:t>Title: Chief Financial Officer</w:t>
      </w:r>
    </w:p>
    <w:p>
      <w:pPr>
        <w:sectPr>
          <w:pgSz w:w="11900" w:h="16838" w:orient="portrait"/>
          <w:cols w:equalWidth="0" w:num="1">
            <w:col w:w="11240"/>
          </w:cols>
          <w:pgMar w:left="320" w:top="118"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4"/>
          <w:szCs w:val="14"/>
          <w:b w:val="1"/>
          <w:bCs w:val="1"/>
          <w:color w:val="auto"/>
        </w:rPr>
        <w:t>CERTIFICATION OF CHIEF EXECUTIVE OFFICER</w:t>
      </w:r>
    </w:p>
    <w:p>
      <w:pPr>
        <w:jc w:val="center"/>
        <w:spacing w:after="0" w:line="225"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88" w:lineRule="exact"/>
        <w:rPr>
          <w:sz w:val="20"/>
          <w:szCs w:val="20"/>
          <w:color w:val="auto"/>
        </w:rPr>
      </w:pPr>
    </w:p>
    <w:p>
      <w:pPr>
        <w:ind w:left="10500"/>
        <w:spacing w:after="0"/>
        <w:rPr>
          <w:sz w:val="20"/>
          <w:szCs w:val="20"/>
          <w:color w:val="auto"/>
        </w:rPr>
      </w:pPr>
      <w:r>
        <w:rPr>
          <w:rFonts w:ascii="Arial" w:cs="Arial" w:eastAsia="Arial" w:hAnsi="Arial"/>
          <w:sz w:val="13"/>
          <w:szCs w:val="13"/>
          <w:b w:val="1"/>
          <w:bCs w:val="1"/>
          <w:color w:val="auto"/>
        </w:rPr>
        <w:t>Exhibit 32.1</w:t>
      </w:r>
    </w:p>
    <w:p>
      <w:pPr>
        <w:spacing w:after="0" w:line="219" w:lineRule="exact"/>
        <w:rPr>
          <w:sz w:val="20"/>
          <w:szCs w:val="20"/>
          <w:color w:val="auto"/>
        </w:rPr>
      </w:pPr>
    </w:p>
    <w:p>
      <w:pPr>
        <w:ind w:left="560"/>
        <w:spacing w:after="0"/>
        <w:rPr>
          <w:sz w:val="20"/>
          <w:szCs w:val="20"/>
          <w:color w:val="auto"/>
        </w:rPr>
      </w:pPr>
      <w:r>
        <w:rPr>
          <w:rFonts w:ascii="Arial" w:cs="Arial" w:eastAsia="Arial" w:hAnsi="Arial"/>
          <w:sz w:val="13"/>
          <w:szCs w:val="13"/>
          <w:color w:val="auto"/>
        </w:rPr>
        <w:t>In connection with this Report on Form 10-Q for the three months ended December 31, 2016 (the “Report”) of PennantPark Investment Corporation (the “Registrant”), as filed with the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Securities and Exchange Commission on the date hereof, I, Arthur H. Penn, Chief Executive Officer of the Registrant, hereby certify, to the best of my knowledge, that:</w:t>
      </w:r>
    </w:p>
    <w:p>
      <w:pPr>
        <w:spacing w:after="0" w:line="84" w:lineRule="exact"/>
        <w:rPr>
          <w:sz w:val="20"/>
          <w:szCs w:val="20"/>
          <w:color w:val="auto"/>
        </w:rPr>
      </w:pPr>
    </w:p>
    <w:p>
      <w:pPr>
        <w:ind w:left="780" w:hanging="210"/>
        <w:spacing w:after="0"/>
        <w:tabs>
          <w:tab w:leader="none" w:pos="7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95" w:lineRule="exact"/>
        <w:rPr>
          <w:rFonts w:ascii="Arial" w:cs="Arial" w:eastAsia="Arial" w:hAnsi="Arial"/>
          <w:sz w:val="14"/>
          <w:szCs w:val="14"/>
          <w:color w:val="auto"/>
        </w:rPr>
      </w:pPr>
    </w:p>
    <w:p>
      <w:pPr>
        <w:ind w:left="780" w:hanging="210"/>
        <w:spacing w:after="0"/>
        <w:tabs>
          <w:tab w:leader="none" w:pos="7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Name: Arthur H. Penn</w:t>
      </w:r>
    </w:p>
    <w:p>
      <w:pPr>
        <w:spacing w:after="0" w:line="221" w:lineRule="auto"/>
        <w:rPr>
          <w:sz w:val="20"/>
          <w:szCs w:val="20"/>
          <w:color w:val="auto"/>
        </w:rPr>
      </w:pPr>
      <w:r>
        <w:rPr>
          <w:rFonts w:ascii="Arial" w:cs="Arial" w:eastAsia="Arial" w:hAnsi="Arial"/>
          <w:sz w:val="14"/>
          <w:szCs w:val="14"/>
          <w:color w:val="auto"/>
        </w:rPr>
        <w:t>Title: Chief Executive Officer</w:t>
      </w:r>
    </w:p>
    <w:p>
      <w:pPr>
        <w:spacing w:after="0"/>
        <w:rPr>
          <w:sz w:val="20"/>
          <w:szCs w:val="20"/>
          <w:color w:val="auto"/>
        </w:rPr>
      </w:pPr>
      <w:r>
        <w:rPr>
          <w:rFonts w:ascii="Arial" w:cs="Arial" w:eastAsia="Arial" w:hAnsi="Arial"/>
          <w:sz w:val="14"/>
          <w:szCs w:val="14"/>
          <w:color w:val="auto"/>
        </w:rPr>
        <w:t>Date: February 8, 2017</w:t>
      </w:r>
    </w:p>
    <w:p>
      <w:pPr>
        <w:sectPr>
          <w:pgSz w:w="11900" w:h="16838" w:orient="portrait"/>
          <w:cols w:equalWidth="0" w:num="1">
            <w:col w:w="11240"/>
          </w:cols>
          <w:pgMar w:left="320" w:top="118" w:right="339" w:bottom="1440" w:gutter="0" w:footer="0" w:header="0"/>
        </w:sectPr>
      </w:pPr>
    </w:p>
    <w:bookmarkStart w:id="39" w:name="page40"/>
    <w:bookmarkEnd w:id="39"/>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jc w:val="center"/>
        <w:ind w:right="140"/>
        <w:spacing w:after="0" w:line="225"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88" w:lineRule="exact"/>
        <w:rPr>
          <w:sz w:val="20"/>
          <w:szCs w:val="20"/>
          <w:color w:val="auto"/>
        </w:rPr>
      </w:pPr>
    </w:p>
    <w:p>
      <w:pPr>
        <w:ind w:left="10500"/>
        <w:spacing w:after="0"/>
        <w:rPr>
          <w:sz w:val="20"/>
          <w:szCs w:val="20"/>
          <w:color w:val="auto"/>
        </w:rPr>
      </w:pPr>
      <w:r>
        <w:rPr>
          <w:rFonts w:ascii="Arial" w:cs="Arial" w:eastAsia="Arial" w:hAnsi="Arial"/>
          <w:sz w:val="13"/>
          <w:szCs w:val="13"/>
          <w:b w:val="1"/>
          <w:bCs w:val="1"/>
          <w:color w:val="auto"/>
        </w:rPr>
        <w:t>Exhibit 32.2</w:t>
      </w:r>
    </w:p>
    <w:p>
      <w:pPr>
        <w:spacing w:after="0" w:line="219" w:lineRule="exact"/>
        <w:rPr>
          <w:sz w:val="20"/>
          <w:szCs w:val="20"/>
          <w:color w:val="auto"/>
        </w:rPr>
      </w:pPr>
    </w:p>
    <w:p>
      <w:pPr>
        <w:ind w:left="560"/>
        <w:spacing w:after="0"/>
        <w:rPr>
          <w:sz w:val="20"/>
          <w:szCs w:val="20"/>
          <w:color w:val="auto"/>
        </w:rPr>
      </w:pPr>
      <w:r>
        <w:rPr>
          <w:rFonts w:ascii="Arial" w:cs="Arial" w:eastAsia="Arial" w:hAnsi="Arial"/>
          <w:sz w:val="13"/>
          <w:szCs w:val="13"/>
          <w:color w:val="auto"/>
        </w:rPr>
        <w:t>In connection with this Report on Form 10-Q for the three months ended December 31, 2016 (the “Report”) of PennantPark Investment Corporation (the “Registrant”), as filed with the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Securities and Exchange Commission on the date hereof, I, Aviv Efrat, Chief Financial Officer of the Registrant, hereby certify, to the best of my knowledge, that:</w:t>
      </w:r>
    </w:p>
    <w:p>
      <w:pPr>
        <w:spacing w:after="0" w:line="84" w:lineRule="exact"/>
        <w:rPr>
          <w:sz w:val="20"/>
          <w:szCs w:val="20"/>
          <w:color w:val="auto"/>
        </w:rPr>
      </w:pPr>
    </w:p>
    <w:p>
      <w:pPr>
        <w:ind w:left="780" w:hanging="210"/>
        <w:spacing w:after="0"/>
        <w:tabs>
          <w:tab w:leader="none" w:pos="7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95" w:lineRule="exact"/>
        <w:rPr>
          <w:rFonts w:ascii="Arial" w:cs="Arial" w:eastAsia="Arial" w:hAnsi="Arial"/>
          <w:sz w:val="14"/>
          <w:szCs w:val="14"/>
          <w:color w:val="auto"/>
        </w:rPr>
      </w:pPr>
    </w:p>
    <w:p>
      <w:pPr>
        <w:ind w:left="780" w:hanging="210"/>
        <w:spacing w:after="0"/>
        <w:tabs>
          <w:tab w:leader="none" w:pos="78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8460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Name: Aviv Efrat</w:t>
      </w:r>
    </w:p>
    <w:p>
      <w:pPr>
        <w:spacing w:after="0" w:line="221" w:lineRule="auto"/>
        <w:rPr>
          <w:sz w:val="20"/>
          <w:szCs w:val="20"/>
          <w:color w:val="auto"/>
        </w:rPr>
      </w:pPr>
      <w:r>
        <w:rPr>
          <w:rFonts w:ascii="Arial" w:cs="Arial" w:eastAsia="Arial" w:hAnsi="Arial"/>
          <w:sz w:val="14"/>
          <w:szCs w:val="14"/>
          <w:color w:val="auto"/>
        </w:rPr>
        <w:t>Title: Chief Financial Officer</w:t>
      </w:r>
    </w:p>
    <w:p>
      <w:pPr>
        <w:spacing w:after="0"/>
        <w:rPr>
          <w:sz w:val="20"/>
          <w:szCs w:val="20"/>
          <w:color w:val="auto"/>
        </w:rPr>
      </w:pPr>
      <w:r>
        <w:rPr>
          <w:rFonts w:ascii="Arial" w:cs="Arial" w:eastAsia="Arial" w:hAnsi="Arial"/>
          <w:sz w:val="14"/>
          <w:szCs w:val="14"/>
          <w:color w:val="auto"/>
        </w:rPr>
        <w:t>Date: February 8, 2017</w:t>
      </w:r>
    </w:p>
    <w:sectPr>
      <w:pgSz w:w="11900" w:h="16838" w:orient="portrait"/>
      <w:cols w:equalWidth="0" w:num="1">
        <w:col w:w="11240"/>
      </w:cols>
      <w:pgMar w:left="320" w:top="11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1)"/>
      <w:numFmt w:val="decimal"/>
      <w:start w:val="1"/>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decimal"/>
      <w:start w:val="1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2020-05-05T15:20:13Z</dcterms:created>
  <dcterms:modified xsi:type="dcterms:W3CDTF">2020-05-05T15:20:13Z</dcterms:modified>
</cp:coreProperties>
</file>