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9,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spacing w:after="0" w:line="2"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300" w:space="720"/>
            <w:col w:w="1560" w:space="720"/>
            <w:col w:w="3800"/>
          </w:cols>
          <w:pgMar w:left="320" w:top="724" w:right="479" w:bottom="1440" w:gutter="0" w:footer="0" w:header="0"/>
          <w:type w:val="continuous"/>
        </w:sectPr>
      </w:pPr>
    </w:p>
    <w:p>
      <w:pPr>
        <w:spacing w:after="0" w:line="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9, 2022, PennantPark Investment Corporation issued a press release, a copy of which is attached hereto as Exhibit 99.1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of PennantPark Investment Corporation dated February 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4840" w:type="dxa"/>
            <w:vAlign w:val="bottom"/>
            <w:gridSpan w:val="3"/>
          </w:tcPr>
          <w:p>
            <w:pPr>
              <w:ind w:left="190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9, 2022</w:t>
            </w:r>
          </w:p>
        </w:tc>
        <w:tc>
          <w:tcPr>
            <w:tcW w:w="4840" w:type="dxa"/>
            <w:vAlign w:val="bottom"/>
            <w:gridSpan w:val="3"/>
          </w:tcPr>
          <w:p>
            <w:pPr>
              <w:ind w:left="1900"/>
              <w:spacing w:after="0"/>
              <w:rPr>
                <w:sz w:val="20"/>
                <w:szCs w:val="20"/>
                <w:color w:val="auto"/>
              </w:rPr>
            </w:pPr>
            <w:r>
              <w:rPr>
                <w:rFonts w:ascii="Arial" w:cs="Arial" w:eastAsia="Arial" w:hAnsi="Arial"/>
                <w:sz w:val="18"/>
                <w:szCs w:val="18"/>
                <w:color w:val="auto"/>
              </w:rPr>
              <w:t>By: /s/ Richard Cheung</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88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$25 Million Stock Repurchase Program</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MIAMI, Feb. 09, 2022 (GLOBE NEWSWIRE) -- PennantPark Investment Corporation (the "Company") (NASDAQ: PNNT) announced today that its Board of Directors has authorized a program for the purpose of repurchasing up to $25.0 million worth of its common stock at prices below the Company’s net asset value per share as reported in its most recent financial statements to be implemented at the discretion of the Company’s management team. Under the repurchase program, the Company may, but is not obligated to, repurchase its outstanding common stock in the open market from time to time provided that the Company complies with the prohibitions under its Insider Trading Policies and the requirements under Rule 10b-18 of the Securities Exchange Act of 1934, as amended, or the Exchange Act, including certain price, market volume and timing constraints. Repurchases will also be conducted in accordance with the Investment Company Act of 1940, as amended. Unless extended by the Company’s Board of Directors, the Company expects the repurchase program to remain in place until the earlier of March 31, 2023 and the repurchase of $25.0 million of the Company’s outstanding shares of common stock.</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Company’s Board of Directors authorized the repurchase program because it believes that market volatility may cause the Company’s common stock to be undervalued from time to time. The timing and number of additional shares to be repurchased will depend on a number of factors, including market conditions and alternative investment opportunities. There can be no assurance that the repurchase program will enhance shareholder value or increase the market value of the Company's shares of common stock. The Company's Board of Directors may amend this program, solely in its discretion, at any time during the duration of the program. Any amendment to the Company's announced repurchase program will be publicly disclosed. In addition, there are no assurances that the Company will engage in repurchases, but if market conditions warrant, the Company now has the ability to take advantage of situations where the Company’s management believes share repurchases would be advantageous to the Company and to its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$5.7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59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2022-02-09T15:13:04Z</dcterms:created>
  <dcterms:modified xsi:type="dcterms:W3CDTF">2022-02-09T15:13:04Z</dcterms:modified>
</cp:coreProperties>
</file>