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236220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252095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(Mark One)</w:t>
      </w: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360" w:lineRule="exact"/>
        <w:rPr>
          <w:sz w:val="24"/>
          <w:szCs w:val="24"/>
          <w:color w:val="auto"/>
        </w:rPr>
      </w:pPr>
    </w:p>
    <w:p>
      <w:pPr>
        <w:ind w:left="3560"/>
        <w:spacing w:after="0"/>
        <w:rPr>
          <w:sz w:val="20"/>
          <w:szCs w:val="20"/>
          <w:color w:val="auto"/>
        </w:rPr>
      </w:pPr>
      <w:r>
        <w:rPr>
          <w:rFonts w:ascii="Arial" w:cs="Arial" w:eastAsia="Arial" w:hAnsi="Arial"/>
          <w:sz w:val="18"/>
          <w:szCs w:val="18"/>
          <w:b w:val="1"/>
          <w:bCs w:val="1"/>
          <w:color w:val="auto"/>
        </w:rPr>
        <w:t>FOR THE QUARTERLY PERIOD ENDED JUNE 30, 2018</w:t>
      </w:r>
    </w:p>
    <w:p>
      <w:pPr>
        <w:spacing w:after="0" w:line="158" w:lineRule="exact"/>
        <w:rPr>
          <w:sz w:val="24"/>
          <w:szCs w:val="24"/>
          <w:color w:val="auto"/>
        </w:rPr>
      </w:pPr>
    </w:p>
    <w:p>
      <w:pPr>
        <w:ind w:left="5480"/>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80" w:hanging="372"/>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374"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6840" w:type="dxa"/>
            <w:vAlign w:val="bottom"/>
          </w:tcPr>
          <w:p>
            <w:pPr>
              <w:ind w:left="3460"/>
              <w:spacing w:after="0"/>
              <w:rPr>
                <w:sz w:val="20"/>
                <w:szCs w:val="20"/>
                <w:color w:val="auto"/>
              </w:rPr>
            </w:pPr>
            <w:r>
              <w:rPr>
                <w:rFonts w:ascii="Arial" w:cs="Arial" w:eastAsia="Arial" w:hAnsi="Arial"/>
                <w:sz w:val="18"/>
                <w:szCs w:val="18"/>
                <w:b w:val="1"/>
                <w:bCs w:val="1"/>
                <w:color w:val="auto"/>
              </w:rPr>
              <w:t>FOR THE TRANSITION PERIOD FROM</w:t>
            </w:r>
          </w:p>
        </w:tc>
        <w:tc>
          <w:tcPr>
            <w:tcW w:w="540" w:type="dxa"/>
            <w:vAlign w:val="bottom"/>
            <w:tcBorders>
              <w:bottom w:val="single" w:sz="8" w:color="auto"/>
            </w:tcBorders>
          </w:tcPr>
          <w:p>
            <w:pPr>
              <w:spacing w:after="0"/>
              <w:rPr>
                <w:sz w:val="17"/>
                <w:szCs w:val="17"/>
                <w:color w:val="auto"/>
              </w:rPr>
            </w:pPr>
          </w:p>
        </w:tc>
        <w:tc>
          <w:tcPr>
            <w:tcW w:w="340" w:type="dxa"/>
            <w:vAlign w:val="bottom"/>
          </w:tcPr>
          <w:p>
            <w:pPr>
              <w:ind w:left="40"/>
              <w:spacing w:after="0"/>
              <w:rPr>
                <w:sz w:val="20"/>
                <w:szCs w:val="20"/>
                <w:color w:val="auto"/>
              </w:rPr>
            </w:pPr>
            <w:r>
              <w:rPr>
                <w:rFonts w:ascii="Arial" w:cs="Arial" w:eastAsia="Arial" w:hAnsi="Arial"/>
                <w:sz w:val="18"/>
                <w:szCs w:val="18"/>
                <w:b w:val="1"/>
                <w:bCs w:val="1"/>
                <w:color w:val="auto"/>
              </w:rPr>
              <w:t>TO</w:t>
            </w:r>
          </w:p>
        </w:tc>
        <w:tc>
          <w:tcPr>
            <w:tcW w:w="540" w:type="dxa"/>
            <w:vAlign w:val="bottom"/>
            <w:tcBorders>
              <w:bottom w:val="single" w:sz="8" w:color="auto"/>
            </w:tcBorders>
          </w:tcPr>
          <w:p>
            <w:pPr>
              <w:spacing w:after="0"/>
              <w:rPr>
                <w:sz w:val="17"/>
                <w:szCs w:val="17"/>
                <w:color w:val="auto"/>
              </w:rPr>
            </w:pPr>
          </w:p>
        </w:tc>
        <w:tc>
          <w:tcPr>
            <w:tcW w:w="2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7380" w:type="dxa"/>
            <w:vAlign w:val="bottom"/>
            <w:gridSpan w:val="2"/>
          </w:tcPr>
          <w:p>
            <w:pPr>
              <w:jc w:val="center"/>
              <w:ind w:left="3801"/>
              <w:spacing w:after="0"/>
              <w:rPr>
                <w:sz w:val="20"/>
                <w:szCs w:val="20"/>
                <w:color w:val="auto"/>
              </w:rPr>
            </w:pPr>
            <w:r>
              <w:rPr>
                <w:rFonts w:ascii="Arial" w:cs="Arial" w:eastAsia="Arial" w:hAnsi="Arial"/>
                <w:sz w:val="18"/>
                <w:szCs w:val="18"/>
                <w:b w:val="1"/>
                <w:bCs w:val="1"/>
                <w:color w:val="auto"/>
                <w:w w:val="99"/>
              </w:rPr>
              <w:t>COMMISSION FILE NUMBER: 814-00736</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8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gridSpan w:val="2"/>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1240" w:type="dxa"/>
            <w:vAlign w:val="bottom"/>
            <w:gridSpan w:val="5"/>
          </w:tcPr>
          <w:p>
            <w:pPr>
              <w:jc w:val="center"/>
              <w:spacing w:after="0"/>
              <w:rPr>
                <w:sz w:val="20"/>
                <w:szCs w:val="20"/>
                <w:color w:val="auto"/>
              </w:rPr>
            </w:pPr>
            <w:r>
              <w:rPr>
                <w:rFonts w:ascii="Arial" w:cs="Arial" w:eastAsia="Arial" w:hAnsi="Arial"/>
                <w:sz w:val="31"/>
                <w:szCs w:val="31"/>
                <w:b w:val="1"/>
                <w:bCs w:val="1"/>
                <w:color w:val="auto"/>
                <w:w w:val="99"/>
              </w:rPr>
              <w:t>PENNANTPARK INVESTMENT CORPORATION</w:t>
            </w:r>
          </w:p>
        </w:tc>
        <w:tc>
          <w:tcPr>
            <w:tcW w:w="0" w:type="dxa"/>
            <w:vAlign w:val="bottom"/>
          </w:tcPr>
          <w:p>
            <w:pPr>
              <w:spacing w:after="0"/>
              <w:rPr>
                <w:sz w:val="1"/>
                <w:szCs w:val="1"/>
                <w:color w:val="auto"/>
              </w:rPr>
            </w:pPr>
          </w:p>
        </w:tc>
      </w:tr>
      <w:tr>
        <w:trPr>
          <w:trHeight w:val="186"/>
        </w:trPr>
        <w:tc>
          <w:tcPr>
            <w:tcW w:w="7380" w:type="dxa"/>
            <w:vAlign w:val="bottom"/>
            <w:gridSpan w:val="2"/>
          </w:tcPr>
          <w:p>
            <w:pPr>
              <w:jc w:val="center"/>
              <w:ind w:left="3801"/>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2"/>
        </w:trPr>
        <w:tc>
          <w:tcPr>
            <w:tcW w:w="68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rPr>
              <w:t>MARYLAND</w:t>
            </w:r>
          </w:p>
        </w:tc>
        <w:tc>
          <w:tcPr>
            <w:tcW w:w="3860" w:type="dxa"/>
            <w:vAlign w:val="bottom"/>
            <w:gridSpan w:val="3"/>
          </w:tcPr>
          <w:p>
            <w:pPr>
              <w:jc w:val="right"/>
              <w:ind w:right="2282"/>
              <w:spacing w:after="0"/>
              <w:rPr>
                <w:sz w:val="20"/>
                <w:szCs w:val="20"/>
                <w:color w:val="auto"/>
              </w:rPr>
            </w:pPr>
            <w:r>
              <w:rPr>
                <w:rFonts w:ascii="Arial" w:cs="Arial" w:eastAsia="Arial" w:hAnsi="Arial"/>
                <w:sz w:val="14"/>
                <w:szCs w:val="14"/>
                <w:b w:val="1"/>
                <w:bCs w:val="1"/>
                <w:color w:val="auto"/>
              </w:rPr>
              <w:t>20-8250744</w:t>
            </w:r>
          </w:p>
        </w:tc>
        <w:tc>
          <w:tcPr>
            <w:tcW w:w="0" w:type="dxa"/>
            <w:vAlign w:val="bottom"/>
          </w:tcPr>
          <w:p>
            <w:pPr>
              <w:spacing w:after="0"/>
              <w:rPr>
                <w:sz w:val="1"/>
                <w:szCs w:val="1"/>
                <w:color w:val="auto"/>
              </w:rPr>
            </w:pPr>
          </w:p>
        </w:tc>
      </w:tr>
      <w:tr>
        <w:trPr>
          <w:trHeight w:val="168"/>
        </w:trPr>
        <w:tc>
          <w:tcPr>
            <w:tcW w:w="7380" w:type="dxa"/>
            <w:vAlign w:val="bottom"/>
            <w:gridSpan w:val="2"/>
          </w:tcPr>
          <w:p>
            <w:pPr>
              <w:jc w:val="center"/>
              <w:ind w:right="1720"/>
              <w:spacing w:after="0"/>
              <w:rPr>
                <w:sz w:val="20"/>
                <w:szCs w:val="20"/>
                <w:color w:val="auto"/>
              </w:rPr>
            </w:pPr>
            <w:r>
              <w:rPr>
                <w:rFonts w:ascii="Arial" w:cs="Arial" w:eastAsia="Arial" w:hAnsi="Arial"/>
                <w:sz w:val="12"/>
                <w:szCs w:val="12"/>
                <w:b w:val="1"/>
                <w:bCs w:val="1"/>
                <w:color w:val="auto"/>
                <w:w w:val="88"/>
              </w:rPr>
              <w:t>(State or other jurisdiction of incorporation or organization)</w:t>
            </w:r>
          </w:p>
        </w:tc>
        <w:tc>
          <w:tcPr>
            <w:tcW w:w="3860" w:type="dxa"/>
            <w:vAlign w:val="bottom"/>
            <w:gridSpan w:val="3"/>
          </w:tcPr>
          <w:p>
            <w:pPr>
              <w:jc w:val="center"/>
              <w:ind w:right="1462"/>
              <w:spacing w:after="0"/>
              <w:rPr>
                <w:sz w:val="20"/>
                <w:szCs w:val="20"/>
                <w:color w:val="auto"/>
              </w:rPr>
            </w:pPr>
            <w:r>
              <w:rPr>
                <w:rFonts w:ascii="Arial" w:cs="Arial" w:eastAsia="Arial" w:hAnsi="Arial"/>
                <w:sz w:val="12"/>
                <w:szCs w:val="12"/>
                <w:b w:val="1"/>
                <w:bCs w:val="1"/>
                <w:color w:val="auto"/>
                <w:w w:val="90"/>
              </w:rPr>
              <w:t>(I.R.S. Employer Identification No.)</w:t>
            </w:r>
          </w:p>
        </w:tc>
        <w:tc>
          <w:tcPr>
            <w:tcW w:w="0" w:type="dxa"/>
            <w:vAlign w:val="bottom"/>
          </w:tcPr>
          <w:p>
            <w:pPr>
              <w:spacing w:after="0"/>
              <w:rPr>
                <w:sz w:val="1"/>
                <w:szCs w:val="1"/>
                <w:color w:val="auto"/>
              </w:rPr>
            </w:pPr>
          </w:p>
        </w:tc>
      </w:tr>
      <w:tr>
        <w:trPr>
          <w:trHeight w:val="456"/>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2"/>
              </w:rPr>
              <w:t>590 Madison Avenue, 15</w:t>
            </w:r>
            <w:r>
              <w:rPr>
                <w:rFonts w:ascii="Arial" w:cs="Arial" w:eastAsia="Arial" w:hAnsi="Arial"/>
                <w:sz w:val="12"/>
                <w:szCs w:val="12"/>
                <w:b w:val="1"/>
                <w:bCs w:val="1"/>
                <w:color w:val="auto"/>
                <w:w w:val="92"/>
              </w:rPr>
              <w:t>th</w:t>
            </w:r>
            <w:r>
              <w:rPr>
                <w:rFonts w:ascii="Arial" w:cs="Arial" w:eastAsia="Arial" w:hAnsi="Arial"/>
                <w:sz w:val="14"/>
                <w:szCs w:val="14"/>
                <w:b w:val="1"/>
                <w:bCs w:val="1"/>
                <w:color w:val="auto"/>
                <w:w w:val="92"/>
              </w:rPr>
              <w:t xml:space="preserve"> Floor</w:t>
            </w: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738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7"/>
              </w:rPr>
              <w:t>New York, N.Y.</w:t>
            </w:r>
          </w:p>
        </w:tc>
        <w:tc>
          <w:tcPr>
            <w:tcW w:w="3860" w:type="dxa"/>
            <w:vAlign w:val="bottom"/>
            <w:gridSpan w:val="3"/>
            <w:vMerge w:val="restart"/>
          </w:tcPr>
          <w:p>
            <w:pPr>
              <w:jc w:val="right"/>
              <w:ind w:right="2462"/>
              <w:spacing w:after="0"/>
              <w:rPr>
                <w:sz w:val="20"/>
                <w:szCs w:val="20"/>
                <w:color w:val="auto"/>
              </w:rPr>
            </w:pPr>
            <w:r>
              <w:rPr>
                <w:rFonts w:ascii="Arial" w:cs="Arial" w:eastAsia="Arial" w:hAnsi="Arial"/>
                <w:sz w:val="14"/>
                <w:szCs w:val="14"/>
                <w:b w:val="1"/>
                <w:bCs w:val="1"/>
                <w:color w:val="auto"/>
              </w:rPr>
              <w:t>10022</w:t>
            </w:r>
          </w:p>
        </w:tc>
        <w:tc>
          <w:tcPr>
            <w:tcW w:w="0" w:type="dxa"/>
            <w:vAlign w:val="bottom"/>
          </w:tcPr>
          <w:p>
            <w:pPr>
              <w:spacing w:after="0"/>
              <w:rPr>
                <w:sz w:val="1"/>
                <w:szCs w:val="1"/>
                <w:color w:val="auto"/>
              </w:rPr>
            </w:pPr>
          </w:p>
        </w:tc>
      </w:tr>
      <w:tr>
        <w:trPr>
          <w:trHeight w:val="71"/>
        </w:trPr>
        <w:tc>
          <w:tcPr>
            <w:tcW w:w="6840" w:type="dxa"/>
            <w:vAlign w:val="bottom"/>
          </w:tcPr>
          <w:p>
            <w:pPr>
              <w:spacing w:after="0"/>
              <w:rPr>
                <w:sz w:val="6"/>
                <w:szCs w:val="6"/>
                <w:color w:val="auto"/>
              </w:rPr>
            </w:pPr>
          </w:p>
        </w:tc>
        <w:tc>
          <w:tcPr>
            <w:tcW w:w="540" w:type="dxa"/>
            <w:vAlign w:val="bottom"/>
          </w:tcPr>
          <w:p>
            <w:pPr>
              <w:spacing w:after="0"/>
              <w:rPr>
                <w:sz w:val="6"/>
                <w:szCs w:val="6"/>
                <w:color w:val="auto"/>
              </w:rPr>
            </w:pPr>
          </w:p>
        </w:tc>
        <w:tc>
          <w:tcPr>
            <w:tcW w:w="386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7380" w:type="dxa"/>
            <w:vAlign w:val="bottom"/>
            <w:gridSpan w:val="2"/>
          </w:tcPr>
          <w:p>
            <w:pPr>
              <w:jc w:val="center"/>
              <w:ind w:right="1740"/>
              <w:spacing w:after="0"/>
              <w:rPr>
                <w:sz w:val="20"/>
                <w:szCs w:val="20"/>
                <w:color w:val="auto"/>
              </w:rPr>
            </w:pPr>
            <w:r>
              <w:rPr>
                <w:rFonts w:ascii="Arial" w:cs="Arial" w:eastAsia="Arial" w:hAnsi="Arial"/>
                <w:sz w:val="12"/>
                <w:szCs w:val="12"/>
                <w:b w:val="1"/>
                <w:bCs w:val="1"/>
                <w:color w:val="auto"/>
                <w:w w:val="85"/>
              </w:rPr>
              <w:t>(Address of principal executive offices)</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80" w:type="dxa"/>
            <w:vAlign w:val="bottom"/>
          </w:tcPr>
          <w:p>
            <w:pPr>
              <w:jc w:val="center"/>
              <w:ind w:right="2342"/>
              <w:spacing w:after="0"/>
              <w:rPr>
                <w:sz w:val="20"/>
                <w:szCs w:val="20"/>
                <w:color w:val="auto"/>
              </w:rPr>
            </w:pPr>
            <w:r>
              <w:rPr>
                <w:rFonts w:ascii="Arial" w:cs="Arial" w:eastAsia="Arial" w:hAnsi="Arial"/>
                <w:sz w:val="12"/>
                <w:szCs w:val="12"/>
                <w:b w:val="1"/>
                <w:bCs w:val="1"/>
                <w:color w:val="auto"/>
                <w:w w:val="90"/>
              </w:rPr>
              <w:t>(Zip Code)</w:t>
            </w:r>
          </w:p>
        </w:tc>
        <w:tc>
          <w:tcPr>
            <w:tcW w:w="0" w:type="dxa"/>
            <w:vAlign w:val="bottom"/>
          </w:tcPr>
          <w:p>
            <w:pPr>
              <w:spacing w:after="0"/>
              <w:rPr>
                <w:sz w:val="1"/>
                <w:szCs w:val="1"/>
                <w:color w:val="auto"/>
              </w:rPr>
            </w:pPr>
          </w:p>
        </w:tc>
      </w:tr>
      <w:tr>
        <w:trPr>
          <w:trHeight w:val="309"/>
        </w:trPr>
        <w:tc>
          <w:tcPr>
            <w:tcW w:w="6840" w:type="dxa"/>
            <w:vAlign w:val="bottom"/>
          </w:tcPr>
          <w:p>
            <w:pPr>
              <w:jc w:val="center"/>
              <w:ind w:left="4341"/>
              <w:spacing w:after="0"/>
              <w:rPr>
                <w:sz w:val="20"/>
                <w:szCs w:val="20"/>
                <w:color w:val="auto"/>
              </w:rPr>
            </w:pPr>
            <w:r>
              <w:rPr>
                <w:rFonts w:ascii="Arial" w:cs="Arial" w:eastAsia="Arial" w:hAnsi="Arial"/>
                <w:sz w:val="14"/>
                <w:szCs w:val="14"/>
                <w:b w:val="1"/>
                <w:bCs w:val="1"/>
                <w:color w:val="auto"/>
                <w:w w:val="93"/>
              </w:rPr>
              <w:t>(212) 905-1000</w:t>
            </w: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7380" w:type="dxa"/>
            <w:vAlign w:val="bottom"/>
            <w:gridSpan w:val="2"/>
          </w:tcPr>
          <w:p>
            <w:pPr>
              <w:jc w:val="center"/>
              <w:ind w:left="3781"/>
              <w:spacing w:after="0"/>
              <w:rPr>
                <w:sz w:val="20"/>
                <w:szCs w:val="20"/>
                <w:color w:val="auto"/>
              </w:rPr>
            </w:pPr>
            <w:r>
              <w:rPr>
                <w:rFonts w:ascii="Arial" w:cs="Arial" w:eastAsia="Arial" w:hAnsi="Arial"/>
                <w:sz w:val="12"/>
                <w:szCs w:val="12"/>
                <w:b w:val="1"/>
                <w:bCs w:val="1"/>
                <w:color w:val="auto"/>
                <w:w w:val="88"/>
              </w:rPr>
              <w:t>(Registrant’s Telephone Number, Including Area Code)</w:t>
            </w: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98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58" w:lineRule="exact"/>
        <w:rPr>
          <w:sz w:val="24"/>
          <w:szCs w:val="24"/>
          <w:color w:val="auto"/>
        </w:rPr>
      </w:pPr>
    </w:p>
    <w:p>
      <w:pPr>
        <w:ind w:right="160" w:firstLine="468"/>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26" w:lineRule="exact"/>
        <w:rPr>
          <w:sz w:val="24"/>
          <w:szCs w:val="24"/>
          <w:color w:val="auto"/>
        </w:rPr>
      </w:pPr>
    </w:p>
    <w:p>
      <w:pPr>
        <w:ind w:right="120" w:firstLine="468"/>
        <w:spacing w:after="0" w:line="238" w:lineRule="auto"/>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No</w:t>
      </w:r>
    </w:p>
    <w:p>
      <w:pPr>
        <w:spacing w:after="0" w:line="129" w:lineRule="exact"/>
        <w:rPr>
          <w:sz w:val="24"/>
          <w:szCs w:val="24"/>
          <w:color w:val="auto"/>
        </w:rPr>
      </w:pPr>
    </w:p>
    <w:p>
      <w:pPr>
        <w:ind w:right="60" w:firstLine="468"/>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7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44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ind w:left="1340"/>
              <w:spacing w:after="0"/>
              <w:rPr>
                <w:sz w:val="20"/>
                <w:szCs w:val="20"/>
                <w:color w:val="auto"/>
              </w:rPr>
            </w:pPr>
            <w:r>
              <w:rPr>
                <w:rFonts w:ascii="Arial" w:cs="Arial" w:eastAsia="Arial" w:hAnsi="Arial"/>
                <w:sz w:val="14"/>
                <w:szCs w:val="14"/>
                <w:color w:val="auto"/>
              </w:rPr>
              <w:t>Accelerated filer</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38"/>
        </w:trPr>
        <w:tc>
          <w:tcPr>
            <w:tcW w:w="1760" w:type="dxa"/>
            <w:vAlign w:val="bottom"/>
          </w:tcPr>
          <w:p>
            <w:pPr>
              <w:spacing w:after="0"/>
              <w:rPr>
                <w:sz w:val="20"/>
                <w:szCs w:val="20"/>
                <w:color w:val="auto"/>
              </w:rPr>
            </w:pPr>
            <w:r>
              <w:rPr>
                <w:rFonts w:ascii="Arial" w:cs="Arial" w:eastAsia="Arial" w:hAnsi="Arial"/>
                <w:sz w:val="14"/>
                <w:szCs w:val="14"/>
                <w:color w:val="auto"/>
              </w:rPr>
              <w:t>Non-accelerated filer</w:t>
            </w:r>
          </w:p>
        </w:tc>
        <w:tc>
          <w:tcPr>
            <w:tcW w:w="4400" w:type="dxa"/>
            <w:vAlign w:val="bottom"/>
          </w:tcPr>
          <w:p>
            <w:pPr>
              <w:ind w:left="20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3140" w:type="dxa"/>
            <w:vAlign w:val="bottom"/>
          </w:tcPr>
          <w:p>
            <w:pPr>
              <w:ind w:left="1340"/>
              <w:spacing w:after="0"/>
              <w:rPr>
                <w:sz w:val="20"/>
                <w:szCs w:val="20"/>
                <w:color w:val="auto"/>
              </w:rPr>
            </w:pPr>
            <w:r>
              <w:rPr>
                <w:rFonts w:ascii="Arial" w:cs="Arial" w:eastAsia="Arial" w:hAnsi="Arial"/>
                <w:sz w:val="14"/>
                <w:szCs w:val="14"/>
                <w:color w:val="auto"/>
              </w:rPr>
              <w:t>Smaller reporting company</w:t>
            </w:r>
          </w:p>
        </w:tc>
        <w:tc>
          <w:tcPr>
            <w:tcW w:w="360" w:type="dxa"/>
            <w:vAlign w:val="bottom"/>
          </w:tcPr>
          <w:p>
            <w:pPr>
              <w:ind w:left="22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378"/>
        </w:trPr>
        <w:tc>
          <w:tcPr>
            <w:tcW w:w="1760" w:type="dxa"/>
            <w:vAlign w:val="bottom"/>
          </w:tcPr>
          <w:p>
            <w:pPr>
              <w:spacing w:after="0"/>
              <w:rPr>
                <w:sz w:val="20"/>
                <w:szCs w:val="20"/>
                <w:color w:val="auto"/>
              </w:rPr>
            </w:pPr>
            <w:r>
              <w:rPr>
                <w:rFonts w:ascii="Arial" w:cs="Arial" w:eastAsia="Arial" w:hAnsi="Arial"/>
                <w:sz w:val="14"/>
                <w:szCs w:val="14"/>
                <w:color w:val="auto"/>
              </w:rPr>
              <w:t>Emerging growth company</w:t>
            </w:r>
          </w:p>
        </w:tc>
        <w:tc>
          <w:tcPr>
            <w:tcW w:w="4400" w:type="dxa"/>
            <w:vAlign w:val="bottom"/>
          </w:tcPr>
          <w:p>
            <w:pPr>
              <w:ind w:left="200"/>
              <w:spacing w:after="0" w:line="141" w:lineRule="exact"/>
              <w:rPr>
                <w:sz w:val="20"/>
                <w:szCs w:val="20"/>
                <w:color w:val="auto"/>
              </w:rPr>
            </w:pPr>
            <w:r>
              <w:rPr>
                <w:rFonts w:ascii="MS PGothic" w:cs="MS PGothic" w:eastAsia="MS PGothic" w:hAnsi="MS PGothic"/>
                <w:sz w:val="14"/>
                <w:szCs w:val="14"/>
                <w:color w:val="auto"/>
              </w:rPr>
              <w:t>☐</w:t>
            </w:r>
          </w:p>
        </w:tc>
        <w:tc>
          <w:tcPr>
            <w:tcW w:w="31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26" w:lineRule="exact"/>
        <w:rPr>
          <w:sz w:val="24"/>
          <w:szCs w:val="24"/>
          <w:color w:val="auto"/>
        </w:rPr>
      </w:pPr>
    </w:p>
    <w:p>
      <w:pPr>
        <w:ind w:right="100" w:firstLine="468"/>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13" w:lineRule="exact"/>
        <w:rPr>
          <w:sz w:val="24"/>
          <w:szCs w:val="24"/>
          <w:color w:val="auto"/>
        </w:rPr>
      </w:pPr>
    </w:p>
    <w:p>
      <w:pPr>
        <w:ind w:left="480"/>
        <w:spacing w:after="0" w:line="161" w:lineRule="exact"/>
        <w:tabs>
          <w:tab w:leader="none" w:pos="714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90" w:lineRule="exact"/>
        <w:rPr>
          <w:sz w:val="24"/>
          <w:szCs w:val="24"/>
          <w:color w:val="auto"/>
        </w:rPr>
      </w:pPr>
    </w:p>
    <w:p>
      <w:pPr>
        <w:ind w:left="480"/>
        <w:spacing w:after="0"/>
        <w:rPr>
          <w:sz w:val="20"/>
          <w:szCs w:val="20"/>
          <w:color w:val="auto"/>
        </w:rPr>
      </w:pPr>
      <w:r>
        <w:rPr>
          <w:rFonts w:ascii="Arial" w:cs="Arial" w:eastAsia="Arial" w:hAnsi="Arial"/>
          <w:sz w:val="14"/>
          <w:szCs w:val="14"/>
          <w:color w:val="auto"/>
        </w:rPr>
        <w:t>The number of shares of the registrant’s common stock, $0.001 par value per share, outstanding as of August 8, 2018 was 69,988,077.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432435</wp:posOffset>
            </wp:positionV>
            <wp:extent cx="714946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1" w:name="page2"/>
    <w:bookmarkEnd w:id="1"/>
    <w:p>
      <w:pPr>
        <w:jc w:val="center"/>
        <w:ind w:left="460"/>
        <w:spacing w:after="0"/>
        <w:rPr>
          <w:sz w:val="20"/>
          <w:szCs w:val="20"/>
          <w:color w:val="auto"/>
        </w:rPr>
      </w:pPr>
      <w:r>
        <w:rPr>
          <w:rFonts w:ascii="Arial" w:cs="Arial" w:eastAsia="Arial" w:hAnsi="Arial"/>
          <w:sz w:val="14"/>
          <w:szCs w:val="14"/>
          <w:b w:val="1"/>
          <w:bCs w:val="1"/>
          <w:color w:val="auto"/>
        </w:rPr>
        <w:t>PENNANTPARK INVESTMENT CORPORATION</w:t>
      </w:r>
    </w:p>
    <w:p>
      <w:pPr>
        <w:jc w:val="center"/>
        <w:ind w:left="460"/>
        <w:spacing w:after="0" w:line="226" w:lineRule="auto"/>
        <w:rPr>
          <w:sz w:val="20"/>
          <w:szCs w:val="20"/>
          <w:color w:val="auto"/>
        </w:rPr>
      </w:pPr>
      <w:r>
        <w:rPr>
          <w:rFonts w:ascii="Arial" w:cs="Arial" w:eastAsia="Arial" w:hAnsi="Arial"/>
          <w:sz w:val="14"/>
          <w:szCs w:val="14"/>
          <w:b w:val="1"/>
          <w:bCs w:val="1"/>
          <w:color w:val="auto"/>
        </w:rPr>
        <w:t>FORM 10-Q FOR THE QUARTER ENDED JUNE 30, 2018</w:t>
      </w:r>
    </w:p>
    <w:p>
      <w:pPr>
        <w:jc w:val="center"/>
        <w:ind w:left="460"/>
        <w:spacing w:after="0"/>
        <w:rPr>
          <w:sz w:val="20"/>
          <w:szCs w:val="20"/>
          <w:color w:val="auto"/>
        </w:rPr>
      </w:pPr>
      <w:r>
        <w:rPr>
          <w:rFonts w:ascii="Arial" w:cs="Arial" w:eastAsia="Arial" w:hAnsi="Arial"/>
          <w:sz w:val="14"/>
          <w:szCs w:val="14"/>
          <w:b w:val="1"/>
          <w:bCs w:val="1"/>
          <w:color w:val="auto"/>
        </w:rPr>
        <w:t>TABLE OF CONTENTS</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60" w:type="dxa"/>
            <w:vAlign w:val="bottom"/>
          </w:tcPr>
          <w:p>
            <w:pPr>
              <w:ind w:left="3580"/>
              <w:spacing w:after="0"/>
              <w:rPr>
                <w:rFonts w:ascii="Arial" w:cs="Arial" w:eastAsia="Arial" w:hAnsi="Arial"/>
                <w:sz w:val="14"/>
                <w:szCs w:val="14"/>
                <w:b w:val="1"/>
                <w:bCs w:val="1"/>
                <w:u w:val="single" w:color="auto"/>
                <w:color w:val="0000EE"/>
              </w:rPr>
            </w:pPr>
            <w:hyperlink w:anchor="page3">
              <w:r>
                <w:rPr>
                  <w:rFonts w:ascii="Arial" w:cs="Arial" w:eastAsia="Arial" w:hAnsi="Arial"/>
                  <w:sz w:val="14"/>
                  <w:szCs w:val="14"/>
                  <w:b w:val="1"/>
                  <w:bCs w:val="1"/>
                  <w:u w:val="single" w:color="auto"/>
                  <w:color w:val="0000EE"/>
                </w:rPr>
                <w:t>PART I. CONSOLIDATED FINANCIAL INFORMATION</w:t>
              </w:r>
            </w:hyperlink>
          </w:p>
        </w:tc>
        <w:tc>
          <w:tcPr>
            <w:tcW w:w="2100" w:type="dxa"/>
            <w:vAlign w:val="bottom"/>
          </w:tcPr>
          <w:p>
            <w:pPr>
              <w:spacing w:after="0"/>
              <w:rPr>
                <w:sz w:val="16"/>
                <w:szCs w:val="16"/>
                <w:color w:val="auto"/>
              </w:rPr>
            </w:pPr>
          </w:p>
        </w:tc>
      </w:tr>
      <w:tr>
        <w:trPr>
          <w:trHeight w:val="297"/>
        </w:trPr>
        <w:tc>
          <w:tcPr>
            <w:tcW w:w="9160" w:type="dxa"/>
            <w:vAlign w:val="bottom"/>
          </w:tcPr>
          <w:p>
            <w:pPr>
              <w:spacing w:after="0"/>
              <w:rPr>
                <w:rFonts w:ascii="Arial" w:cs="Arial" w:eastAsia="Arial" w:hAnsi="Arial"/>
                <w:sz w:val="14"/>
                <w:szCs w:val="14"/>
                <w:b w:val="1"/>
                <w:bCs w:val="1"/>
                <w:u w:val="single" w:color="auto"/>
                <w:color w:val="0000EE"/>
              </w:rPr>
            </w:pPr>
            <w:hyperlink w:anchor="page4">
              <w:r>
                <w:rPr>
                  <w:rFonts w:ascii="Arial" w:cs="Arial" w:eastAsia="Arial" w:hAnsi="Arial"/>
                  <w:sz w:val="14"/>
                  <w:szCs w:val="14"/>
                  <w:b w:val="1"/>
                  <w:bCs w:val="1"/>
                  <w:u w:val="single" w:color="auto"/>
                  <w:color w:val="0000EE"/>
                </w:rPr>
                <w:t>Item 1. Consolidated Financial Statements</w:t>
              </w:r>
            </w:hyperlink>
          </w:p>
        </w:tc>
        <w:tc>
          <w:tcPr>
            <w:tcW w:w="2100" w:type="dxa"/>
            <w:vAlign w:val="bottom"/>
          </w:tcPr>
          <w:p>
            <w:pPr>
              <w:spacing w:after="0"/>
              <w:rPr>
                <w:sz w:val="24"/>
                <w:szCs w:val="24"/>
                <w:color w:val="auto"/>
              </w:rPr>
            </w:pP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4">
              <w:r>
                <w:rPr>
                  <w:rFonts w:ascii="Arial" w:cs="Arial" w:eastAsia="Arial" w:hAnsi="Arial"/>
                  <w:sz w:val="14"/>
                  <w:szCs w:val="14"/>
                  <w:u w:val="single" w:color="auto"/>
                  <w:color w:val="0000EE"/>
                </w:rPr>
                <w:t>Consolidated Statements of Assets and Liabilities as of June 30, 2018 (unaudited) and September 30, 2017</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5">
              <w:r>
                <w:rPr>
                  <w:rFonts w:ascii="Arial" w:cs="Arial" w:eastAsia="Arial" w:hAnsi="Arial"/>
                  <w:sz w:val="14"/>
                  <w:szCs w:val="14"/>
                  <w:u w:val="single" w:color="auto"/>
                  <w:color w:val="0000EE"/>
                </w:rPr>
                <w:t>Consolidated Statements of Operations for the three and nine months ended June 30, 2018 and 2017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6">
              <w:r>
                <w:rPr>
                  <w:rFonts w:ascii="Arial" w:cs="Arial" w:eastAsia="Arial" w:hAnsi="Arial"/>
                  <w:sz w:val="14"/>
                  <w:szCs w:val="14"/>
                  <w:u w:val="single" w:color="auto"/>
                  <w:color w:val="0000EE"/>
                </w:rPr>
                <w:t>Consolidated Statements of Changes in Net Assets for the nine months ended June 30, 2018 and 2017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7">
              <w:r>
                <w:rPr>
                  <w:rFonts w:ascii="Arial" w:cs="Arial" w:eastAsia="Arial" w:hAnsi="Arial"/>
                  <w:sz w:val="14"/>
                  <w:szCs w:val="14"/>
                  <w:u w:val="single" w:color="auto"/>
                  <w:color w:val="0000EE"/>
                </w:rPr>
                <w:t>Consolidated Statements of Cash Flows for the nine months ended June 30, 2018 and 2017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8">
              <w:r>
                <w:rPr>
                  <w:rFonts w:ascii="Arial" w:cs="Arial" w:eastAsia="Arial" w:hAnsi="Arial"/>
                  <w:sz w:val="14"/>
                  <w:szCs w:val="14"/>
                  <w:u w:val="single" w:color="auto"/>
                  <w:color w:val="0000EE"/>
                </w:rPr>
                <w:t>Consolidated Schedules of Investments as of June 30, 2018 (unaudited) and September 30, 2017</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8</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14">
              <w:r>
                <w:rPr>
                  <w:rFonts w:ascii="Arial" w:cs="Arial" w:eastAsia="Arial" w:hAnsi="Arial"/>
                  <w:sz w:val="14"/>
                  <w:szCs w:val="14"/>
                  <w:u w:val="single" w:color="auto"/>
                  <w:color w:val="0000EE"/>
                </w:rPr>
                <w:t>Notes to Consolidated Financial Statements (unaudited)</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338"/>
        </w:trPr>
        <w:tc>
          <w:tcPr>
            <w:tcW w:w="9160" w:type="dxa"/>
            <w:vAlign w:val="bottom"/>
          </w:tcPr>
          <w:p>
            <w:pPr>
              <w:ind w:left="360"/>
              <w:spacing w:after="0"/>
              <w:rPr>
                <w:rFonts w:ascii="Arial" w:cs="Arial" w:eastAsia="Arial" w:hAnsi="Arial"/>
                <w:sz w:val="14"/>
                <w:szCs w:val="14"/>
                <w:u w:val="single" w:color="auto"/>
                <w:color w:val="0000EE"/>
              </w:rPr>
            </w:pPr>
            <w:hyperlink w:anchor="page24">
              <w:r>
                <w:rPr>
                  <w:rFonts w:ascii="Arial" w:cs="Arial" w:eastAsia="Arial" w:hAnsi="Arial"/>
                  <w:sz w:val="14"/>
                  <w:szCs w:val="14"/>
                  <w:u w:val="single" w:color="auto"/>
                  <w:color w:val="0000EE"/>
                </w:rPr>
                <w:t>Report of Independent Registered Public Accounting Firm</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25">
              <w:r>
                <w:rPr>
                  <w:rFonts w:ascii="Arial" w:cs="Arial" w:eastAsia="Arial" w:hAnsi="Arial"/>
                  <w:sz w:val="14"/>
                  <w:szCs w:val="14"/>
                  <w:b w:val="1"/>
                  <w:bCs w:val="1"/>
                  <w:u w:val="single" w:color="auto"/>
                  <w:color w:val="0000EE"/>
                </w:rPr>
                <w:t>Item 2. Management’s Discussion and Analysis of Financial Condition and Results of Operations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2">
              <w:r>
                <w:rPr>
                  <w:rFonts w:ascii="Arial" w:cs="Arial" w:eastAsia="Arial" w:hAnsi="Arial"/>
                  <w:sz w:val="14"/>
                  <w:szCs w:val="14"/>
                  <w:b w:val="1"/>
                  <w:bCs w:val="1"/>
                  <w:u w:val="single" w:color="auto"/>
                  <w:color w:val="0000EE"/>
                </w:rPr>
                <w:t>Item 3. Quantitative and Qualitative Disclosures About Market Risk</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3">
              <w:r>
                <w:rPr>
                  <w:rFonts w:ascii="Arial" w:cs="Arial" w:eastAsia="Arial" w:hAnsi="Arial"/>
                  <w:sz w:val="14"/>
                  <w:szCs w:val="14"/>
                  <w:b w:val="1"/>
                  <w:bCs w:val="1"/>
                  <w:u w:val="single" w:color="auto"/>
                  <w:color w:val="0000EE"/>
                </w:rPr>
                <w:t>Item 4. Controls and Procedures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33</w:t>
            </w:r>
          </w:p>
        </w:tc>
      </w:tr>
      <w:tr>
        <w:trPr>
          <w:trHeight w:val="338"/>
        </w:trPr>
        <w:tc>
          <w:tcPr>
            <w:tcW w:w="9160" w:type="dxa"/>
            <w:vAlign w:val="bottom"/>
          </w:tcPr>
          <w:p>
            <w:pPr>
              <w:ind w:left="4300"/>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PART II. OTHER INFORMATION</w:t>
              </w:r>
            </w:hyperlink>
          </w:p>
        </w:tc>
        <w:tc>
          <w:tcPr>
            <w:tcW w:w="2100" w:type="dxa"/>
            <w:vAlign w:val="bottom"/>
          </w:tcPr>
          <w:p>
            <w:pPr>
              <w:spacing w:after="0"/>
              <w:rPr>
                <w:sz w:val="24"/>
                <w:szCs w:val="24"/>
                <w:color w:val="auto"/>
              </w:rPr>
            </w:pPr>
          </w:p>
        </w:tc>
      </w:tr>
      <w:tr>
        <w:trPr>
          <w:trHeight w:val="337"/>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1. Legal Proceedings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1A. Risk Factors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2. Unregistered Sales of Equity Securities and Use of Proceeds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3. Defaults Upon Senior Securities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4. Mine Safety Disclosures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4">
              <w:r>
                <w:rPr>
                  <w:rFonts w:ascii="Arial" w:cs="Arial" w:eastAsia="Arial" w:hAnsi="Arial"/>
                  <w:sz w:val="14"/>
                  <w:szCs w:val="14"/>
                  <w:b w:val="1"/>
                  <w:bCs w:val="1"/>
                  <w:u w:val="single" w:color="auto"/>
                  <w:color w:val="0000EE"/>
                </w:rPr>
                <w:t>Item 5. Other Information</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5">
              <w:r>
                <w:rPr>
                  <w:rFonts w:ascii="Arial" w:cs="Arial" w:eastAsia="Arial" w:hAnsi="Arial"/>
                  <w:sz w:val="14"/>
                  <w:szCs w:val="14"/>
                  <w:b w:val="1"/>
                  <w:bCs w:val="1"/>
                  <w:u w:val="single" w:color="auto"/>
                  <w:color w:val="0000EE"/>
                </w:rPr>
                <w:t>Item 6. Exhibits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35</w:t>
            </w:r>
          </w:p>
        </w:tc>
      </w:tr>
      <w:tr>
        <w:trPr>
          <w:trHeight w:val="338"/>
        </w:trPr>
        <w:tc>
          <w:tcPr>
            <w:tcW w:w="9160" w:type="dxa"/>
            <w:vAlign w:val="bottom"/>
          </w:tcPr>
          <w:p>
            <w:pPr>
              <w:spacing w:after="0"/>
              <w:rPr>
                <w:rFonts w:ascii="Arial" w:cs="Arial" w:eastAsia="Arial" w:hAnsi="Arial"/>
                <w:sz w:val="14"/>
                <w:szCs w:val="14"/>
                <w:b w:val="1"/>
                <w:bCs w:val="1"/>
                <w:u w:val="single" w:color="auto"/>
                <w:color w:val="0000EE"/>
              </w:rPr>
            </w:pPr>
            <w:hyperlink w:anchor="page36">
              <w:r>
                <w:rPr>
                  <w:rFonts w:ascii="Arial" w:cs="Arial" w:eastAsia="Arial" w:hAnsi="Arial"/>
                  <w:sz w:val="14"/>
                  <w:szCs w:val="14"/>
                  <w:b w:val="1"/>
                  <w:bCs w:val="1"/>
                  <w:u w:val="single" w:color="auto"/>
                  <w:color w:val="0000EE"/>
                </w:rPr>
                <w:t>SIGNATURES</w:t>
              </w:r>
            </w:hyperlink>
          </w:p>
        </w:tc>
        <w:tc>
          <w:tcPr>
            <w:tcW w:w="2100" w:type="dxa"/>
            <w:vAlign w:val="bottom"/>
          </w:tcPr>
          <w:p>
            <w:pPr>
              <w:jc w:val="right"/>
              <w:spacing w:after="0"/>
              <w:rPr>
                <w:sz w:val="20"/>
                <w:szCs w:val="20"/>
                <w:color w:val="auto"/>
              </w:rPr>
            </w:pPr>
            <w:r>
              <w:rPr>
                <w:rFonts w:ascii="Arial" w:cs="Arial" w:eastAsia="Arial" w:hAnsi="Arial"/>
                <w:sz w:val="14"/>
                <w:szCs w:val="14"/>
                <w:color w:val="auto"/>
              </w:rPr>
              <w:t>36</w:t>
            </w:r>
          </w:p>
        </w:tc>
      </w:tr>
      <w:tr>
        <w:trPr>
          <w:trHeight w:val="661"/>
        </w:trPr>
        <w:tc>
          <w:tcPr>
            <w:tcW w:w="9160" w:type="dxa"/>
            <w:vAlign w:val="bottom"/>
          </w:tcPr>
          <w:p>
            <w:pPr>
              <w:ind w:left="5580"/>
              <w:spacing w:after="0"/>
              <w:rPr>
                <w:sz w:val="20"/>
                <w:szCs w:val="20"/>
                <w:color w:val="auto"/>
              </w:rPr>
            </w:pPr>
            <w:r>
              <w:rPr>
                <w:rFonts w:ascii="Arial" w:cs="Arial" w:eastAsia="Arial" w:hAnsi="Arial"/>
                <w:sz w:val="14"/>
                <w:szCs w:val="14"/>
                <w:color w:val="auto"/>
              </w:rPr>
              <w:t>2</w:t>
            </w:r>
          </w:p>
        </w:tc>
        <w:tc>
          <w:tcPr>
            <w:tcW w:w="2100" w:type="dxa"/>
            <w:vAlign w:val="bottom"/>
          </w:tcPr>
          <w:p>
            <w:pPr>
              <w:spacing w:after="0"/>
              <w:rPr>
                <w:sz w:val="24"/>
                <w:szCs w:val="24"/>
                <w:color w:val="auto"/>
              </w:rPr>
            </w:pPr>
          </w:p>
        </w:tc>
      </w:tr>
      <w:tr>
        <w:trPr>
          <w:trHeight w:val="100"/>
        </w:trPr>
        <w:tc>
          <w:tcPr>
            <w:tcW w:w="9160" w:type="dxa"/>
            <w:vAlign w:val="bottom"/>
            <w:tcBorders>
              <w:bottom w:val="single" w:sz="8" w:color="9A9A9A"/>
            </w:tcBorders>
          </w:tcPr>
          <w:p>
            <w:pPr>
              <w:spacing w:after="0"/>
              <w:rPr>
                <w:sz w:val="8"/>
                <w:szCs w:val="8"/>
                <w:color w:val="auto"/>
              </w:rPr>
            </w:pPr>
          </w:p>
        </w:tc>
        <w:tc>
          <w:tcPr>
            <w:tcW w:w="2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333" w:right="31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4"/>
          <w:szCs w:val="14"/>
          <w:b w:val="1"/>
          <w:bCs w:val="1"/>
          <w:color w:val="auto"/>
        </w:rPr>
        <w:t>PART I—CONSOLIDATED FINANCIAL INFORMATION</w:t>
      </w:r>
    </w:p>
    <w:p>
      <w:pPr>
        <w:spacing w:after="0" w:line="289" w:lineRule="exact"/>
        <w:rPr>
          <w:sz w:val="20"/>
          <w:szCs w:val="20"/>
          <w:color w:val="auto"/>
        </w:rPr>
      </w:pPr>
    </w:p>
    <w:p>
      <w:pPr>
        <w:spacing w:after="0" w:line="243" w:lineRule="auto"/>
        <w:rPr>
          <w:sz w:val="20"/>
          <w:szCs w:val="20"/>
          <w:color w:val="auto"/>
        </w:rPr>
      </w:pPr>
      <w:r>
        <w:rPr>
          <w:rFonts w:ascii="Arial" w:cs="Arial" w:eastAsia="Arial" w:hAnsi="Arial"/>
          <w:sz w:val="13"/>
          <w:szCs w:val="13"/>
          <w:color w:val="auto"/>
        </w:rPr>
        <w:t>We are filing this Quarterly Report on Form 10-Q, or the Report, in compliance with Rule 13a-13 promulgated by the Securities and Exchange Commission, or the SEC, under the Securities Exchange Act of 1934, as amended, or the Exchange Act. In this Report, “Company,” “we,” “our” or “us” refer to PennantPark Investment Corporation and its consolidated subsidiaries unless the context suggests otherwise. “PennantPark Investment” refers to only PennantPark Investment Corporation; “our SBIC Funds” refers collectively to our consolidated subsidiaries, PennantPark SBIC LP, or SBIC I, and its general partner, PennantPark SBIC GP, LLC, and PennantPark SBIC II LP, or SBIC II, and its general partner, PennantPark SBIC GP II, LLC; “Taxable Subsidiaries” refers to PNNT Cascade Environmental Holdings, LLC, PNNT CI (Galls) Prime Investment Holdings, LLC, PNNT ecoserve, LLC, PNNT Investment Holdings, LLC and PNNT New Gulf Resources, LLC; “PennantPark Investment Advisers” or “Investment Adviser” refers to PennantPark Investment Advisers, LLC; “PennantPark Investment Administration” or “Administrator” refers to PennantPark Investment Administration, LLC; “SBA” refers to the Small Business Administration; “SBIC” refers to a small business investment company under the Small Business Investment Act of 1958, as amended, or the “1958 Act”; “Credit Facility” refers to our multi-currency, senior secured revolving credit facility, as amended and restated; “2025 Notes” refers to our 6.25% notes due 2025; “2019 Notes” refers to our 4.50% notes due 2019; “BDC” refers to a business development company under the Investment Company Act of 1940, as amended, or the “1940 Act”; “Code” refers to the Internal Revenue Code of 1986, as amended; and “RIC” refers to a regulated investment company under the Code. References to our portfolio or investments include investments we make through our SBIC Funds and other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800" w:type="dxa"/>
            <w:vAlign w:val="bottom"/>
          </w:tcPr>
          <w:p>
            <w:pPr>
              <w:spacing w:after="0"/>
              <w:rPr>
                <w:sz w:val="20"/>
                <w:szCs w:val="20"/>
                <w:color w:val="auto"/>
              </w:rPr>
            </w:pPr>
            <w:r>
              <w:rPr>
                <w:rFonts w:ascii="Arial" w:cs="Arial" w:eastAsia="Arial" w:hAnsi="Arial"/>
                <w:sz w:val="14"/>
                <w:szCs w:val="14"/>
                <w:b w:val="1"/>
                <w:bCs w:val="1"/>
                <w:color w:val="auto"/>
              </w:rPr>
              <w:t>Item 1.</w:t>
            </w:r>
          </w:p>
        </w:tc>
        <w:tc>
          <w:tcPr>
            <w:tcW w:w="7020" w:type="dxa"/>
            <w:vAlign w:val="bottom"/>
          </w:tcPr>
          <w:p>
            <w:pPr>
              <w:ind w:left="580"/>
              <w:spacing w:after="0"/>
              <w:rPr>
                <w:sz w:val="20"/>
                <w:szCs w:val="20"/>
                <w:color w:val="auto"/>
              </w:rPr>
            </w:pPr>
            <w:r>
              <w:rPr>
                <w:rFonts w:ascii="Arial" w:cs="Arial" w:eastAsia="Arial" w:hAnsi="Arial"/>
                <w:sz w:val="14"/>
                <w:szCs w:val="14"/>
                <w:b w:val="1"/>
                <w:bCs w:val="1"/>
                <w:color w:val="auto"/>
              </w:rPr>
              <w:t>Consolidated Financial Statements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9"/>
        </w:trPr>
        <w:tc>
          <w:tcPr>
            <w:tcW w:w="800" w:type="dxa"/>
            <w:vAlign w:val="bottom"/>
          </w:tcPr>
          <w:p>
            <w:pPr>
              <w:spacing w:after="0"/>
              <w:rPr>
                <w:sz w:val="22"/>
                <w:szCs w:val="22"/>
                <w:color w:val="auto"/>
              </w:rPr>
            </w:pPr>
          </w:p>
        </w:tc>
        <w:tc>
          <w:tcPr>
            <w:tcW w:w="7280" w:type="dxa"/>
            <w:vAlign w:val="bottom"/>
            <w:gridSpan w:val="2"/>
          </w:tcPr>
          <w:p>
            <w:pPr>
              <w:ind w:left="2440"/>
              <w:spacing w:after="0"/>
              <w:rPr>
                <w:sz w:val="20"/>
                <w:szCs w:val="20"/>
                <w:color w:val="auto"/>
              </w:rPr>
            </w:pPr>
            <w:r>
              <w:rPr>
                <w:rFonts w:ascii="Arial" w:cs="Arial" w:eastAsia="Arial" w:hAnsi="Arial"/>
                <w:sz w:val="14"/>
                <w:szCs w:val="14"/>
                <w:b w:val="1"/>
                <w:bCs w:val="1"/>
                <w:color w:val="auto"/>
              </w:rPr>
              <w:t>PENNANTPARK INVESTMENT CORPORATION AND SUBSIDIARIES</w:t>
            </w:r>
          </w:p>
        </w:tc>
        <w:tc>
          <w:tcPr>
            <w:tcW w:w="12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800" w:type="dxa"/>
            <w:vAlign w:val="bottom"/>
          </w:tcPr>
          <w:p>
            <w:pPr>
              <w:spacing w:after="0"/>
              <w:rPr>
                <w:sz w:val="16"/>
                <w:szCs w:val="16"/>
                <w:color w:val="auto"/>
              </w:rPr>
            </w:pPr>
          </w:p>
        </w:tc>
        <w:tc>
          <w:tcPr>
            <w:tcW w:w="7020" w:type="dxa"/>
            <w:vAlign w:val="bottom"/>
          </w:tcPr>
          <w:p>
            <w:pPr>
              <w:ind w:left="2640"/>
              <w:spacing w:after="0"/>
              <w:rPr>
                <w:sz w:val="20"/>
                <w:szCs w:val="20"/>
                <w:color w:val="auto"/>
              </w:rPr>
            </w:pPr>
            <w:r>
              <w:rPr>
                <w:rFonts w:ascii="Arial" w:cs="Arial" w:eastAsia="Arial" w:hAnsi="Arial"/>
                <w:sz w:val="14"/>
                <w:szCs w:val="14"/>
                <w:b w:val="1"/>
                <w:bCs w:val="1"/>
                <w:color w:val="auto"/>
              </w:rPr>
              <w:t>CONSOLIDATED STATEMENTS OF ASSETS AND LIABILITIES</w:t>
            </w:r>
          </w:p>
        </w:tc>
        <w:tc>
          <w:tcPr>
            <w:tcW w:w="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6"/>
        </w:trPr>
        <w:tc>
          <w:tcPr>
            <w:tcW w:w="800" w:type="dxa"/>
            <w:vAlign w:val="bottom"/>
          </w:tcPr>
          <w:p>
            <w:pPr>
              <w:spacing w:after="0"/>
              <w:rPr>
                <w:sz w:val="24"/>
                <w:szCs w:val="24"/>
                <w:color w:val="auto"/>
              </w:rPr>
            </w:pPr>
          </w:p>
        </w:tc>
        <w:tc>
          <w:tcPr>
            <w:tcW w:w="7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w w:val="96"/>
              </w:rPr>
              <w:t>June 30, 2018</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September 30, 2017</w:t>
            </w:r>
          </w:p>
        </w:tc>
        <w:tc>
          <w:tcPr>
            <w:tcW w:w="0" w:type="dxa"/>
            <w:vAlign w:val="bottom"/>
          </w:tcPr>
          <w:p>
            <w:pPr>
              <w:spacing w:after="0"/>
              <w:rPr>
                <w:sz w:val="1"/>
                <w:szCs w:val="1"/>
                <w:color w:val="auto"/>
              </w:rPr>
            </w:pPr>
          </w:p>
        </w:tc>
      </w:tr>
      <w:tr>
        <w:trPr>
          <w:trHeight w:val="171"/>
        </w:trPr>
        <w:tc>
          <w:tcPr>
            <w:tcW w:w="80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(unaudited)</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Assets</w:t>
            </w:r>
          </w:p>
        </w:tc>
        <w:tc>
          <w:tcPr>
            <w:tcW w:w="7020" w:type="dxa"/>
            <w:vAlign w:val="bottom"/>
            <w:tcBorders>
              <w:top w:val="single" w:sz="8" w:color="CCECFF"/>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400" w:type="dxa"/>
            <w:vAlign w:val="bottom"/>
            <w:tcBorders>
              <w:top w:val="single" w:sz="8" w:color="auto"/>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Investments at fair value</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Non-controlled, non-affiliated investments (cost—$790,789,351 and $824,106,322, respectively)</w:t>
            </w:r>
          </w:p>
        </w:tc>
        <w:tc>
          <w:tcPr>
            <w:tcW w:w="260" w:type="dxa"/>
            <w:vAlign w:val="bottom"/>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800,681,196</w:t>
            </w:r>
          </w:p>
        </w:tc>
        <w:tc>
          <w:tcPr>
            <w:tcW w:w="280" w:type="dxa"/>
            <w:vAlign w:val="bottom"/>
            <w:shd w:val="clear" w:color="auto" w:fill="CCECFF"/>
          </w:tcPr>
          <w:p>
            <w:pPr>
              <w:spacing w:after="0"/>
              <w:rPr>
                <w:sz w:val="14"/>
                <w:szCs w:val="14"/>
                <w:color w:val="auto"/>
              </w:rPr>
            </w:pPr>
          </w:p>
        </w:tc>
        <w:tc>
          <w:tcPr>
            <w:tcW w:w="12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849,351,548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ind w:left="260"/>
              <w:spacing w:after="0"/>
              <w:rPr>
                <w:sz w:val="20"/>
                <w:szCs w:val="20"/>
                <w:color w:val="auto"/>
              </w:rPr>
            </w:pPr>
            <w:r>
              <w:rPr>
                <w:rFonts w:ascii="Arial" w:cs="Arial" w:eastAsia="Arial" w:hAnsi="Arial"/>
                <w:sz w:val="14"/>
                <w:szCs w:val="14"/>
                <w:color w:val="auto"/>
              </w:rPr>
              <w:t>Non-controlled, affiliated investments (cost—$91,509,529 and $185,799,943, respectively)</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75,815,977</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189,674,977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ind w:left="260"/>
              <w:spacing w:after="0"/>
              <w:rPr>
                <w:sz w:val="20"/>
                <w:szCs w:val="20"/>
                <w:color w:val="auto"/>
              </w:rPr>
            </w:pPr>
            <w:r>
              <w:rPr>
                <w:rFonts w:ascii="Arial" w:cs="Arial" w:eastAsia="Arial" w:hAnsi="Arial"/>
                <w:sz w:val="14"/>
                <w:szCs w:val="14"/>
                <w:color w:val="auto"/>
              </w:rPr>
              <w:t>Controlled, affiliated investments (cost—$249,001,007 and $200,120,407, respectively)</w:t>
            </w:r>
          </w:p>
        </w:tc>
        <w:tc>
          <w:tcPr>
            <w:tcW w:w="26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148,247,663</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114,550,983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820" w:type="dxa"/>
            <w:vAlign w:val="bottom"/>
            <w:gridSpan w:val="2"/>
          </w:tcPr>
          <w:p>
            <w:pPr>
              <w:ind w:left="260"/>
              <w:spacing w:after="0" w:line="155" w:lineRule="exact"/>
              <w:rPr>
                <w:sz w:val="20"/>
                <w:szCs w:val="20"/>
                <w:color w:val="auto"/>
              </w:rPr>
            </w:pPr>
            <w:r>
              <w:rPr>
                <w:rFonts w:ascii="Arial" w:cs="Arial" w:eastAsia="Arial" w:hAnsi="Arial"/>
                <w:sz w:val="14"/>
                <w:szCs w:val="14"/>
                <w:color w:val="auto"/>
              </w:rPr>
              <w:t>Total of investments (cost—$1,131,299,887 and $1,210,026,672, respectively)</w:t>
            </w:r>
          </w:p>
        </w:tc>
        <w:tc>
          <w:tcPr>
            <w:tcW w:w="260" w:type="dxa"/>
            <w:vAlign w:val="bottom"/>
          </w:tcPr>
          <w:p>
            <w:pPr>
              <w:spacing w:after="0"/>
              <w:rPr>
                <w:sz w:val="13"/>
                <w:szCs w:val="13"/>
                <w:color w:val="auto"/>
              </w:rPr>
            </w:pPr>
          </w:p>
        </w:tc>
        <w:tc>
          <w:tcPr>
            <w:tcW w:w="1240" w:type="dxa"/>
            <w:vAlign w:val="bottom"/>
          </w:tcPr>
          <w:p>
            <w:pPr>
              <w:jc w:val="right"/>
              <w:spacing w:after="0" w:line="155" w:lineRule="exact"/>
              <w:rPr>
                <w:sz w:val="20"/>
                <w:szCs w:val="20"/>
                <w:color w:val="auto"/>
              </w:rPr>
            </w:pPr>
            <w:r>
              <w:rPr>
                <w:rFonts w:ascii="Arial" w:cs="Arial" w:eastAsia="Arial" w:hAnsi="Arial"/>
                <w:sz w:val="14"/>
                <w:szCs w:val="14"/>
                <w:color w:val="auto"/>
              </w:rPr>
              <w:t>1,024,744,836</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jc w:val="right"/>
              <w:spacing w:after="0" w:line="155" w:lineRule="exact"/>
              <w:rPr>
                <w:sz w:val="20"/>
                <w:szCs w:val="20"/>
                <w:color w:val="auto"/>
              </w:rPr>
            </w:pPr>
            <w:r>
              <w:rPr>
                <w:rFonts w:ascii="Arial" w:cs="Arial" w:eastAsia="Arial" w:hAnsi="Arial"/>
                <w:sz w:val="14"/>
                <w:szCs w:val="14"/>
                <w:color w:val="auto"/>
              </w:rPr>
              <w:t>1,153,577,508</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Cash and cash equivalents (cost—$107,125,512 and $38,182,373, respectively)</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107,091,091</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38,202,068</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Interest receivable</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7,967,079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5,906,976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Prepaid expenses and other assets</w:t>
            </w:r>
          </w:p>
        </w:tc>
        <w:tc>
          <w:tcPr>
            <w:tcW w:w="260" w:type="dxa"/>
            <w:vAlign w:val="bottom"/>
            <w:tcBorders>
              <w:bottom w:val="single" w:sz="8" w:color="auto"/>
            </w:tcBorders>
            <w:shd w:val="clear" w:color="auto" w:fill="CCECFF"/>
          </w:tcPr>
          <w:p>
            <w:pPr>
              <w:spacing w:after="0"/>
              <w:rPr>
                <w:sz w:val="14"/>
                <w:szCs w:val="14"/>
                <w:color w:val="auto"/>
              </w:rPr>
            </w:pPr>
          </w:p>
        </w:tc>
        <w:tc>
          <w:tcPr>
            <w:tcW w:w="12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1,578,759</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4,509,289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0" w:type="dxa"/>
            <w:vAlign w:val="bottom"/>
            <w:tcBorders>
              <w:bottom w:val="single" w:sz="8" w:color="CCECFF"/>
            </w:tcBorders>
          </w:tcPr>
          <w:p>
            <w:pPr>
              <w:spacing w:after="0"/>
              <w:rPr>
                <w:sz w:val="13"/>
                <w:szCs w:val="13"/>
                <w:color w:val="auto"/>
              </w:rPr>
            </w:pPr>
          </w:p>
        </w:tc>
        <w:tc>
          <w:tcPr>
            <w:tcW w:w="70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assets</w:t>
            </w:r>
          </w:p>
        </w:tc>
        <w:tc>
          <w:tcPr>
            <w:tcW w:w="2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1,141,381,765</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1,202,195,841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8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Liabilities</w:t>
            </w:r>
          </w:p>
        </w:tc>
        <w:tc>
          <w:tcPr>
            <w:tcW w:w="7020" w:type="dxa"/>
            <w:vAlign w:val="bottom"/>
            <w:shd w:val="clear" w:color="auto" w:fill="CCECFF"/>
          </w:tcPr>
          <w:p>
            <w:pPr>
              <w:spacing w:after="0"/>
              <w:rPr>
                <w:sz w:val="13"/>
                <w:szCs w:val="13"/>
                <w:color w:val="auto"/>
              </w:rPr>
            </w:pPr>
          </w:p>
        </w:tc>
        <w:tc>
          <w:tcPr>
            <w:tcW w:w="260" w:type="dxa"/>
            <w:vAlign w:val="bottom"/>
            <w:shd w:val="clear" w:color="auto" w:fill="CCECFF"/>
          </w:tcPr>
          <w:p>
            <w:pPr>
              <w:spacing w:after="0"/>
              <w:rPr>
                <w:sz w:val="13"/>
                <w:szCs w:val="13"/>
                <w:color w:val="auto"/>
              </w:rPr>
            </w:pPr>
          </w:p>
        </w:tc>
        <w:tc>
          <w:tcPr>
            <w:tcW w:w="124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14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Distributions payable</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12,597,854</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12,790,950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Payable for investments purchased</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14,700,000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1,014,000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Credit Facility payable (cost—$41,520,000 and $79,392,900, respectively) (See Notes 5 and 10)</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39,310,563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76,037,341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2019 Notes payable (par—$250,000,000) (See Notes 5 and 10)</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251,432,500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255,665,000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SBA debentures payable, net (par—$180,000,000 and $199,000,000, respectively) (See Notes 5 and 10)</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175,240,289</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194,364,653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Base management fee payable, net (See Note 3)</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3,772,670</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4,845,237</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Performance-based incentive fee payable, net (See Note 3)</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2,497,843</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2,270,008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Interest payable on debt</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5,001,613</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6,876,756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Accrued other expenses</w:t>
            </w:r>
          </w:p>
        </w:tc>
        <w:tc>
          <w:tcPr>
            <w:tcW w:w="2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735,749</w:t>
            </w:r>
          </w:p>
        </w:tc>
        <w:tc>
          <w:tcPr>
            <w:tcW w:w="280" w:type="dxa"/>
            <w:vAlign w:val="bottom"/>
            <w:tcBorders>
              <w:bottom w:val="single" w:sz="8" w:color="CCECFF"/>
            </w:tcBorders>
          </w:tcPr>
          <w:p>
            <w:pPr>
              <w:spacing w:after="0"/>
              <w:rPr>
                <w:sz w:val="14"/>
                <w:szCs w:val="14"/>
                <w:color w:val="auto"/>
              </w:rPr>
            </w:pPr>
          </w:p>
        </w:tc>
        <w:tc>
          <w:tcPr>
            <w:tcW w:w="20" w:type="dxa"/>
            <w:vAlign w:val="bottom"/>
            <w:tcBorders>
              <w:bottom w:val="single" w:sz="8" w:color="CCEC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1,523,425</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800" w:type="dxa"/>
            <w:vAlign w:val="bottom"/>
            <w:shd w:val="clear" w:color="auto" w:fill="CCECFF"/>
          </w:tcPr>
          <w:p>
            <w:pPr>
              <w:spacing w:after="0"/>
              <w:rPr>
                <w:sz w:val="13"/>
                <w:szCs w:val="13"/>
                <w:color w:val="auto"/>
              </w:rPr>
            </w:pPr>
          </w:p>
        </w:tc>
        <w:tc>
          <w:tcPr>
            <w:tcW w:w="7020" w:type="dxa"/>
            <w:vAlign w:val="bottom"/>
            <w:shd w:val="clear" w:color="auto" w:fill="CCECFF"/>
          </w:tcPr>
          <w:p>
            <w:pPr>
              <w:ind w:left="200"/>
              <w:spacing w:after="0" w:line="155" w:lineRule="exact"/>
              <w:rPr>
                <w:sz w:val="20"/>
                <w:szCs w:val="20"/>
                <w:color w:val="auto"/>
              </w:rPr>
            </w:pPr>
            <w:r>
              <w:rPr>
                <w:rFonts w:ascii="Arial" w:cs="Arial" w:eastAsia="Arial" w:hAnsi="Arial"/>
                <w:sz w:val="14"/>
                <w:szCs w:val="14"/>
                <w:b w:val="1"/>
                <w:bCs w:val="1"/>
                <w:color w:val="auto"/>
              </w:rPr>
              <w:t>Total liabilities</w:t>
            </w:r>
          </w:p>
        </w:tc>
        <w:tc>
          <w:tcPr>
            <w:tcW w:w="26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505,289,081</w:t>
            </w:r>
          </w:p>
        </w:tc>
        <w:tc>
          <w:tcPr>
            <w:tcW w:w="280" w:type="dxa"/>
            <w:vAlign w:val="bottom"/>
            <w:shd w:val="clear" w:color="auto" w:fill="CCECFF"/>
          </w:tcPr>
          <w:p>
            <w:pPr>
              <w:spacing w:after="0"/>
              <w:rPr>
                <w:sz w:val="13"/>
                <w:szCs w:val="13"/>
                <w:color w:val="auto"/>
              </w:rPr>
            </w:pPr>
          </w:p>
        </w:tc>
        <w:tc>
          <w:tcPr>
            <w:tcW w:w="20" w:type="dxa"/>
            <w:vAlign w:val="bottom"/>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spacing w:after="0"/>
              <w:rPr>
                <w:sz w:val="13"/>
                <w:szCs w:val="13"/>
                <w:color w:val="auto"/>
              </w:rPr>
            </w:pP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555,387,370</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820" w:type="dxa"/>
            <w:vAlign w:val="bottom"/>
            <w:gridSpan w:val="2"/>
          </w:tcPr>
          <w:p>
            <w:pPr>
              <w:spacing w:after="0" w:line="155" w:lineRule="exact"/>
              <w:rPr>
                <w:sz w:val="20"/>
                <w:szCs w:val="20"/>
                <w:color w:val="auto"/>
              </w:rPr>
            </w:pPr>
            <w:r>
              <w:rPr>
                <w:rFonts w:ascii="Arial" w:cs="Arial" w:eastAsia="Arial" w:hAnsi="Arial"/>
                <w:sz w:val="14"/>
                <w:szCs w:val="14"/>
                <w:color w:val="auto"/>
              </w:rPr>
              <w:t>Commitments and contingencies (See Note 11)</w:t>
            </w:r>
          </w:p>
        </w:tc>
        <w:tc>
          <w:tcPr>
            <w:tcW w:w="2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80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Net assets</w:t>
            </w:r>
          </w:p>
        </w:tc>
        <w:tc>
          <w:tcPr>
            <w:tcW w:w="702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820" w:type="dxa"/>
            <w:vAlign w:val="bottom"/>
            <w:gridSpan w:val="2"/>
          </w:tcPr>
          <w:p>
            <w:pPr>
              <w:spacing w:after="0" w:line="143" w:lineRule="exact"/>
              <w:rPr>
                <w:sz w:val="20"/>
                <w:szCs w:val="20"/>
                <w:color w:val="auto"/>
              </w:rPr>
            </w:pPr>
            <w:r>
              <w:rPr>
                <w:rFonts w:ascii="Arial" w:cs="Arial" w:eastAsia="Arial" w:hAnsi="Arial"/>
                <w:sz w:val="14"/>
                <w:szCs w:val="14"/>
                <w:color w:val="auto"/>
              </w:rPr>
              <w:t>Common stock, 69,988,077 and 71,060,836 shares issued and outstanding, respectively.</w:t>
            </w:r>
          </w:p>
        </w:tc>
        <w:tc>
          <w:tcPr>
            <w:tcW w:w="2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20" w:type="dxa"/>
            <w:vAlign w:val="bottom"/>
            <w:gridSpan w:val="2"/>
          </w:tcPr>
          <w:p>
            <w:pPr>
              <w:ind w:left="120"/>
              <w:spacing w:after="0"/>
              <w:rPr>
                <w:sz w:val="20"/>
                <w:szCs w:val="20"/>
                <w:color w:val="auto"/>
              </w:rPr>
            </w:pPr>
            <w:r>
              <w:rPr>
                <w:rFonts w:ascii="Arial" w:cs="Arial" w:eastAsia="Arial" w:hAnsi="Arial"/>
                <w:sz w:val="14"/>
                <w:szCs w:val="14"/>
                <w:color w:val="auto"/>
              </w:rPr>
              <w:t>Par value $0.001 per share and 100,000,000 shares authorized</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69,988</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71,061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Paid-in capital in excess of par value</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810,962,271</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818,737,784</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Undistributed net investment income</w:t>
            </w:r>
          </w:p>
        </w:tc>
        <w:tc>
          <w:tcPr>
            <w:tcW w:w="2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4,512,842</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3,333,195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Accumulated net realized loss on investments</w:t>
            </w:r>
          </w:p>
        </w:tc>
        <w:tc>
          <w:tcPr>
            <w:tcW w:w="26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(73,643,974)</w:t>
            </w: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(116,598,355)</w:t>
            </w:r>
          </w:p>
        </w:tc>
        <w:tc>
          <w:tcPr>
            <w:tcW w:w="0" w:type="dxa"/>
            <w:vAlign w:val="bottom"/>
          </w:tcPr>
          <w:p>
            <w:pPr>
              <w:spacing w:after="0"/>
              <w:rPr>
                <w:sz w:val="1"/>
                <w:szCs w:val="1"/>
                <w:color w:val="auto"/>
              </w:rPr>
            </w:pPr>
          </w:p>
        </w:tc>
      </w:tr>
      <w:tr>
        <w:trPr>
          <w:trHeight w:val="162"/>
        </w:trPr>
        <w:tc>
          <w:tcPr>
            <w:tcW w:w="7820" w:type="dxa"/>
            <w:vAlign w:val="bottom"/>
            <w:gridSpan w:val="2"/>
          </w:tcPr>
          <w:p>
            <w:pPr>
              <w:spacing w:after="0"/>
              <w:rPr>
                <w:sz w:val="20"/>
                <w:szCs w:val="20"/>
                <w:color w:val="auto"/>
              </w:rPr>
            </w:pPr>
            <w:r>
              <w:rPr>
                <w:rFonts w:ascii="Arial" w:cs="Arial" w:eastAsia="Arial" w:hAnsi="Arial"/>
                <w:sz w:val="14"/>
                <w:szCs w:val="14"/>
                <w:color w:val="auto"/>
              </w:rPr>
              <w:t>Net unrealized depreciation on investments</w:t>
            </w:r>
          </w:p>
        </w:tc>
        <w:tc>
          <w:tcPr>
            <w:tcW w:w="260" w:type="dxa"/>
            <w:vAlign w:val="bottom"/>
          </w:tcPr>
          <w:p>
            <w:pPr>
              <w:spacing w:after="0"/>
              <w:rPr>
                <w:sz w:val="14"/>
                <w:szCs w:val="14"/>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4"/>
                <w:szCs w:val="14"/>
                <w:color w:val="auto"/>
              </w:rPr>
              <w:t>(106,585,380)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4"/>
                <w:szCs w:val="14"/>
                <w:color w:val="auto"/>
              </w:rPr>
              <w:t>(56,425,773)</w:t>
            </w:r>
          </w:p>
        </w:tc>
        <w:tc>
          <w:tcPr>
            <w:tcW w:w="0" w:type="dxa"/>
            <w:vAlign w:val="bottom"/>
          </w:tcPr>
          <w:p>
            <w:pPr>
              <w:spacing w:after="0"/>
              <w:rPr>
                <w:sz w:val="1"/>
                <w:szCs w:val="1"/>
                <w:color w:val="auto"/>
              </w:rPr>
            </w:pPr>
          </w:p>
        </w:tc>
      </w:tr>
      <w:tr>
        <w:trPr>
          <w:trHeight w:val="162"/>
        </w:trPr>
        <w:tc>
          <w:tcPr>
            <w:tcW w:w="782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Net unrealized depreciation (appreciation) on debt</w:t>
            </w:r>
          </w:p>
        </w:tc>
        <w:tc>
          <w:tcPr>
            <w:tcW w:w="26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776,937</w:t>
            </w:r>
          </w:p>
        </w:tc>
        <w:tc>
          <w:tcPr>
            <w:tcW w:w="28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5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(2,309,441)</w:t>
            </w:r>
          </w:p>
        </w:tc>
        <w:tc>
          <w:tcPr>
            <w:tcW w:w="0" w:type="dxa"/>
            <w:vAlign w:val="bottom"/>
          </w:tcPr>
          <w:p>
            <w:pPr>
              <w:spacing w:after="0"/>
              <w:rPr>
                <w:sz w:val="1"/>
                <w:szCs w:val="1"/>
                <w:color w:val="auto"/>
              </w:rPr>
            </w:pPr>
          </w:p>
        </w:tc>
      </w:tr>
      <w:tr>
        <w:trPr>
          <w:trHeight w:val="156"/>
        </w:trPr>
        <w:tc>
          <w:tcPr>
            <w:tcW w:w="800" w:type="dxa"/>
            <w:vAlign w:val="bottom"/>
            <w:tcBorders>
              <w:bottom w:val="single" w:sz="8" w:color="CCECFF"/>
            </w:tcBorders>
          </w:tcPr>
          <w:p>
            <w:pPr>
              <w:spacing w:after="0"/>
              <w:rPr>
                <w:sz w:val="13"/>
                <w:szCs w:val="13"/>
                <w:color w:val="auto"/>
              </w:rPr>
            </w:pPr>
          </w:p>
        </w:tc>
        <w:tc>
          <w:tcPr>
            <w:tcW w:w="7020" w:type="dxa"/>
            <w:vAlign w:val="bottom"/>
            <w:tcBorders>
              <w:bottom w:val="single" w:sz="8" w:color="CCECFF"/>
            </w:tcBorders>
          </w:tcPr>
          <w:p>
            <w:pPr>
              <w:ind w:left="200"/>
              <w:spacing w:after="0" w:line="155" w:lineRule="exact"/>
              <w:rPr>
                <w:sz w:val="20"/>
                <w:szCs w:val="20"/>
                <w:color w:val="auto"/>
              </w:rPr>
            </w:pPr>
            <w:r>
              <w:rPr>
                <w:rFonts w:ascii="Arial" w:cs="Arial" w:eastAsia="Arial" w:hAnsi="Arial"/>
                <w:sz w:val="14"/>
                <w:szCs w:val="14"/>
                <w:b w:val="1"/>
                <w:bCs w:val="1"/>
                <w:color w:val="auto"/>
              </w:rPr>
              <w:t>Total net assets</w:t>
            </w: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636,092,684</w:t>
            </w:r>
          </w:p>
        </w:tc>
        <w:tc>
          <w:tcPr>
            <w:tcW w:w="280" w:type="dxa"/>
            <w:vAlign w:val="bottom"/>
            <w:tcBorders>
              <w:bottom w:val="single" w:sz="8" w:color="CCECFF"/>
            </w:tcBorders>
          </w:tcPr>
          <w:p>
            <w:pPr>
              <w:spacing w:after="0"/>
              <w:rPr>
                <w:sz w:val="13"/>
                <w:szCs w:val="13"/>
                <w:color w:val="auto"/>
              </w:rPr>
            </w:pPr>
          </w:p>
        </w:tc>
        <w:tc>
          <w:tcPr>
            <w:tcW w:w="20" w:type="dxa"/>
            <w:vAlign w:val="bottom"/>
            <w:tcBorders>
              <w:bottom w:val="single" w:sz="8" w:color="CCECFF"/>
            </w:tcBorders>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646,808,471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0" w:type="dxa"/>
            <w:vAlign w:val="bottom"/>
            <w:tcBorders>
              <w:bottom w:val="single" w:sz="8" w:color="CCECFF"/>
            </w:tcBorders>
            <w:shd w:val="clear" w:color="auto" w:fill="CCECFF"/>
          </w:tcPr>
          <w:p>
            <w:pPr>
              <w:spacing w:after="0"/>
              <w:rPr>
                <w:sz w:val="13"/>
                <w:szCs w:val="13"/>
                <w:color w:val="auto"/>
              </w:rPr>
            </w:pPr>
          </w:p>
        </w:tc>
        <w:tc>
          <w:tcPr>
            <w:tcW w:w="7020" w:type="dxa"/>
            <w:vAlign w:val="bottom"/>
            <w:tcBorders>
              <w:bottom w:val="single" w:sz="8" w:color="CCECFF"/>
            </w:tcBorders>
            <w:shd w:val="clear" w:color="auto" w:fill="CCECFF"/>
          </w:tcPr>
          <w:p>
            <w:pPr>
              <w:ind w:left="200"/>
              <w:spacing w:after="0" w:line="155" w:lineRule="exact"/>
              <w:rPr>
                <w:sz w:val="20"/>
                <w:szCs w:val="20"/>
                <w:color w:val="auto"/>
              </w:rPr>
            </w:pPr>
            <w:r>
              <w:rPr>
                <w:rFonts w:ascii="Arial" w:cs="Arial" w:eastAsia="Arial" w:hAnsi="Arial"/>
                <w:sz w:val="14"/>
                <w:szCs w:val="14"/>
                <w:b w:val="1"/>
                <w:bCs w:val="1"/>
                <w:color w:val="auto"/>
              </w:rPr>
              <w:t>Total liabilities and net assets</w:t>
            </w:r>
          </w:p>
        </w:tc>
        <w:tc>
          <w:tcPr>
            <w:tcW w:w="260" w:type="dxa"/>
            <w:vAlign w:val="bottom"/>
            <w:tcBorders>
              <w:bottom w:val="single" w:sz="8" w:color="auto"/>
            </w:tcBorders>
            <w:shd w:val="clear" w:color="auto" w:fill="CCECFF"/>
          </w:tcPr>
          <w:p>
            <w:pPr>
              <w:jc w:val="right"/>
              <w:ind w:right="149"/>
              <w:spacing w:after="0"/>
              <w:rPr>
                <w:sz w:val="20"/>
                <w:szCs w:val="20"/>
                <w:color w:val="auto"/>
              </w:rPr>
            </w:pPr>
            <w:r>
              <w:rPr>
                <w:rFonts w:ascii="Arial" w:cs="Arial" w:eastAsia="Arial" w:hAnsi="Arial"/>
                <w:sz w:val="10"/>
                <w:szCs w:val="10"/>
                <w:color w:val="auto"/>
                <w:w w:val="71"/>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1,141,381,765</w:t>
            </w:r>
          </w:p>
        </w:tc>
        <w:tc>
          <w:tcPr>
            <w:tcW w:w="280" w:type="dxa"/>
            <w:vAlign w:val="bottom"/>
            <w:tcBorders>
              <w:bottom w:val="single" w:sz="8" w:color="CCECFF"/>
            </w:tcBorders>
            <w:shd w:val="clear" w:color="auto" w:fill="CCECFF"/>
          </w:tcPr>
          <w:p>
            <w:pPr>
              <w:spacing w:after="0"/>
              <w:rPr>
                <w:sz w:val="13"/>
                <w:szCs w:val="13"/>
                <w:color w:val="auto"/>
              </w:rPr>
            </w:pPr>
          </w:p>
        </w:tc>
        <w:tc>
          <w:tcPr>
            <w:tcW w:w="2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1,202,195,841</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asset value per share</w:t>
            </w:r>
          </w:p>
        </w:tc>
        <w:tc>
          <w:tcPr>
            <w:tcW w:w="2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820" w:type="dxa"/>
            <w:vAlign w:val="bottom"/>
            <w:gridSpan w:val="2"/>
            <w:vMerge w:val="continue"/>
          </w:tcPr>
          <w:p>
            <w:pPr>
              <w:spacing w:after="0"/>
              <w:rPr>
                <w:sz w:val="12"/>
                <w:szCs w:val="12"/>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2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9.09</w:t>
            </w:r>
          </w:p>
        </w:tc>
        <w:tc>
          <w:tcPr>
            <w:tcW w:w="2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9.10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4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w w:val="95"/>
              </w:rPr>
              <w:t>Three Months Ended June 30,</w:t>
            </w:r>
          </w:p>
        </w:tc>
        <w:tc>
          <w:tcPr>
            <w:tcW w:w="160" w:type="dxa"/>
            <w:vAlign w:val="bottom"/>
          </w:tcPr>
          <w:p>
            <w:pPr>
              <w:spacing w:after="0"/>
              <w:rPr>
                <w:sz w:val="14"/>
                <w:szCs w:val="14"/>
                <w:color w:val="auto"/>
              </w:rPr>
            </w:pPr>
          </w:p>
        </w:tc>
        <w:tc>
          <w:tcPr>
            <w:tcW w:w="22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6"/>
              </w:rPr>
              <w:t>Nine Months Ended June 30,</w:t>
            </w:r>
          </w:p>
        </w:tc>
        <w:tc>
          <w:tcPr>
            <w:tcW w:w="0" w:type="dxa"/>
            <w:vAlign w:val="bottom"/>
          </w:tcPr>
          <w:p>
            <w:pPr>
              <w:spacing w:after="0"/>
              <w:rPr>
                <w:sz w:val="1"/>
                <w:szCs w:val="1"/>
                <w:color w:val="auto"/>
              </w:rPr>
            </w:pPr>
          </w:p>
        </w:tc>
      </w:tr>
      <w:tr>
        <w:trPr>
          <w:trHeight w:val="156"/>
        </w:trPr>
        <w:tc>
          <w:tcPr>
            <w:tcW w:w="5700" w:type="dxa"/>
            <w:vAlign w:val="bottom"/>
            <w:tcBorders>
              <w:bottom w:val="single" w:sz="8" w:color="CCECFF"/>
            </w:tcBorders>
          </w:tcPr>
          <w:p>
            <w:pPr>
              <w:spacing w:after="0"/>
              <w:rPr>
                <w:sz w:val="13"/>
                <w:szCs w:val="13"/>
                <w:color w:val="auto"/>
              </w:rPr>
            </w:pPr>
          </w:p>
        </w:tc>
        <w:tc>
          <w:tcPr>
            <w:tcW w:w="70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08"/>
              <w:spacing w:after="0" w:line="155"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Investment income:</w:t>
            </w:r>
          </w:p>
        </w:tc>
        <w:tc>
          <w:tcPr>
            <w:tcW w:w="7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From non-controlled, non-affiliated investments: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820" w:type="dxa"/>
            <w:vAlign w:val="bottom"/>
            <w:gridSpan w:val="2"/>
            <w:shd w:val="clear" w:color="auto" w:fill="CCECFF"/>
          </w:tcPr>
          <w:p>
            <w:pPr>
              <w:jc w:val="right"/>
              <w:ind w:right="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19,491,552</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20,154,976</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jc w:val="right"/>
              <w:ind w:right="8"/>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60,608,891</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jc w:val="right"/>
              <w:ind w:right="48"/>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64,687,668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1,585,945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1,211,753</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4,545,929</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2,641,506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1,494,072</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946,587</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5,567,138</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4,614,740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From non-controlled, affiliated investments: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253,191</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2,415,807</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2,845,090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8,197,246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Payment in kind</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1,334,809</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1,807,655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4,219,437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income</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1,587,435</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1,609,935</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spacing w:after="0"/>
              <w:rPr>
                <w:sz w:val="20"/>
                <w:szCs w:val="20"/>
                <w:color w:val="auto"/>
              </w:rPr>
            </w:pPr>
            <w:r>
              <w:rPr>
                <w:rFonts w:ascii="Arial" w:cs="Arial" w:eastAsia="Arial" w:hAnsi="Arial"/>
                <w:sz w:val="14"/>
                <w:szCs w:val="14"/>
                <w:color w:val="auto"/>
              </w:rPr>
              <w:t>From controlled, affiliated investments: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1,480,768</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208,432</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2,931,462</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598,976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Payment in kind</w:t>
            </w:r>
          </w:p>
        </w:tc>
        <w:tc>
          <w:tcPr>
            <w:tcW w:w="70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453,974</w:t>
            </w:r>
          </w:p>
        </w:tc>
        <w:tc>
          <w:tcPr>
            <w:tcW w:w="220" w:type="dxa"/>
            <w:vAlign w:val="bottom"/>
            <w:tcBorders>
              <w:bottom w:val="single" w:sz="8" w:color="CCEC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3,224,520</w:t>
            </w:r>
          </w:p>
        </w:tc>
        <w:tc>
          <w:tcPr>
            <w:tcW w:w="220" w:type="dxa"/>
            <w:vAlign w:val="bottom"/>
            <w:tcBorders>
              <w:bottom w:val="single" w:sz="8" w:color="CCEC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2,347,371</w:t>
            </w:r>
          </w:p>
        </w:tc>
        <w:tc>
          <w:tcPr>
            <w:tcW w:w="22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10,098,714</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Total investment income</w:t>
            </w:r>
          </w:p>
        </w:tc>
        <w:tc>
          <w:tcPr>
            <w:tcW w:w="70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24,759,502</w:t>
            </w:r>
          </w:p>
        </w:tc>
        <w:tc>
          <w:tcPr>
            <w:tcW w:w="22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31,084,319</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80,653,536</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96,668,222</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tcPr>
          <w:p>
            <w:pPr>
              <w:spacing w:after="0" w:line="155" w:lineRule="exact"/>
              <w:rPr>
                <w:sz w:val="20"/>
                <w:szCs w:val="20"/>
                <w:color w:val="auto"/>
              </w:rPr>
            </w:pPr>
            <w:r>
              <w:rPr>
                <w:rFonts w:ascii="Arial" w:cs="Arial" w:eastAsia="Arial" w:hAnsi="Arial"/>
                <w:sz w:val="14"/>
                <w:szCs w:val="14"/>
                <w:b w:val="1"/>
                <w:bCs w:val="1"/>
                <w:color w:val="auto"/>
              </w:rPr>
              <w:t>Expenses:</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Base management fee (See Note 3)</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3,772,669</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5,842,601</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13,381,545</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18,449,890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Performance-based incentive fee (See Note 3)</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2,497,843</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1,358,165</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8,528,663</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8,375,564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Interest and expenses on debt (See Note 10)</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5,565,240</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6,723,980</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17,363,511</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20,638,611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Administrative services expenses (See Note 3)</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521,625</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894,000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1,564,875</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2,682,000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Other general and administrative expenses</w:t>
            </w:r>
          </w:p>
        </w:tc>
        <w:tc>
          <w:tcPr>
            <w:tcW w:w="700" w:type="dxa"/>
            <w:vAlign w:val="bottom"/>
            <w:shd w:val="clear" w:color="auto" w:fill="CCECFF"/>
          </w:tcPr>
          <w:p>
            <w:pPr>
              <w:spacing w:after="0"/>
              <w:rPr>
                <w:sz w:val="14"/>
                <w:szCs w:val="14"/>
                <w:color w:val="auto"/>
              </w:rPr>
            </w:pPr>
          </w:p>
        </w:tc>
        <w:tc>
          <w:tcPr>
            <w:tcW w:w="120" w:type="dxa"/>
            <w:vAlign w:val="bottom"/>
            <w:tcBorders>
              <w:bottom w:val="single" w:sz="8" w:color="auto"/>
            </w:tcBorders>
            <w:shd w:val="clear" w:color="auto" w:fill="CCECFF"/>
          </w:tcPr>
          <w:p>
            <w:pPr>
              <w:spacing w:after="0"/>
              <w:rPr>
                <w:sz w:val="14"/>
                <w:szCs w:val="14"/>
                <w:color w:val="auto"/>
              </w:rPr>
            </w:pPr>
          </w:p>
        </w:tc>
        <w:tc>
          <w:tcPr>
            <w:tcW w:w="8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626,213</w:t>
            </w:r>
          </w:p>
        </w:tc>
        <w:tc>
          <w:tcPr>
            <w:tcW w:w="22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8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665,653</w:t>
            </w:r>
          </w:p>
        </w:tc>
        <w:tc>
          <w:tcPr>
            <w:tcW w:w="220" w:type="dxa"/>
            <w:vAlign w:val="bottom"/>
            <w:shd w:val="clear" w:color="auto" w:fill="CCECFF"/>
          </w:tcPr>
          <w:p>
            <w:pPr>
              <w:spacing w:after="0"/>
              <w:rPr>
                <w:sz w:val="14"/>
                <w:szCs w:val="14"/>
                <w:color w:val="auto"/>
              </w:rPr>
            </w:pPr>
          </w:p>
        </w:tc>
        <w:tc>
          <w:tcPr>
            <w:tcW w:w="160" w:type="dxa"/>
            <w:vAlign w:val="bottom"/>
            <w:tcBorders>
              <w:bottom w:val="single" w:sz="8" w:color="auto"/>
            </w:tcBorders>
            <w:shd w:val="clear" w:color="auto" w:fill="CCECFF"/>
          </w:tcPr>
          <w:p>
            <w:pPr>
              <w:spacing w:after="0"/>
              <w:rPr>
                <w:sz w:val="14"/>
                <w:szCs w:val="14"/>
                <w:color w:val="auto"/>
              </w:rPr>
            </w:pPr>
          </w:p>
        </w:tc>
        <w:tc>
          <w:tcPr>
            <w:tcW w:w="8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1,882,793</w:t>
            </w:r>
          </w:p>
        </w:tc>
        <w:tc>
          <w:tcPr>
            <w:tcW w:w="220" w:type="dxa"/>
            <w:vAlign w:val="bottom"/>
            <w:shd w:val="clear" w:color="auto" w:fill="CCECFF"/>
          </w:tcPr>
          <w:p>
            <w:pPr>
              <w:spacing w:after="0"/>
              <w:rPr>
                <w:sz w:val="14"/>
                <w:szCs w:val="14"/>
                <w:color w:val="auto"/>
              </w:rPr>
            </w:pPr>
          </w:p>
        </w:tc>
        <w:tc>
          <w:tcPr>
            <w:tcW w:w="200" w:type="dxa"/>
            <w:vAlign w:val="bottom"/>
            <w:tcBorders>
              <w:bottom w:val="single" w:sz="8" w:color="auto"/>
            </w:tcBorders>
            <w:shd w:val="clear" w:color="auto" w:fill="CCECFF"/>
          </w:tcPr>
          <w:p>
            <w:pPr>
              <w:spacing w:after="0"/>
              <w:rPr>
                <w:sz w:val="14"/>
                <w:szCs w:val="14"/>
                <w:color w:val="auto"/>
              </w:rPr>
            </w:pPr>
          </w:p>
        </w:tc>
        <w:tc>
          <w:tcPr>
            <w:tcW w:w="8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2,002,643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Expenses before Management Fees waiver and provision for taxes</w:t>
            </w:r>
          </w:p>
        </w:tc>
        <w:tc>
          <w:tcPr>
            <w:tcW w:w="70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12,983,590</w:t>
            </w:r>
          </w:p>
        </w:tc>
        <w:tc>
          <w:tcPr>
            <w:tcW w:w="2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15,484,399</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42,721,387</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52,148,708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color w:val="auto"/>
              </w:rPr>
              <w:t>Management Fees waiver (See Note 3)</w:t>
            </w:r>
          </w:p>
        </w:tc>
        <w:tc>
          <w:tcPr>
            <w:tcW w:w="7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(1,152,123)</w:t>
            </w: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(1,427,253)</w:t>
            </w: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(4,292,073)</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Provision for taxes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425,000</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1,275,000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Credit Facility amendment costs (See Notes 5 and 10)</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3,866,633</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3,866,633</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expenses</w:t>
            </w:r>
          </w:p>
        </w:tc>
        <w:tc>
          <w:tcPr>
            <w:tcW w:w="70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12,983,590</w:t>
            </w:r>
          </w:p>
        </w:tc>
        <w:tc>
          <w:tcPr>
            <w:tcW w:w="22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18,623,909</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41,294,134</w:t>
            </w:r>
          </w:p>
        </w:tc>
        <w:tc>
          <w:tcPr>
            <w:tcW w:w="2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52,998,268</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700" w:type="dxa"/>
            <w:vAlign w:val="bottom"/>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investment income</w:t>
            </w:r>
          </w:p>
        </w:tc>
        <w:tc>
          <w:tcPr>
            <w:tcW w:w="700" w:type="dxa"/>
            <w:vAlign w:val="bottom"/>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spacing w:after="0"/>
              <w:rPr>
                <w:sz w:val="13"/>
                <w:szCs w:val="13"/>
                <w:color w:val="auto"/>
              </w:rPr>
            </w:pP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11,775,912</w:t>
            </w:r>
          </w:p>
        </w:tc>
        <w:tc>
          <w:tcPr>
            <w:tcW w:w="220" w:type="dxa"/>
            <w:vAlign w:val="bottom"/>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spacing w:after="0"/>
              <w:rPr>
                <w:sz w:val="13"/>
                <w:szCs w:val="13"/>
                <w:color w:val="auto"/>
              </w:rPr>
            </w:pP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12,460,410</w:t>
            </w:r>
          </w:p>
        </w:tc>
        <w:tc>
          <w:tcPr>
            <w:tcW w:w="220" w:type="dxa"/>
            <w:vAlign w:val="bottom"/>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spacing w:after="0"/>
              <w:rPr>
                <w:sz w:val="13"/>
                <w:szCs w:val="13"/>
                <w:color w:val="auto"/>
              </w:rPr>
            </w:pP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39,359,402</w:t>
            </w:r>
          </w:p>
        </w:tc>
        <w:tc>
          <w:tcPr>
            <w:tcW w:w="220" w:type="dxa"/>
            <w:vAlign w:val="bottom"/>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spacing w:after="0"/>
              <w:rPr>
                <w:sz w:val="13"/>
                <w:szCs w:val="13"/>
                <w:color w:val="auto"/>
              </w:rPr>
            </w:pP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43,669,954</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tcPr>
          <w:p>
            <w:pPr>
              <w:spacing w:after="0" w:line="155" w:lineRule="exact"/>
              <w:rPr>
                <w:sz w:val="20"/>
                <w:szCs w:val="20"/>
                <w:color w:val="auto"/>
              </w:rPr>
            </w:pPr>
            <w:r>
              <w:rPr>
                <w:rFonts w:ascii="Arial" w:cs="Arial" w:eastAsia="Arial" w:hAnsi="Arial"/>
                <w:sz w:val="14"/>
                <w:szCs w:val="14"/>
                <w:b w:val="1"/>
                <w:bCs w:val="1"/>
                <w:color w:val="auto"/>
              </w:rPr>
              <w:t>Realized and unrealized (loss) gain on investments and debt:</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spacing w:after="0"/>
              <w:rPr>
                <w:sz w:val="20"/>
                <w:szCs w:val="20"/>
                <w:color w:val="auto"/>
              </w:rPr>
            </w:pPr>
            <w:r>
              <w:rPr>
                <w:rFonts w:ascii="Arial" w:cs="Arial" w:eastAsia="Arial" w:hAnsi="Arial"/>
                <w:sz w:val="14"/>
                <w:szCs w:val="14"/>
                <w:color w:val="auto"/>
              </w:rPr>
              <w:t>Net realized gain (loss) on investments on:</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17,085,362</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11,693,836</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31,754,691</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2,746,747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8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342,086</w:t>
            </w:r>
          </w:p>
        </w:tc>
        <w:tc>
          <w:tcPr>
            <w:tcW w:w="22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(1,546,075)</w:t>
            </w:r>
          </w:p>
        </w:tc>
        <w:tc>
          <w:tcPr>
            <w:tcW w:w="160" w:type="dxa"/>
            <w:vAlign w:val="bottom"/>
            <w:shd w:val="clear" w:color="auto" w:fill="CCECFF"/>
          </w:tcPr>
          <w:p>
            <w:pPr>
              <w:spacing w:after="0"/>
              <w:rPr>
                <w:sz w:val="14"/>
                <w:szCs w:val="14"/>
                <w:color w:val="auto"/>
              </w:rPr>
            </w:pPr>
          </w:p>
        </w:tc>
        <w:tc>
          <w:tcPr>
            <w:tcW w:w="8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11,199,690</w:t>
            </w:r>
          </w:p>
        </w:tc>
        <w:tc>
          <w:tcPr>
            <w:tcW w:w="22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94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(33,537,057)</w:t>
            </w:r>
          </w:p>
        </w:tc>
        <w:tc>
          <w:tcPr>
            <w:tcW w:w="0" w:type="dxa"/>
            <w:vAlign w:val="bottom"/>
          </w:tcPr>
          <w:p>
            <w:pPr>
              <w:spacing w:after="0"/>
              <w:rPr>
                <w:sz w:val="1"/>
                <w:szCs w:val="1"/>
                <w:color w:val="auto"/>
              </w:rPr>
            </w:pPr>
          </w:p>
        </w:tc>
      </w:tr>
      <w:tr>
        <w:trPr>
          <w:trHeight w:val="156"/>
        </w:trPr>
        <w:tc>
          <w:tcPr>
            <w:tcW w:w="570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realized gain (loss) on investments</w:t>
            </w:r>
          </w:p>
        </w:tc>
        <w:tc>
          <w:tcPr>
            <w:tcW w:w="700" w:type="dxa"/>
            <w:vAlign w:val="bottom"/>
            <w:tcBorders>
              <w:bottom w:val="single" w:sz="8" w:color="CCEC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17,427,448</w:t>
            </w:r>
          </w:p>
        </w:tc>
        <w:tc>
          <w:tcPr>
            <w:tcW w:w="220" w:type="dxa"/>
            <w:vAlign w:val="bottom"/>
            <w:tcBorders>
              <w:bottom w:val="single" w:sz="8" w:color="CCEC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10,147,761</w:t>
            </w:r>
          </w:p>
        </w:tc>
        <w:tc>
          <w:tcPr>
            <w:tcW w:w="220" w:type="dxa"/>
            <w:vAlign w:val="bottom"/>
            <w:tcBorders>
              <w:bottom w:val="single" w:sz="8" w:color="CCEC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42,954,381</w:t>
            </w:r>
          </w:p>
        </w:tc>
        <w:tc>
          <w:tcPr>
            <w:tcW w:w="220" w:type="dxa"/>
            <w:vAlign w:val="bottom"/>
            <w:tcBorders>
              <w:bottom w:val="single" w:sz="8" w:color="CCEC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(30,790,310)</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Net change in unrealized (depreciation) appreciation on:</w:t>
            </w:r>
          </w:p>
        </w:tc>
        <w:tc>
          <w:tcPr>
            <w:tcW w:w="7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88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80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160" w:type="dxa"/>
            <w:vAlign w:val="bottom"/>
            <w:shd w:val="clear" w:color="auto" w:fill="CCECFF"/>
          </w:tcPr>
          <w:p>
            <w:pPr>
              <w:spacing w:after="0"/>
              <w:rPr>
                <w:sz w:val="13"/>
                <w:szCs w:val="13"/>
                <w:color w:val="auto"/>
              </w:rPr>
            </w:pPr>
          </w:p>
        </w:tc>
        <w:tc>
          <w:tcPr>
            <w:tcW w:w="860" w:type="dxa"/>
            <w:vAlign w:val="bottom"/>
            <w:shd w:val="clear" w:color="auto" w:fill="CCECFF"/>
          </w:tcPr>
          <w:p>
            <w:pPr>
              <w:spacing w:after="0"/>
              <w:rPr>
                <w:sz w:val="13"/>
                <w:szCs w:val="13"/>
                <w:color w:val="auto"/>
              </w:rPr>
            </w:pPr>
          </w:p>
        </w:tc>
        <w:tc>
          <w:tcPr>
            <w:tcW w:w="220" w:type="dxa"/>
            <w:vAlign w:val="bottom"/>
            <w:shd w:val="clear" w:color="auto" w:fill="CCECFF"/>
          </w:tcPr>
          <w:p>
            <w:pPr>
              <w:spacing w:after="0"/>
              <w:rPr>
                <w:sz w:val="13"/>
                <w:szCs w:val="13"/>
                <w:color w:val="auto"/>
              </w:rPr>
            </w:pPr>
          </w:p>
        </w:tc>
        <w:tc>
          <w:tcPr>
            <w:tcW w:w="200" w:type="dxa"/>
            <w:vAlign w:val="bottom"/>
            <w:shd w:val="clear" w:color="auto" w:fill="CCECFF"/>
          </w:tcPr>
          <w:p>
            <w:pPr>
              <w:spacing w:after="0"/>
              <w:rPr>
                <w:sz w:val="13"/>
                <w:szCs w:val="13"/>
                <w:color w:val="auto"/>
              </w:rPr>
            </w:pPr>
          </w:p>
        </w:tc>
        <w:tc>
          <w:tcPr>
            <w:tcW w:w="840" w:type="dxa"/>
            <w:vAlign w:val="bottom"/>
            <w:shd w:val="clear" w:color="auto" w:fill="CCECFF"/>
          </w:tcPr>
          <w:p>
            <w:pPr>
              <w:spacing w:after="0"/>
              <w:rPr>
                <w:sz w:val="13"/>
                <w:szCs w:val="13"/>
                <w:color w:val="auto"/>
              </w:rPr>
            </w:pP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Non-controlled, non-affiliated investments</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4"/>
                <w:szCs w:val="14"/>
                <w:color w:val="auto"/>
              </w:rPr>
              <w:t>(12,925,765)</w:t>
            </w:r>
          </w:p>
        </w:tc>
        <w:tc>
          <w:tcPr>
            <w:tcW w:w="2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(5,731,239)</w:t>
            </w:r>
          </w:p>
        </w:tc>
        <w:tc>
          <w:tcPr>
            <w:tcW w:w="160" w:type="dxa"/>
            <w:vAlign w:val="bottom"/>
          </w:tcPr>
          <w:p>
            <w:pPr>
              <w:spacing w:after="0"/>
              <w:rPr>
                <w:sz w:val="14"/>
                <w:szCs w:val="14"/>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4"/>
                <w:szCs w:val="14"/>
                <w:color w:val="auto"/>
              </w:rPr>
              <w:t>(15,407,098)</w:t>
            </w:r>
          </w:p>
        </w:tc>
        <w:tc>
          <w:tcPr>
            <w:tcW w:w="2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7,625,092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Non-controlled and controlled, affiliated investments</w:t>
            </w:r>
          </w:p>
        </w:tc>
        <w:tc>
          <w:tcPr>
            <w:tcW w:w="7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10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(927,824)</w:t>
            </w:r>
          </w:p>
        </w:tc>
        <w:tc>
          <w:tcPr>
            <w:tcW w:w="22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4,039,995</w:t>
            </w:r>
          </w:p>
        </w:tc>
        <w:tc>
          <w:tcPr>
            <w:tcW w:w="22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08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(34,752,509)</w:t>
            </w:r>
          </w:p>
        </w:tc>
        <w:tc>
          <w:tcPr>
            <w:tcW w:w="200" w:type="dxa"/>
            <w:vAlign w:val="bottom"/>
            <w:shd w:val="clear" w:color="auto" w:fill="CCECFF"/>
          </w:tcPr>
          <w:p>
            <w:pPr>
              <w:spacing w:after="0"/>
              <w:rPr>
                <w:sz w:val="14"/>
                <w:szCs w:val="14"/>
                <w:color w:val="auto"/>
              </w:rPr>
            </w:pPr>
          </w:p>
        </w:tc>
        <w:tc>
          <w:tcPr>
            <w:tcW w:w="8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36,206,851</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700" w:type="dxa"/>
            <w:vAlign w:val="bottom"/>
          </w:tcPr>
          <w:p>
            <w:pPr>
              <w:ind w:left="260"/>
              <w:spacing w:after="0"/>
              <w:rPr>
                <w:sz w:val="20"/>
                <w:szCs w:val="20"/>
                <w:color w:val="auto"/>
              </w:rPr>
            </w:pPr>
            <w:r>
              <w:rPr>
                <w:rFonts w:ascii="Arial" w:cs="Arial" w:eastAsia="Arial" w:hAnsi="Arial"/>
                <w:sz w:val="14"/>
                <w:szCs w:val="14"/>
                <w:color w:val="auto"/>
              </w:rPr>
              <w:t>Debt depreciation (appreciation) (See Notes 5 and 10)</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1,560,376</w:t>
            </w: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(2,137,862)</w:t>
            </w:r>
          </w:p>
        </w:tc>
        <w:tc>
          <w:tcPr>
            <w:tcW w:w="1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3,086,378</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4"/>
                <w:szCs w:val="14"/>
                <w:color w:val="auto"/>
              </w:rPr>
              <w:t>(2,423,726)</w:t>
            </w:r>
          </w:p>
        </w:tc>
        <w:tc>
          <w:tcPr>
            <w:tcW w:w="0" w:type="dxa"/>
            <w:vAlign w:val="bottom"/>
          </w:tcPr>
          <w:p>
            <w:pPr>
              <w:spacing w:after="0"/>
              <w:rPr>
                <w:sz w:val="1"/>
                <w:szCs w:val="1"/>
                <w:color w:val="auto"/>
              </w:rPr>
            </w:pPr>
          </w:p>
        </w:tc>
      </w:tr>
      <w:tr>
        <w:trPr>
          <w:trHeight w:val="155"/>
        </w:trPr>
        <w:tc>
          <w:tcPr>
            <w:tcW w:w="5700" w:type="dxa"/>
            <w:vAlign w:val="bottom"/>
            <w:tcBorders>
              <w:top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b w:val="1"/>
                <w:bCs w:val="1"/>
                <w:color w:val="auto"/>
              </w:rPr>
              <w:t>Net change in unrealized (depreciation) appreciation on investments and debt</w:t>
            </w:r>
          </w:p>
        </w:tc>
        <w:tc>
          <w:tcPr>
            <w:tcW w:w="70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bottom w:val="single" w:sz="8" w:color="auto"/>
            </w:tcBorders>
            <w:shd w:val="clear" w:color="auto" w:fill="CCECFF"/>
          </w:tcPr>
          <w:p>
            <w:pPr>
              <w:spacing w:after="0"/>
              <w:rPr>
                <w:sz w:val="13"/>
                <w:szCs w:val="13"/>
                <w:color w:val="auto"/>
              </w:rPr>
            </w:pPr>
          </w:p>
        </w:tc>
        <w:tc>
          <w:tcPr>
            <w:tcW w:w="8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(12,293,213)</w:t>
            </w:r>
          </w:p>
        </w:tc>
        <w:tc>
          <w:tcPr>
            <w:tcW w:w="22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bottom w:val="single" w:sz="8" w:color="auto"/>
            </w:tcBorders>
            <w:shd w:val="clear" w:color="auto" w:fill="CCECFF"/>
          </w:tcPr>
          <w:p>
            <w:pPr>
              <w:spacing w:after="0"/>
              <w:rPr>
                <w:sz w:val="13"/>
                <w:szCs w:val="13"/>
                <w:color w:val="auto"/>
              </w:rPr>
            </w:pPr>
          </w:p>
        </w:tc>
        <w:tc>
          <w:tcPr>
            <w:tcW w:w="8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(3,829,106)</w:t>
            </w:r>
          </w:p>
        </w:tc>
        <w:tc>
          <w:tcPr>
            <w:tcW w:w="22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86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(47,073,229)</w:t>
            </w:r>
          </w:p>
        </w:tc>
        <w:tc>
          <w:tcPr>
            <w:tcW w:w="22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8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41,408,217</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realized and unrealized gain (loss) from investments and debt</w:t>
            </w:r>
          </w:p>
        </w:tc>
        <w:tc>
          <w:tcPr>
            <w:tcW w:w="700" w:type="dxa"/>
            <w:vAlign w:val="bottom"/>
            <w:tcBorders>
              <w:bottom w:val="single" w:sz="8" w:color="CCEC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5,134,235</w:t>
            </w:r>
          </w:p>
        </w:tc>
        <w:tc>
          <w:tcPr>
            <w:tcW w:w="2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6,318,655</w:t>
            </w:r>
          </w:p>
        </w:tc>
        <w:tc>
          <w:tcPr>
            <w:tcW w:w="220" w:type="dxa"/>
            <w:vAlign w:val="bottom"/>
            <w:tcBorders>
              <w:bottom w:val="single" w:sz="8" w:color="CCEC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(4,118,848)</w:t>
            </w:r>
          </w:p>
        </w:tc>
        <w:tc>
          <w:tcPr>
            <w:tcW w:w="220" w:type="dxa"/>
            <w:vAlign w:val="bottom"/>
            <w:tcBorders>
              <w:bottom w:val="single" w:sz="8" w:color="CCEC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10,617,907</w:t>
            </w:r>
          </w:p>
        </w:tc>
        <w:tc>
          <w:tcPr>
            <w:tcW w:w="10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570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7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16,910,147</w:t>
            </w:r>
          </w:p>
        </w:tc>
        <w:tc>
          <w:tcPr>
            <w:tcW w:w="220" w:type="dxa"/>
            <w:vAlign w:val="bottom"/>
            <w:tcBorders>
              <w:bottom w:val="single" w:sz="8" w:color="CCECFF"/>
            </w:tcBorders>
            <w:shd w:val="clear" w:color="auto" w:fill="CCECFF"/>
          </w:tcPr>
          <w:p>
            <w:pPr>
              <w:spacing w:after="0"/>
              <w:rPr>
                <w:sz w:val="13"/>
                <w:szCs w:val="13"/>
                <w:color w:val="auto"/>
              </w:rPr>
            </w:pPr>
          </w:p>
        </w:tc>
        <w:tc>
          <w:tcPr>
            <w:tcW w:w="220" w:type="dxa"/>
            <w:vAlign w:val="bottom"/>
            <w:tcBorders>
              <w:bottom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18,779,065</w:t>
            </w:r>
          </w:p>
        </w:tc>
        <w:tc>
          <w:tcPr>
            <w:tcW w:w="22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35,240,554</w:t>
            </w:r>
          </w:p>
        </w:tc>
        <w:tc>
          <w:tcPr>
            <w:tcW w:w="22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54,287,861</w:t>
            </w:r>
          </w:p>
        </w:tc>
        <w:tc>
          <w:tcPr>
            <w:tcW w:w="10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4"/>
                <w:szCs w:val="14"/>
                <w:color w:val="auto"/>
              </w:rPr>
              <w:t>Net increase in net assets resulting from operations per common share (See Note 7)</w:t>
            </w:r>
          </w:p>
        </w:tc>
        <w:tc>
          <w:tcPr>
            <w:tcW w:w="82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5700" w:type="dxa"/>
            <w:vAlign w:val="bottom"/>
            <w:tcBorders>
              <w:bottom w:val="single" w:sz="8" w:color="CCECFF"/>
            </w:tcBorders>
            <w:vMerge w:val="continue"/>
          </w:tcPr>
          <w:p>
            <w:pPr>
              <w:spacing w:after="0"/>
              <w:rPr>
                <w:sz w:val="15"/>
                <w:szCs w:val="15"/>
                <w:color w:val="auto"/>
              </w:rPr>
            </w:pPr>
          </w:p>
        </w:tc>
        <w:tc>
          <w:tcPr>
            <w:tcW w:w="700" w:type="dxa"/>
            <w:vAlign w:val="bottom"/>
            <w:tcBorders>
              <w:bottom w:val="single" w:sz="8" w:color="CCECFF"/>
            </w:tcBorders>
          </w:tcPr>
          <w:p>
            <w:pPr>
              <w:spacing w:after="0"/>
              <w:rPr>
                <w:sz w:val="15"/>
                <w:szCs w:val="15"/>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0.24</w:t>
            </w:r>
          </w:p>
        </w:tc>
        <w:tc>
          <w:tcPr>
            <w:tcW w:w="220" w:type="dxa"/>
            <w:vAlign w:val="bottom"/>
            <w:tcBorders>
              <w:bottom w:val="single" w:sz="8" w:color="CCECFF"/>
            </w:tcBorders>
          </w:tcPr>
          <w:p>
            <w:pPr>
              <w:spacing w:after="0"/>
              <w:rPr>
                <w:sz w:val="15"/>
                <w:szCs w:val="15"/>
                <w:color w:val="auto"/>
              </w:rPr>
            </w:pPr>
          </w:p>
        </w:tc>
        <w:tc>
          <w:tcPr>
            <w:tcW w:w="220" w:type="dxa"/>
            <w:vAlign w:val="bottom"/>
            <w:tcBorders>
              <w:top w:val="single" w:sz="8" w:color="auto"/>
              <w:bottom w:val="single" w:sz="8" w:color="auto"/>
            </w:tcBorders>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0.26</w:t>
            </w:r>
          </w:p>
        </w:tc>
        <w:tc>
          <w:tcPr>
            <w:tcW w:w="220" w:type="dxa"/>
            <w:vAlign w:val="bottom"/>
            <w:tcBorders>
              <w:bottom w:val="single" w:sz="8" w:color="CCECFF"/>
            </w:tcBorders>
          </w:tcPr>
          <w:p>
            <w:pPr>
              <w:spacing w:after="0"/>
              <w:rPr>
                <w:sz w:val="15"/>
                <w:szCs w:val="15"/>
                <w:color w:val="auto"/>
              </w:rPr>
            </w:pPr>
          </w:p>
        </w:tc>
        <w:tc>
          <w:tcPr>
            <w:tcW w:w="160" w:type="dxa"/>
            <w:vAlign w:val="bottom"/>
            <w:tcBorders>
              <w:top w:val="single" w:sz="8" w:color="auto"/>
              <w:bottom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0.50</w:t>
            </w:r>
          </w:p>
        </w:tc>
        <w:tc>
          <w:tcPr>
            <w:tcW w:w="220" w:type="dxa"/>
            <w:vAlign w:val="bottom"/>
            <w:tcBorders>
              <w:bottom w:val="single" w:sz="8" w:color="CCECFF"/>
            </w:tcBorders>
          </w:tcPr>
          <w:p>
            <w:pPr>
              <w:spacing w:after="0"/>
              <w:rPr>
                <w:sz w:val="15"/>
                <w:szCs w:val="15"/>
                <w:color w:val="auto"/>
              </w:rPr>
            </w:pPr>
          </w:p>
        </w:tc>
        <w:tc>
          <w:tcPr>
            <w:tcW w:w="200" w:type="dxa"/>
            <w:vAlign w:val="bottom"/>
            <w:tcBorders>
              <w:top w:val="single" w:sz="8" w:color="auto"/>
              <w:bottom w:val="single" w:sz="8" w:color="auto"/>
            </w:tcBorders>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0.77</w:t>
            </w:r>
          </w:p>
        </w:tc>
        <w:tc>
          <w:tcPr>
            <w:tcW w:w="10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570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Net investment income per common share</w:t>
            </w:r>
          </w:p>
        </w:tc>
        <w:tc>
          <w:tcPr>
            <w:tcW w:w="70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0.17</w:t>
            </w:r>
          </w:p>
        </w:tc>
        <w:tc>
          <w:tcPr>
            <w:tcW w:w="220" w:type="dxa"/>
            <w:vAlign w:val="bottom"/>
            <w:tcBorders>
              <w:bottom w:val="single" w:sz="8" w:color="CCECFF"/>
            </w:tcBorders>
            <w:shd w:val="clear" w:color="auto" w:fill="CCECFF"/>
          </w:tcPr>
          <w:p>
            <w:pPr>
              <w:spacing w:after="0"/>
              <w:rPr>
                <w:sz w:val="12"/>
                <w:szCs w:val="12"/>
                <w:color w:val="auto"/>
              </w:rPr>
            </w:pPr>
          </w:p>
        </w:tc>
        <w:tc>
          <w:tcPr>
            <w:tcW w:w="220" w:type="dxa"/>
            <w:vAlign w:val="bottom"/>
            <w:tcBorders>
              <w:bottom w:val="single" w:sz="8" w:color="auto"/>
            </w:tcBorders>
            <w:shd w:val="clear" w:color="auto" w:fill="CCECFF"/>
          </w:tcPr>
          <w:p>
            <w:pPr>
              <w:jc w:val="right"/>
              <w:ind w:right="68"/>
              <w:spacing w:after="0" w:line="143" w:lineRule="exact"/>
              <w:rPr>
                <w:sz w:val="20"/>
                <w:szCs w:val="20"/>
                <w:color w:val="auto"/>
              </w:rPr>
            </w:pPr>
            <w:r>
              <w:rPr>
                <w:rFonts w:ascii="Arial" w:cs="Arial" w:eastAsia="Arial" w:hAnsi="Arial"/>
                <w:sz w:val="14"/>
                <w:szCs w:val="14"/>
                <w:color w:val="auto"/>
                <w:w w:val="76"/>
              </w:rPr>
              <w:t>$</w:t>
            </w:r>
          </w:p>
        </w:tc>
        <w:tc>
          <w:tcPr>
            <w:tcW w:w="8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0.18</w:t>
            </w:r>
          </w:p>
        </w:tc>
        <w:tc>
          <w:tcPr>
            <w:tcW w:w="220" w:type="dxa"/>
            <w:vAlign w:val="bottom"/>
            <w:tcBorders>
              <w:bottom w:val="single" w:sz="8" w:color="CCECFF"/>
            </w:tcBorders>
            <w:shd w:val="clear" w:color="auto" w:fill="CCECFF"/>
          </w:tcPr>
          <w:p>
            <w:pPr>
              <w:spacing w:after="0"/>
              <w:rPr>
                <w:sz w:val="12"/>
                <w:szCs w:val="12"/>
                <w:color w:val="auto"/>
              </w:rPr>
            </w:pPr>
          </w:p>
        </w:tc>
        <w:tc>
          <w:tcPr>
            <w:tcW w:w="160" w:type="dxa"/>
            <w:vAlign w:val="bottom"/>
            <w:tcBorders>
              <w:bottom w:val="single" w:sz="8" w:color="auto"/>
            </w:tcBorders>
            <w:shd w:val="clear" w:color="auto" w:fill="CCECFF"/>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0.55</w:t>
            </w:r>
          </w:p>
        </w:tc>
        <w:tc>
          <w:tcPr>
            <w:tcW w:w="220" w:type="dxa"/>
            <w:vAlign w:val="bottom"/>
            <w:tcBorders>
              <w:bottom w:val="single" w:sz="8" w:color="CCECFF"/>
            </w:tcBorders>
            <w:shd w:val="clear" w:color="auto" w:fill="CCECFF"/>
          </w:tcPr>
          <w:p>
            <w:pPr>
              <w:spacing w:after="0"/>
              <w:rPr>
                <w:sz w:val="12"/>
                <w:szCs w:val="12"/>
                <w:color w:val="auto"/>
              </w:rPr>
            </w:pPr>
          </w:p>
        </w:tc>
        <w:tc>
          <w:tcPr>
            <w:tcW w:w="200" w:type="dxa"/>
            <w:vAlign w:val="bottom"/>
            <w:tcBorders>
              <w:bottom w:val="single" w:sz="8" w:color="auto"/>
            </w:tcBorders>
            <w:shd w:val="clear" w:color="auto" w:fill="CCECFF"/>
          </w:tcPr>
          <w:p>
            <w:pPr>
              <w:jc w:val="right"/>
              <w:ind w:right="48"/>
              <w:spacing w:after="0" w:line="143"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0.61</w:t>
            </w:r>
          </w:p>
        </w:tc>
        <w:tc>
          <w:tcPr>
            <w:tcW w:w="10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CHANGES IN NET ASSETS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investment income</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39,359,402</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43,669,954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realized gain (loss) on investments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42,954,381</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(30,790,310)</w:t>
            </w: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Net change in unrealized (depreciation) appreciation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(50,159,607)</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43,831,943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Net change in unrealized depreciation (appreciation) on debt</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3,086,378</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(2,423,726)</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260"/>
              <w:spacing w:after="0" w:line="155" w:lineRule="exact"/>
              <w:rPr>
                <w:sz w:val="20"/>
                <w:szCs w:val="20"/>
                <w:color w:val="auto"/>
              </w:rPr>
            </w:pPr>
            <w:r>
              <w:rPr>
                <w:rFonts w:ascii="Arial" w:cs="Arial" w:eastAsia="Arial" w:hAnsi="Arial"/>
                <w:sz w:val="14"/>
                <w:szCs w:val="14"/>
                <w:b w:val="1"/>
                <w:bCs w:val="1"/>
                <w:color w:val="auto"/>
              </w:rPr>
              <w:t>Net increase in net assets resulting from operations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35,240,554</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54,287,861</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Distributions to stockholders:</w:t>
            </w: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(38,179,755)</w:t>
            </w:r>
          </w:p>
        </w:tc>
        <w:tc>
          <w:tcPr>
            <w:tcW w:w="280" w:type="dxa"/>
            <w:vAlign w:val="bottom"/>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spacing w:after="0"/>
              <w:rPr>
                <w:sz w:val="13"/>
                <w:szCs w:val="13"/>
                <w:color w:val="auto"/>
              </w:rPr>
            </w:pP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(45,478,935)</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tcPr>
          <w:p>
            <w:pPr>
              <w:spacing w:after="0" w:line="155" w:lineRule="exact"/>
              <w:rPr>
                <w:sz w:val="20"/>
                <w:szCs w:val="20"/>
                <w:color w:val="auto"/>
              </w:rPr>
            </w:pPr>
            <w:r>
              <w:rPr>
                <w:rFonts w:ascii="Arial" w:cs="Arial" w:eastAsia="Arial" w:hAnsi="Arial"/>
                <w:sz w:val="14"/>
                <w:szCs w:val="14"/>
                <w:b w:val="1"/>
                <w:bCs w:val="1"/>
                <w:color w:val="auto"/>
              </w:rPr>
              <w:t>Capital transactions:</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260"/>
              <w:spacing w:after="0"/>
              <w:rPr>
                <w:sz w:val="20"/>
                <w:szCs w:val="20"/>
                <w:color w:val="auto"/>
              </w:rPr>
            </w:pPr>
            <w:r>
              <w:rPr>
                <w:rFonts w:ascii="Arial" w:cs="Arial" w:eastAsia="Arial" w:hAnsi="Arial"/>
                <w:sz w:val="14"/>
                <w:szCs w:val="14"/>
                <w:color w:val="auto"/>
              </w:rPr>
              <w:t>Repurchase of common stock (See Note 12)</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(7,776,586)</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Net (decrease) increase in net assets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(10,715,787)</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8,808,926</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assets: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Beginning of period</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646,808,471</w:t>
            </w:r>
          </w:p>
        </w:tc>
        <w:tc>
          <w:tcPr>
            <w:tcW w:w="280" w:type="dxa"/>
            <w:vAlign w:val="bottom"/>
            <w:tcBorders>
              <w:bottom w:val="single" w:sz="8" w:color="CCEC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643,366,856</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shd w:val="clear" w:color="auto" w:fill="CCECFF"/>
          </w:tcPr>
          <w:p>
            <w:pPr>
              <w:ind w:left="260"/>
              <w:spacing w:after="0" w:line="155" w:lineRule="exact"/>
              <w:rPr>
                <w:sz w:val="20"/>
                <w:szCs w:val="20"/>
                <w:color w:val="auto"/>
              </w:rPr>
            </w:pPr>
            <w:r>
              <w:rPr>
                <w:rFonts w:ascii="Arial" w:cs="Arial" w:eastAsia="Arial" w:hAnsi="Arial"/>
                <w:sz w:val="14"/>
                <w:szCs w:val="14"/>
                <w:color w:val="auto"/>
              </w:rPr>
              <w:t>End of period</w:t>
            </w: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636,092,684</w:t>
            </w:r>
          </w:p>
        </w:tc>
        <w:tc>
          <w:tcPr>
            <w:tcW w:w="280" w:type="dxa"/>
            <w:vAlign w:val="bottom"/>
            <w:tcBorders>
              <w:bottom w:val="single" w:sz="8" w:color="CCECFF"/>
            </w:tcBorders>
            <w:shd w:val="clear" w:color="auto" w:fill="CCECFF"/>
          </w:tcPr>
          <w:p>
            <w:pPr>
              <w:spacing w:after="0"/>
              <w:rPr>
                <w:sz w:val="13"/>
                <w:szCs w:val="13"/>
                <w:color w:val="auto"/>
              </w:rPr>
            </w:pPr>
          </w:p>
        </w:tc>
        <w:tc>
          <w:tcPr>
            <w:tcW w:w="360" w:type="dxa"/>
            <w:vAlign w:val="bottom"/>
            <w:tcBorders>
              <w:bottom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652,175,782</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Undistributed net investment income, at end of period</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720" w:type="dxa"/>
            <w:vAlign w:val="bottom"/>
            <w:tcBorders>
              <w:bottom w:val="single" w:sz="8" w:color="CCECFF"/>
            </w:tcBorders>
            <w:vMerge w:val="continue"/>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4,512,842</w:t>
            </w:r>
          </w:p>
        </w:tc>
        <w:tc>
          <w:tcPr>
            <w:tcW w:w="280" w:type="dxa"/>
            <w:vAlign w:val="bottom"/>
            <w:tcBorders>
              <w:bottom w:val="single" w:sz="8" w:color="CCECFF"/>
            </w:tcBorders>
          </w:tcPr>
          <w:p>
            <w:pPr>
              <w:spacing w:after="0"/>
              <w:rPr>
                <w:sz w:val="15"/>
                <w:szCs w:val="15"/>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1,310,399</w:t>
            </w:r>
          </w:p>
        </w:tc>
        <w:tc>
          <w:tcPr>
            <w:tcW w:w="120" w:type="dxa"/>
            <w:vAlign w:val="bottom"/>
            <w:tcBorders>
              <w:bottom w:val="single" w:sz="8" w:color="CCECFF"/>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Capital share activity:</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260"/>
              <w:spacing w:after="0"/>
              <w:rPr>
                <w:sz w:val="20"/>
                <w:szCs w:val="20"/>
                <w:color w:val="auto"/>
              </w:rPr>
            </w:pPr>
            <w:r>
              <w:rPr>
                <w:rFonts w:ascii="Arial" w:cs="Arial" w:eastAsia="Arial" w:hAnsi="Arial"/>
                <w:sz w:val="14"/>
                <w:szCs w:val="14"/>
                <w:color w:val="auto"/>
              </w:rPr>
              <w:t>Shares of common stock repurchased</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(1,072,759)</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CASH FLOWS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Borders>
              <w:top w:val="single" w:sz="8" w:color="auto"/>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500"/>
              <w:spacing w:after="0"/>
              <w:rPr>
                <w:sz w:val="20"/>
                <w:szCs w:val="20"/>
                <w:color w:val="auto"/>
              </w:rPr>
            </w:pPr>
            <w:r>
              <w:rPr>
                <w:rFonts w:ascii="Arial" w:cs="Arial" w:eastAsia="Arial" w:hAnsi="Arial"/>
                <w:sz w:val="14"/>
                <w:szCs w:val="14"/>
                <w:color w:val="auto"/>
              </w:rPr>
              <w:t>Net increase in net assets resulting from operations</w:t>
            </w: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35,240,554</w:t>
            </w:r>
          </w:p>
        </w:tc>
        <w:tc>
          <w:tcPr>
            <w:tcW w:w="280" w:type="dxa"/>
            <w:vAlign w:val="bottom"/>
          </w:tcPr>
          <w:p>
            <w:pPr>
              <w:spacing w:after="0"/>
              <w:rPr>
                <w:sz w:val="14"/>
                <w:szCs w:val="14"/>
                <w:color w:val="auto"/>
              </w:rPr>
            </w:pPr>
          </w:p>
        </w:tc>
        <w:tc>
          <w:tcPr>
            <w:tcW w:w="360" w:type="dxa"/>
            <w:vAlign w:val="bottom"/>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spacing w:after="0"/>
              <w:rPr>
                <w:sz w:val="20"/>
                <w:szCs w:val="20"/>
                <w:color w:val="auto"/>
              </w:rPr>
            </w:pPr>
            <w:r>
              <w:rPr>
                <w:rFonts w:ascii="Arial" w:cs="Arial" w:eastAsia="Arial" w:hAnsi="Arial"/>
                <w:sz w:val="14"/>
                <w:szCs w:val="14"/>
                <w:color w:val="auto"/>
              </w:rPr>
              <w:t>54,287,861</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ind w:left="500"/>
              <w:spacing w:after="0" w:line="143" w:lineRule="exact"/>
              <w:rPr>
                <w:sz w:val="20"/>
                <w:szCs w:val="20"/>
                <w:color w:val="auto"/>
              </w:rPr>
            </w:pPr>
            <w:r>
              <w:rPr>
                <w:rFonts w:ascii="Arial" w:cs="Arial" w:eastAsia="Arial" w:hAnsi="Arial"/>
                <w:sz w:val="14"/>
                <w:szCs w:val="14"/>
                <w:color w:val="auto"/>
              </w:rPr>
              <w:t>Adjustments to reconcile net increase in net assets resulting from</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720" w:type="dxa"/>
            <w:vAlign w:val="bottom"/>
            <w:shd w:val="clear" w:color="auto" w:fill="CCECFF"/>
          </w:tcPr>
          <w:p>
            <w:pPr>
              <w:ind w:left="600"/>
              <w:spacing w:after="0"/>
              <w:rPr>
                <w:sz w:val="20"/>
                <w:szCs w:val="20"/>
                <w:color w:val="auto"/>
              </w:rPr>
            </w:pPr>
            <w:r>
              <w:rPr>
                <w:rFonts w:ascii="Arial" w:cs="Arial" w:eastAsia="Arial" w:hAnsi="Arial"/>
                <w:sz w:val="14"/>
                <w:szCs w:val="14"/>
                <w:color w:val="auto"/>
              </w:rPr>
              <w:t>operations to net cash provided by operating activities: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change in net unrealized depreciation (appreciation) on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50,159,607</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(43,831,943)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change in unrealized (depreciation) appreciation on debt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(3,086,378)</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2,423,726</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Net realized (gain) loss on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(42,954,381)</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30,790,310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Net accretion of discount and amortization of premium</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(1,684,494)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(2,327,068)</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Purchases of investments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(423,297,254)</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(378,816,543)</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Payment-in-kind income</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(9,698,374)</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(17,060,002)</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Proceeds from dispositions of investments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556,356,780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465,353,962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Amortization of deferred financing costs</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1,597,386</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512,619</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in interest receivable</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(2,060,103)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(866,582)</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in receivable for investments sold</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(12,478,824)</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(increase) in prepaid expenses and other assets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2,930,530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(2,535,065)</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Increase in payable for investments purchased</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13,686,000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Decrease in interest payable on debt</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(1,875,143)</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(1,557,797)</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 base management fee payable, net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(1,072,567)</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(167,046)</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Increase (decrease) in performance-based incentive fee payable, net</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227,835</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(1,724,585)</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(Decrease) increase in accrued other expenses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(787,676)</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174,591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720" w:type="dxa"/>
            <w:vAlign w:val="bottom"/>
            <w:tcBorders>
              <w:bottom w:val="single" w:sz="8" w:color="CCECFF"/>
            </w:tcBorders>
          </w:tcPr>
          <w:p>
            <w:pPr>
              <w:ind w:left="1480"/>
              <w:spacing w:after="0" w:line="155" w:lineRule="exact"/>
              <w:rPr>
                <w:sz w:val="20"/>
                <w:szCs w:val="20"/>
                <w:color w:val="auto"/>
              </w:rPr>
            </w:pPr>
            <w:r>
              <w:rPr>
                <w:rFonts w:ascii="Arial" w:cs="Arial" w:eastAsia="Arial" w:hAnsi="Arial"/>
                <w:sz w:val="14"/>
                <w:szCs w:val="14"/>
                <w:color w:val="auto"/>
              </w:rPr>
              <w:t>Net cash provided by operating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173,682,322</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92,177,614</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Repurchase of common stock</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(7,776,586)</w:t>
            </w:r>
          </w:p>
        </w:tc>
        <w:tc>
          <w:tcPr>
            <w:tcW w:w="36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Capitalized borrowing costs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(1,721,750)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(666,875)</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Distributions paid to stockholders</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(38,372,850)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(52,585,018)</w:t>
            </w: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2025 Notes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(71,250,000)</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Borrowings under SBA debentures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71,000,000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27,500,000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SBA debentures</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(90,000,000)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7720" w:type="dxa"/>
            <w:vAlign w:val="bottom"/>
          </w:tcPr>
          <w:p>
            <w:pPr>
              <w:ind w:left="1000"/>
              <w:spacing w:after="0"/>
              <w:rPr>
                <w:sz w:val="20"/>
                <w:szCs w:val="20"/>
                <w:color w:val="auto"/>
              </w:rPr>
            </w:pPr>
            <w:r>
              <w:rPr>
                <w:rFonts w:ascii="Arial" w:cs="Arial" w:eastAsia="Arial" w:hAnsi="Arial"/>
                <w:sz w:val="14"/>
                <w:szCs w:val="14"/>
                <w:color w:val="auto"/>
              </w:rPr>
              <w:t>Borrowings under Credit Facility</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132,520,000</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363,760,000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ind w:left="1000"/>
              <w:spacing w:after="0"/>
              <w:rPr>
                <w:sz w:val="20"/>
                <w:szCs w:val="20"/>
                <w:color w:val="auto"/>
              </w:rPr>
            </w:pPr>
            <w:r>
              <w:rPr>
                <w:rFonts w:ascii="Arial" w:cs="Arial" w:eastAsia="Arial" w:hAnsi="Arial"/>
                <w:sz w:val="14"/>
                <w:szCs w:val="14"/>
                <w:color w:val="auto"/>
              </w:rPr>
              <w:t>Repayments under Credit Facility</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(170,392,900)</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(331,994,400)</w:t>
            </w:r>
          </w:p>
        </w:tc>
        <w:tc>
          <w:tcPr>
            <w:tcW w:w="0" w:type="dxa"/>
            <w:vAlign w:val="bottom"/>
          </w:tcPr>
          <w:p>
            <w:pPr>
              <w:spacing w:after="0"/>
              <w:rPr>
                <w:sz w:val="1"/>
                <w:szCs w:val="1"/>
                <w:color w:val="auto"/>
              </w:rPr>
            </w:pPr>
          </w:p>
        </w:tc>
      </w:tr>
      <w:tr>
        <w:trPr>
          <w:trHeight w:val="155"/>
        </w:trPr>
        <w:tc>
          <w:tcPr>
            <w:tcW w:w="7720" w:type="dxa"/>
            <w:vAlign w:val="bottom"/>
            <w:tcBorders>
              <w:bottom w:val="single" w:sz="8" w:color="CCECFF"/>
            </w:tcBorders>
          </w:tcPr>
          <w:p>
            <w:pPr>
              <w:ind w:left="1480"/>
              <w:spacing w:after="0" w:line="155" w:lineRule="exact"/>
              <w:rPr>
                <w:sz w:val="20"/>
                <w:szCs w:val="20"/>
                <w:color w:val="auto"/>
              </w:rPr>
            </w:pPr>
            <w:r>
              <w:rPr>
                <w:rFonts w:ascii="Arial" w:cs="Arial" w:eastAsia="Arial" w:hAnsi="Arial"/>
                <w:sz w:val="14"/>
                <w:szCs w:val="14"/>
                <w:color w:val="auto"/>
              </w:rPr>
              <w:t>Net cash used in by financing activities</w:t>
            </w: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(104,744,086)</w:t>
            </w:r>
          </w:p>
        </w:tc>
        <w:tc>
          <w:tcPr>
            <w:tcW w:w="280" w:type="dxa"/>
            <w:vAlign w:val="bottom"/>
            <w:tcBorders>
              <w:bottom w:val="single" w:sz="8" w:color="CCECFF"/>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(65,236,293)</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72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Net increase in cash and cash equivalents</w:t>
            </w: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68,938,236</w:t>
            </w:r>
          </w:p>
        </w:tc>
        <w:tc>
          <w:tcPr>
            <w:tcW w:w="280" w:type="dxa"/>
            <w:vAlign w:val="bottom"/>
            <w:shd w:val="clear" w:color="auto" w:fill="CCECFF"/>
          </w:tcPr>
          <w:p>
            <w:pPr>
              <w:spacing w:after="0"/>
              <w:rPr>
                <w:sz w:val="13"/>
                <w:szCs w:val="13"/>
                <w:color w:val="auto"/>
              </w:rPr>
            </w:pPr>
          </w:p>
        </w:tc>
        <w:tc>
          <w:tcPr>
            <w:tcW w:w="360" w:type="dxa"/>
            <w:vAlign w:val="bottom"/>
            <w:shd w:val="clear" w:color="auto" w:fill="CCECFF"/>
          </w:tcPr>
          <w:p>
            <w:pPr>
              <w:spacing w:after="0"/>
              <w:rPr>
                <w:sz w:val="13"/>
                <w:szCs w:val="13"/>
                <w:color w:val="auto"/>
              </w:rPr>
            </w:pPr>
          </w:p>
        </w:tc>
        <w:tc>
          <w:tcPr>
            <w:tcW w:w="12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26,941,321</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tcPr>
          <w:p>
            <w:pPr>
              <w:spacing w:after="0"/>
              <w:rPr>
                <w:sz w:val="20"/>
                <w:szCs w:val="20"/>
                <w:color w:val="auto"/>
              </w:rPr>
            </w:pPr>
            <w:r>
              <w:rPr>
                <w:rFonts w:ascii="Arial" w:cs="Arial" w:eastAsia="Arial" w:hAnsi="Arial"/>
                <w:sz w:val="14"/>
                <w:szCs w:val="14"/>
                <w:color w:val="auto"/>
              </w:rPr>
              <w:t>Effect of exchange rate changes on cash</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(49,213)</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646,698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shd w:val="clear" w:color="auto" w:fill="CCECFF"/>
          </w:tcPr>
          <w:p>
            <w:pPr>
              <w:spacing w:after="0"/>
              <w:rPr>
                <w:sz w:val="20"/>
                <w:szCs w:val="20"/>
                <w:color w:val="auto"/>
              </w:rPr>
            </w:pPr>
            <w:r>
              <w:rPr>
                <w:rFonts w:ascii="Arial" w:cs="Arial" w:eastAsia="Arial" w:hAnsi="Arial"/>
                <w:sz w:val="14"/>
                <w:szCs w:val="14"/>
                <w:b w:val="1"/>
                <w:bCs w:val="1"/>
                <w:color w:val="auto"/>
              </w:rPr>
              <w:t>Cash and cash equivalents, beginning of period</w:t>
            </w: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38,202,068</w:t>
            </w:r>
          </w:p>
        </w:tc>
        <w:tc>
          <w:tcPr>
            <w:tcW w:w="280" w:type="dxa"/>
            <w:vAlign w:val="bottom"/>
            <w:shd w:val="clear" w:color="auto" w:fill="CCECFF"/>
          </w:tcPr>
          <w:p>
            <w:pPr>
              <w:spacing w:after="0"/>
              <w:rPr>
                <w:sz w:val="14"/>
                <w:szCs w:val="14"/>
                <w:color w:val="auto"/>
              </w:rPr>
            </w:pPr>
          </w:p>
        </w:tc>
        <w:tc>
          <w:tcPr>
            <w:tcW w:w="360" w:type="dxa"/>
            <w:vAlign w:val="bottom"/>
            <w:tcBorders>
              <w:bottom w:val="single" w:sz="8" w:color="auto"/>
            </w:tcBorders>
            <w:shd w:val="clear" w:color="auto" w:fill="CCECFF"/>
          </w:tcPr>
          <w:p>
            <w:pPr>
              <w:spacing w:after="0"/>
              <w:rPr>
                <w:sz w:val="14"/>
                <w:szCs w:val="14"/>
                <w:color w:val="auto"/>
              </w:rPr>
            </w:pPr>
          </w:p>
        </w:tc>
        <w:tc>
          <w:tcPr>
            <w:tcW w:w="12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75,608,113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772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b w:val="1"/>
                <w:bCs w:val="1"/>
                <w:color w:val="auto"/>
              </w:rPr>
              <w:t>Cash and cash equivalents, end of period</w:t>
            </w: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107,091,091</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103,196,132</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shd w:val="clear" w:color="auto" w:fill="CCECFF"/>
          </w:tcPr>
          <w:p>
            <w:pPr>
              <w:spacing w:after="0" w:line="143"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36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7720" w:type="dxa"/>
            <w:vAlign w:val="bottom"/>
            <w:tcBorders>
              <w:bottom w:val="single" w:sz="8" w:color="CCECFF"/>
            </w:tcBorders>
          </w:tcPr>
          <w:p>
            <w:pPr>
              <w:ind w:left="260"/>
              <w:spacing w:after="0"/>
              <w:rPr>
                <w:sz w:val="20"/>
                <w:szCs w:val="20"/>
                <w:color w:val="auto"/>
              </w:rPr>
            </w:pPr>
            <w:r>
              <w:rPr>
                <w:rFonts w:ascii="Arial" w:cs="Arial" w:eastAsia="Arial" w:hAnsi="Arial"/>
                <w:sz w:val="14"/>
                <w:szCs w:val="14"/>
                <w:color w:val="auto"/>
              </w:rPr>
              <w:t>Interest paid</w:t>
            </w: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17,641,268</w:t>
            </w:r>
          </w:p>
        </w:tc>
        <w:tc>
          <w:tcPr>
            <w:tcW w:w="280" w:type="dxa"/>
            <w:vAlign w:val="bottom"/>
            <w:tcBorders>
              <w:bottom w:val="single" w:sz="8" w:color="CCECFF"/>
            </w:tcBorders>
          </w:tcPr>
          <w:p>
            <w:pPr>
              <w:spacing w:after="0"/>
              <w:rPr>
                <w:sz w:val="17"/>
                <w:szCs w:val="17"/>
                <w:color w:val="auto"/>
              </w:rPr>
            </w:pPr>
          </w:p>
        </w:tc>
        <w:tc>
          <w:tcPr>
            <w:tcW w:w="36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21,683,789</w:t>
            </w:r>
          </w:p>
        </w:tc>
        <w:tc>
          <w:tcPr>
            <w:tcW w:w="1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7720" w:type="dxa"/>
            <w:vAlign w:val="bottom"/>
            <w:tcBorders>
              <w:bottom w:val="single" w:sz="8" w:color="CCECFF"/>
            </w:tcBorders>
            <w:shd w:val="clear" w:color="auto" w:fill="CCECFF"/>
          </w:tcPr>
          <w:p>
            <w:pPr>
              <w:ind w:left="260"/>
              <w:spacing w:after="0" w:line="143" w:lineRule="exact"/>
              <w:rPr>
                <w:sz w:val="20"/>
                <w:szCs w:val="20"/>
                <w:color w:val="auto"/>
              </w:rPr>
            </w:pPr>
            <w:r>
              <w:rPr>
                <w:rFonts w:ascii="Arial" w:cs="Arial" w:eastAsia="Arial" w:hAnsi="Arial"/>
                <w:sz w:val="14"/>
                <w:szCs w:val="14"/>
                <w:color w:val="auto"/>
              </w:rPr>
              <w:t>Taxes paid</w:t>
            </w: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322,693</w:t>
            </w:r>
          </w:p>
        </w:tc>
        <w:tc>
          <w:tcPr>
            <w:tcW w:w="280" w:type="dxa"/>
            <w:vAlign w:val="bottom"/>
            <w:tcBorders>
              <w:bottom w:val="single" w:sz="8" w:color="CCECFF"/>
            </w:tcBorders>
            <w:shd w:val="clear" w:color="auto" w:fill="CCECFF"/>
          </w:tcPr>
          <w:p>
            <w:pPr>
              <w:spacing w:after="0"/>
              <w:rPr>
                <w:sz w:val="12"/>
                <w:szCs w:val="12"/>
                <w:color w:val="auto"/>
              </w:rPr>
            </w:pPr>
          </w:p>
        </w:tc>
        <w:tc>
          <w:tcPr>
            <w:tcW w:w="360" w:type="dxa"/>
            <w:vAlign w:val="bottom"/>
            <w:tcBorders>
              <w:bottom w:val="single" w:sz="8" w:color="auto"/>
            </w:tcBorders>
            <w:shd w:val="clear" w:color="auto" w:fill="CCECFF"/>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1,280,898</w:t>
            </w:r>
          </w:p>
        </w:tc>
        <w:tc>
          <w:tcPr>
            <w:tcW w:w="12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ind w:left="260"/>
              <w:spacing w:after="0"/>
              <w:rPr>
                <w:sz w:val="20"/>
                <w:szCs w:val="20"/>
                <w:color w:val="auto"/>
              </w:rPr>
            </w:pPr>
            <w:r>
              <w:rPr>
                <w:rFonts w:ascii="Arial" w:cs="Arial" w:eastAsia="Arial" w:hAnsi="Arial"/>
                <w:sz w:val="14"/>
                <w:szCs w:val="14"/>
                <w:color w:val="auto"/>
              </w:rPr>
              <w:t>Non-cash exchanges and conversions</w:t>
            </w: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720" w:type="dxa"/>
            <w:vAlign w:val="bottom"/>
            <w:vMerge w:val="continue"/>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31,942,605</w:t>
            </w:r>
          </w:p>
        </w:tc>
        <w:tc>
          <w:tcPr>
            <w:tcW w:w="280" w:type="dxa"/>
            <w:vAlign w:val="bottom"/>
          </w:tcPr>
          <w:p>
            <w:pPr>
              <w:spacing w:after="0"/>
              <w:rPr>
                <w:sz w:val="12"/>
                <w:szCs w:val="12"/>
                <w:color w:val="auto"/>
              </w:rPr>
            </w:pPr>
          </w:p>
        </w:tc>
        <w:tc>
          <w:tcPr>
            <w:tcW w:w="360" w:type="dxa"/>
            <w:vAlign w:val="bottom"/>
            <w:tcBorders>
              <w:bottom w:val="single" w:sz="8" w:color="auto"/>
            </w:tcBorders>
          </w:tcPr>
          <w:p>
            <w:pPr>
              <w:jc w:val="right"/>
              <w:ind w:right="208"/>
              <w:spacing w:after="0" w:line="143" w:lineRule="exact"/>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37,712,296</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2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2920" w:type="dxa"/>
            <w:vAlign w:val="bottom"/>
          </w:tcPr>
          <w:p>
            <w:pPr>
              <w:spacing w:after="0"/>
              <w:rPr>
                <w:sz w:val="11"/>
                <w:szCs w:val="11"/>
                <w:color w:val="auto"/>
              </w:rPr>
            </w:pPr>
          </w:p>
        </w:tc>
        <w:tc>
          <w:tcPr>
            <w:tcW w:w="9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Maturity /</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Current</w:t>
            </w: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29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Expiration</w:t>
            </w:r>
          </w:p>
        </w:tc>
        <w:tc>
          <w:tcPr>
            <w:tcW w:w="25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2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Shares</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52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Companies—125.9% </w:t>
            </w:r>
            <w:r>
              <w:rPr>
                <w:rFonts w:ascii="Arial" w:cs="Arial" w:eastAsia="Arial" w:hAnsi="Arial"/>
                <w:sz w:val="9"/>
                <w:szCs w:val="9"/>
                <w:b w:val="1"/>
                <w:bCs w:val="1"/>
                <w:color w:val="auto"/>
              </w:rPr>
              <w:t>(1), (2)</w:t>
            </w: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b w:val="1"/>
                <w:bCs w:val="1"/>
                <w:color w:val="auto"/>
              </w:rPr>
              <w:t>First Lien Secured Debt—52.9%</w:t>
            </w:r>
          </w:p>
        </w:tc>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Allied America,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08/08/2022</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9.34%</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21,489,783</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21,152,064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  21,597,231</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08/08/2022</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Bazaarvoice,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02/01/2024</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10.09%</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14,962,500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14,818,609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14,812,875</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Bottom Line Systems, LLC</w:t>
            </w:r>
          </w:p>
        </w:tc>
        <w:tc>
          <w:tcPr>
            <w:tcW w:w="900" w:type="dxa"/>
            <w:vAlign w:val="bottom"/>
          </w:tcPr>
          <w:p>
            <w:pPr>
              <w:ind w:left="120"/>
              <w:spacing w:after="0"/>
              <w:rPr>
                <w:sz w:val="20"/>
                <w:szCs w:val="20"/>
                <w:color w:val="auto"/>
              </w:rPr>
            </w:pPr>
            <w:r>
              <w:rPr>
                <w:rFonts w:ascii="Arial" w:cs="Arial" w:eastAsia="Arial" w:hAnsi="Arial"/>
                <w:sz w:val="12"/>
                <w:szCs w:val="12"/>
                <w:color w:val="auto"/>
              </w:rPr>
              <w:t>02/13/2023</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9.59%</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tcPr>
          <w:p>
            <w:pPr>
              <w:jc w:val="right"/>
              <w:spacing w:after="0"/>
              <w:rPr>
                <w:sz w:val="20"/>
                <w:szCs w:val="20"/>
                <w:color w:val="auto"/>
              </w:rPr>
            </w:pPr>
            <w:r>
              <w:rPr>
                <w:rFonts w:ascii="Arial" w:cs="Arial" w:eastAsia="Arial" w:hAnsi="Arial"/>
                <w:sz w:val="12"/>
                <w:szCs w:val="12"/>
                <w:color w:val="auto"/>
              </w:rPr>
              <w:t>19,583,330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19,337,572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19,583,330</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Broder Bros., Co.</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12/02/2022</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10.31%</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31,838,384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31,838,384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31,838,384</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Cano Health, LLC</w:t>
            </w:r>
          </w:p>
        </w:tc>
        <w:tc>
          <w:tcPr>
            <w:tcW w:w="900" w:type="dxa"/>
            <w:vAlign w:val="bottom"/>
          </w:tcPr>
          <w:p>
            <w:pPr>
              <w:ind w:left="120"/>
              <w:spacing w:after="0"/>
              <w:rPr>
                <w:sz w:val="20"/>
                <w:szCs w:val="20"/>
                <w:color w:val="auto"/>
              </w:rPr>
            </w:pPr>
            <w:r>
              <w:rPr>
                <w:rFonts w:ascii="Arial" w:cs="Arial" w:eastAsia="Arial" w:hAnsi="Arial"/>
                <w:sz w:val="12"/>
                <w:szCs w:val="12"/>
                <w:color w:val="auto"/>
              </w:rPr>
              <w:t>12/23/2021</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10.49%</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Pr>
          <w:p>
            <w:pPr>
              <w:jc w:val="right"/>
              <w:spacing w:after="0"/>
              <w:rPr>
                <w:sz w:val="20"/>
                <w:szCs w:val="20"/>
                <w:color w:val="auto"/>
              </w:rPr>
            </w:pPr>
            <w:r>
              <w:rPr>
                <w:rFonts w:ascii="Arial" w:cs="Arial" w:eastAsia="Arial" w:hAnsi="Arial"/>
                <w:sz w:val="12"/>
                <w:szCs w:val="12"/>
                <w:color w:val="auto"/>
              </w:rPr>
              <w:t>24,973,016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24,443,469</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24,973,016</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Cano Health, LLC (Revolver)</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09/21/2018</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10.51%</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1,305,000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1,305,000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1,305,000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Cano Health, LLC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09/21/2018</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1,845,000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DermaRite Industries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03/03/2022</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9.09%</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L+700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9,875,000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9,756,920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9,719,077</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Deva Holdings, Inc.</w:t>
            </w:r>
          </w:p>
        </w:tc>
        <w:tc>
          <w:tcPr>
            <w:tcW w:w="900" w:type="dxa"/>
            <w:vAlign w:val="bottom"/>
          </w:tcPr>
          <w:p>
            <w:pPr>
              <w:ind w:left="120"/>
              <w:spacing w:after="0"/>
              <w:rPr>
                <w:sz w:val="20"/>
                <w:szCs w:val="20"/>
                <w:color w:val="auto"/>
              </w:rPr>
            </w:pPr>
            <w:r>
              <w:rPr>
                <w:rFonts w:ascii="Arial" w:cs="Arial" w:eastAsia="Arial" w:hAnsi="Arial"/>
                <w:sz w:val="12"/>
                <w:szCs w:val="12"/>
                <w:color w:val="auto"/>
              </w:rPr>
              <w:t>10/31/2023</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8.34%</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tcPr>
          <w:p>
            <w:pPr>
              <w:jc w:val="right"/>
              <w:spacing w:after="0"/>
              <w:rPr>
                <w:sz w:val="20"/>
                <w:szCs w:val="20"/>
                <w:color w:val="auto"/>
              </w:rPr>
            </w:pPr>
            <w:r>
              <w:rPr>
                <w:rFonts w:ascii="Arial" w:cs="Arial" w:eastAsia="Arial" w:hAnsi="Arial"/>
                <w:sz w:val="12"/>
                <w:szCs w:val="12"/>
                <w:color w:val="auto"/>
              </w:rPr>
              <w:t>4,975,000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4,885,570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4,975,000</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Deva Holdings, Inc. </w:t>
            </w:r>
            <w:r>
              <w:rPr>
                <w:rFonts w:ascii="Arial" w:cs="Arial" w:eastAsia="Arial" w:hAnsi="Arial"/>
                <w:sz w:val="9"/>
                <w:szCs w:val="9"/>
                <w:color w:val="auto"/>
              </w:rPr>
              <w:t>(7)</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10/31/2022</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385,000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(11)</w:t>
            </w:r>
          </w:p>
        </w:tc>
        <w:tc>
          <w:tcPr>
            <w:tcW w:w="900" w:type="dxa"/>
            <w:vAlign w:val="bottom"/>
          </w:tcPr>
          <w:p>
            <w:pPr>
              <w:ind w:left="120"/>
              <w:spacing w:after="0"/>
              <w:rPr>
                <w:sz w:val="20"/>
                <w:szCs w:val="20"/>
                <w:color w:val="auto"/>
              </w:rPr>
            </w:pPr>
            <w:r>
              <w:rPr>
                <w:rFonts w:ascii="Arial" w:cs="Arial" w:eastAsia="Arial" w:hAnsi="Arial"/>
                <w:sz w:val="12"/>
                <w:szCs w:val="12"/>
                <w:color w:val="auto"/>
              </w:rPr>
              <w:t>08/29/2022</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9.59%</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L+750</w:t>
            </w:r>
          </w:p>
        </w:tc>
        <w:tc>
          <w:tcPr>
            <w:tcW w:w="660" w:type="dxa"/>
            <w:vAlign w:val="bottom"/>
          </w:tcPr>
          <w:p>
            <w:pPr>
              <w:jc w:val="right"/>
              <w:spacing w:after="0"/>
              <w:rPr>
                <w:sz w:val="20"/>
                <w:szCs w:val="20"/>
                <w:color w:val="auto"/>
              </w:rPr>
            </w:pPr>
            <w:r>
              <w:rPr>
                <w:rFonts w:ascii="Arial" w:cs="Arial" w:eastAsia="Arial" w:hAnsi="Arial"/>
                <w:sz w:val="12"/>
                <w:szCs w:val="12"/>
                <w:color w:val="auto"/>
              </w:rPr>
              <w:t>19,850,000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19,507,541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19,850,000</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(7), (11)</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w w:val="98"/>
              </w:rPr>
              <w:t xml:space="preserve">eCommission Financial Services, Inc. (Revolver) </w:t>
            </w:r>
            <w:r>
              <w:rPr>
                <w:rFonts w:ascii="Arial" w:cs="Arial" w:eastAsia="Arial" w:hAnsi="Arial"/>
                <w:sz w:val="9"/>
                <w:szCs w:val="9"/>
                <w:color w:val="auto"/>
                <w:w w:val="98"/>
              </w:rPr>
              <w:t>(7), (11)</w:t>
            </w:r>
          </w:p>
        </w:tc>
        <w:tc>
          <w:tcPr>
            <w:tcW w:w="900" w:type="dxa"/>
            <w:vAlign w:val="bottom"/>
          </w:tcPr>
          <w:p>
            <w:pPr>
              <w:ind w:left="120"/>
              <w:spacing w:after="0"/>
              <w:rPr>
                <w:sz w:val="20"/>
                <w:szCs w:val="20"/>
                <w:color w:val="auto"/>
              </w:rPr>
            </w:pPr>
            <w:r>
              <w:rPr>
                <w:rFonts w:ascii="Arial" w:cs="Arial" w:eastAsia="Arial" w:hAnsi="Arial"/>
                <w:sz w:val="12"/>
                <w:szCs w:val="12"/>
                <w:color w:val="auto"/>
              </w:rPr>
              <w:t>08/29/2022</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Hollander Sleep Products,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06/09/2023</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10.33%</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19,713,838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19,372,604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19,713,838</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Impact Group, LLC</w:t>
            </w:r>
          </w:p>
        </w:tc>
        <w:tc>
          <w:tcPr>
            <w:tcW w:w="900" w:type="dxa"/>
            <w:vAlign w:val="bottom"/>
          </w:tcPr>
          <w:p>
            <w:pPr>
              <w:ind w:left="120"/>
              <w:spacing w:after="0"/>
              <w:rPr>
                <w:sz w:val="20"/>
                <w:szCs w:val="20"/>
                <w:color w:val="auto"/>
              </w:rPr>
            </w:pPr>
            <w:r>
              <w:rPr>
                <w:rFonts w:ascii="Arial" w:cs="Arial" w:eastAsia="Arial" w:hAnsi="Arial"/>
                <w:sz w:val="12"/>
                <w:szCs w:val="12"/>
                <w:color w:val="auto"/>
              </w:rPr>
              <w:t>06/27/2023</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8.84%</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L+650</w:t>
            </w:r>
          </w:p>
        </w:tc>
        <w:tc>
          <w:tcPr>
            <w:tcW w:w="660" w:type="dxa"/>
            <w:vAlign w:val="bottom"/>
          </w:tcPr>
          <w:p>
            <w:pPr>
              <w:jc w:val="right"/>
              <w:spacing w:after="0"/>
              <w:rPr>
                <w:sz w:val="20"/>
                <w:szCs w:val="20"/>
                <w:color w:val="auto"/>
              </w:rPr>
            </w:pPr>
            <w:r>
              <w:rPr>
                <w:rFonts w:ascii="Arial" w:cs="Arial" w:eastAsia="Arial" w:hAnsi="Arial"/>
                <w:sz w:val="12"/>
                <w:szCs w:val="12"/>
                <w:color w:val="auto"/>
              </w:rPr>
              <w:t>20,427,156</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20,183,705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20,183,437</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Impact Group, LLC </w:t>
            </w:r>
            <w:r>
              <w:rPr>
                <w:rFonts w:ascii="Arial" w:cs="Arial" w:eastAsia="Arial" w:hAnsi="Arial"/>
                <w:sz w:val="9"/>
                <w:szCs w:val="9"/>
                <w:color w:val="auto"/>
              </w:rPr>
              <w:t>(7)</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06/27/2023</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14,572,844</w:t>
            </w: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Juniper Landscaping of Florida, LLC</w:t>
            </w:r>
          </w:p>
        </w:tc>
        <w:tc>
          <w:tcPr>
            <w:tcW w:w="900" w:type="dxa"/>
            <w:vAlign w:val="bottom"/>
          </w:tcPr>
          <w:p>
            <w:pPr>
              <w:ind w:left="120"/>
              <w:spacing w:after="0"/>
              <w:rPr>
                <w:sz w:val="20"/>
                <w:szCs w:val="20"/>
                <w:color w:val="auto"/>
              </w:rPr>
            </w:pPr>
            <w:r>
              <w:rPr>
                <w:rFonts w:ascii="Arial" w:cs="Arial" w:eastAsia="Arial" w:hAnsi="Arial"/>
                <w:sz w:val="12"/>
                <w:szCs w:val="12"/>
                <w:color w:val="auto"/>
              </w:rPr>
              <w:t>12/22/2021</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11.49%</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L+950</w:t>
            </w:r>
          </w:p>
        </w:tc>
        <w:tc>
          <w:tcPr>
            <w:tcW w:w="660" w:type="dxa"/>
            <w:vAlign w:val="bottom"/>
          </w:tcPr>
          <w:p>
            <w:pPr>
              <w:jc w:val="right"/>
              <w:spacing w:after="0"/>
              <w:rPr>
                <w:sz w:val="20"/>
                <w:szCs w:val="20"/>
                <w:color w:val="auto"/>
              </w:rPr>
            </w:pPr>
            <w:r>
              <w:rPr>
                <w:rFonts w:ascii="Arial" w:cs="Arial" w:eastAsia="Arial" w:hAnsi="Arial"/>
                <w:sz w:val="12"/>
                <w:szCs w:val="12"/>
                <w:color w:val="auto"/>
              </w:rPr>
              <w:t>13,361,625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13,160,932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13,361,625</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K2 Pure Solutions NoCal, L.P.</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02/19/2021</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10.98%</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14,522,529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14,303,451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14,522,529</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Ox Two, LLC</w:t>
            </w:r>
          </w:p>
        </w:tc>
        <w:tc>
          <w:tcPr>
            <w:tcW w:w="900" w:type="dxa"/>
            <w:vAlign w:val="bottom"/>
          </w:tcPr>
          <w:p>
            <w:pPr>
              <w:ind w:left="120"/>
              <w:spacing w:after="0"/>
              <w:rPr>
                <w:sz w:val="20"/>
                <w:szCs w:val="20"/>
                <w:color w:val="auto"/>
              </w:rPr>
            </w:pPr>
            <w:r>
              <w:rPr>
                <w:rFonts w:ascii="Arial" w:cs="Arial" w:eastAsia="Arial" w:hAnsi="Arial"/>
                <w:sz w:val="12"/>
                <w:szCs w:val="12"/>
                <w:color w:val="auto"/>
              </w:rPr>
              <w:t>02/27/2023</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12.25%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P+725</w:t>
            </w:r>
          </w:p>
        </w:tc>
        <w:tc>
          <w:tcPr>
            <w:tcW w:w="660" w:type="dxa"/>
            <w:vAlign w:val="bottom"/>
          </w:tcPr>
          <w:p>
            <w:pPr>
              <w:jc w:val="right"/>
              <w:spacing w:after="0"/>
              <w:rPr>
                <w:sz w:val="20"/>
                <w:szCs w:val="20"/>
                <w:color w:val="auto"/>
              </w:rPr>
            </w:pPr>
            <w:r>
              <w:rPr>
                <w:rFonts w:ascii="Arial" w:cs="Arial" w:eastAsia="Arial" w:hAnsi="Arial"/>
                <w:sz w:val="12"/>
                <w:szCs w:val="12"/>
                <w:color w:val="auto"/>
              </w:rPr>
              <w:t>22,359,375</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21,912,188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22,135,782</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Ox Two, LLC (Revolver)</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02/27/2023</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12.25%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P+725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750,000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750,000</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 xml:space="preserve">Ox Two, LLC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02/27/2023</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1,750,000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06/28/2022</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22,500,000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22,050,431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22,050,000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Research Horizons, LLC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06/28/2022</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9,121,622</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Research Horizons, LLC (Revolver)</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06/28/2022</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8.35%</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1,783,784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1,783,784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1,783,784</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Research Horizons, LLC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06/28/2022</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91"/>
              </w:rPr>
              <w:t>Media</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2,270,270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8.19%</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20,529,688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20,232,051</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20,529,688</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09/01/2022</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1,875,000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 (Revolver)</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8.62%</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L+625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09/01/2022</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Buildings and Real Estate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12/28/2020</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13.34%</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L+1,125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23,718,379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23,441,530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23,125,419</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US Med Acquisition, Inc.</w:t>
            </w:r>
          </w:p>
        </w:tc>
        <w:tc>
          <w:tcPr>
            <w:tcW w:w="900" w:type="dxa"/>
            <w:vAlign w:val="bottom"/>
          </w:tcPr>
          <w:p>
            <w:pPr>
              <w:ind w:left="120"/>
              <w:spacing w:after="0"/>
              <w:rPr>
                <w:sz w:val="20"/>
                <w:szCs w:val="20"/>
                <w:color w:val="auto"/>
              </w:rPr>
            </w:pPr>
            <w:r>
              <w:rPr>
                <w:rFonts w:ascii="Arial" w:cs="Arial" w:eastAsia="Arial" w:hAnsi="Arial"/>
                <w:sz w:val="12"/>
                <w:szCs w:val="12"/>
                <w:color w:val="auto"/>
              </w:rPr>
              <w:t>08/13/2021</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11.33%</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8,498,438</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8,498,438</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8,073,515</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Whitney, Bradley &amp; Brown,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10/18/2022</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5"/>
              </w:rPr>
              <w:t>Aerospace and Defense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11.10%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19,353,750</w:t>
            </w: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19,009,708</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19,353,750</w:t>
            </w:r>
          </w:p>
        </w:tc>
        <w:tc>
          <w:tcPr>
            <w:tcW w:w="100" w:type="dxa"/>
            <w:vAlign w:val="bottom"/>
            <w:shd w:val="clear" w:color="auto" w:fill="CCECFF"/>
          </w:tcPr>
          <w:p>
            <w:pPr>
              <w:spacing w:after="0"/>
              <w:rPr>
                <w:sz w:val="12"/>
                <w:szCs w:val="12"/>
                <w:color w:val="auto"/>
              </w:rPr>
            </w:pPr>
          </w:p>
        </w:tc>
      </w:tr>
      <w:tr>
        <w:trPr>
          <w:trHeight w:val="142"/>
        </w:trPr>
        <w:tc>
          <w:tcPr>
            <w:tcW w:w="2920" w:type="dxa"/>
            <w:vAlign w:val="bottom"/>
          </w:tcPr>
          <w:p>
            <w:pPr>
              <w:spacing w:after="0"/>
              <w:rPr>
                <w:sz w:val="20"/>
                <w:szCs w:val="20"/>
                <w:color w:val="auto"/>
              </w:rPr>
            </w:pPr>
            <w:r>
              <w:rPr>
                <w:rFonts w:ascii="Arial" w:cs="Arial" w:eastAsia="Arial" w:hAnsi="Arial"/>
                <w:sz w:val="12"/>
                <w:szCs w:val="12"/>
                <w:b w:val="1"/>
                <w:bCs w:val="1"/>
                <w:color w:val="auto"/>
              </w:rPr>
              <w:t>Total First Lien Secured Debt</w:t>
            </w:r>
          </w:p>
        </w:tc>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333,743,951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336,237,280</w:t>
            </w:r>
          </w:p>
        </w:tc>
        <w:tc>
          <w:tcPr>
            <w:tcW w:w="100" w:type="dxa"/>
            <w:vAlign w:val="bottom"/>
          </w:tcPr>
          <w:p>
            <w:pPr>
              <w:spacing w:after="0"/>
              <w:rPr>
                <w:sz w:val="12"/>
                <w:szCs w:val="12"/>
                <w:color w:val="auto"/>
              </w:rPr>
            </w:pPr>
          </w:p>
        </w:tc>
      </w:tr>
      <w:tr>
        <w:trPr>
          <w:trHeight w:val="142"/>
        </w:trPr>
        <w:tc>
          <w:tcPr>
            <w:tcW w:w="292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Debt—61.5%</w:t>
            </w:r>
          </w:p>
        </w:tc>
        <w:tc>
          <w:tcPr>
            <w:tcW w:w="900" w:type="dxa"/>
            <w:vAlign w:val="bottom"/>
            <w:tcBorders>
              <w:top w:val="single" w:sz="8" w:color="CCECFF"/>
            </w:tcBorders>
            <w:shd w:val="clear" w:color="auto" w:fill="CCECFF"/>
          </w:tcPr>
          <w:p>
            <w:pPr>
              <w:spacing w:after="0"/>
              <w:rPr>
                <w:sz w:val="12"/>
                <w:szCs w:val="12"/>
                <w:color w:val="auto"/>
              </w:rPr>
            </w:pPr>
          </w:p>
        </w:tc>
        <w:tc>
          <w:tcPr>
            <w:tcW w:w="258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9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Condor Borrower, LLC</w:t>
            </w:r>
          </w:p>
        </w:tc>
        <w:tc>
          <w:tcPr>
            <w:tcW w:w="900" w:type="dxa"/>
            <w:vAlign w:val="bottom"/>
          </w:tcPr>
          <w:p>
            <w:pPr>
              <w:ind w:left="120"/>
              <w:spacing w:after="0"/>
              <w:rPr>
                <w:sz w:val="20"/>
                <w:szCs w:val="20"/>
                <w:color w:val="auto"/>
              </w:rPr>
            </w:pPr>
            <w:r>
              <w:rPr>
                <w:rFonts w:ascii="Arial" w:cs="Arial" w:eastAsia="Arial" w:hAnsi="Arial"/>
                <w:sz w:val="12"/>
                <w:szCs w:val="12"/>
                <w:color w:val="auto"/>
              </w:rPr>
              <w:t>04/25/2025</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11.11%</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L+875</w:t>
            </w:r>
          </w:p>
        </w:tc>
        <w:tc>
          <w:tcPr>
            <w:tcW w:w="660" w:type="dxa"/>
            <w:vAlign w:val="bottom"/>
          </w:tcPr>
          <w:p>
            <w:pPr>
              <w:jc w:val="right"/>
              <w:spacing w:after="0"/>
              <w:rPr>
                <w:sz w:val="20"/>
                <w:szCs w:val="20"/>
                <w:color w:val="auto"/>
              </w:rPr>
            </w:pPr>
            <w:r>
              <w:rPr>
                <w:rFonts w:ascii="Arial" w:cs="Arial" w:eastAsia="Arial" w:hAnsi="Arial"/>
                <w:sz w:val="12"/>
                <w:szCs w:val="12"/>
                <w:color w:val="auto"/>
              </w:rPr>
              <w:t>12,500,000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12,265,646</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12,500,000</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DecoPac,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03/31/2025</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10.58%</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L+825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22,596,259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23,024,259</w:t>
            </w:r>
          </w:p>
        </w:tc>
        <w:tc>
          <w:tcPr>
            <w:tcW w:w="100" w:type="dxa"/>
            <w:vAlign w:val="bottom"/>
            <w:shd w:val="clear" w:color="auto" w:fill="CCECFF"/>
          </w:tcPr>
          <w:p>
            <w:pPr>
              <w:spacing w:after="0"/>
              <w:rPr>
                <w:sz w:val="12"/>
                <w:szCs w:val="12"/>
                <w:color w:val="auto"/>
              </w:rPr>
            </w:pPr>
          </w:p>
        </w:tc>
      </w:tr>
      <w:tr>
        <w:trPr>
          <w:trHeight w:val="155"/>
        </w:trPr>
        <w:tc>
          <w:tcPr>
            <w:tcW w:w="2920" w:type="dxa"/>
            <w:vAlign w:val="bottom"/>
          </w:tcPr>
          <w:p>
            <w:pPr>
              <w:spacing w:after="0"/>
              <w:rPr>
                <w:sz w:val="20"/>
                <w:szCs w:val="20"/>
                <w:color w:val="auto"/>
              </w:rPr>
            </w:pPr>
            <w:r>
              <w:rPr>
                <w:rFonts w:ascii="Arial" w:cs="Arial" w:eastAsia="Arial" w:hAnsi="Arial"/>
                <w:sz w:val="12"/>
                <w:szCs w:val="12"/>
                <w:color w:val="auto"/>
              </w:rPr>
              <w:t>Howard Berger Co. LLC</w:t>
            </w:r>
          </w:p>
        </w:tc>
        <w:tc>
          <w:tcPr>
            <w:tcW w:w="900" w:type="dxa"/>
            <w:vAlign w:val="bottom"/>
          </w:tcPr>
          <w:p>
            <w:pPr>
              <w:ind w:left="120"/>
              <w:spacing w:after="0"/>
              <w:rPr>
                <w:sz w:val="20"/>
                <w:szCs w:val="20"/>
                <w:color w:val="auto"/>
              </w:rPr>
            </w:pPr>
            <w:r>
              <w:rPr>
                <w:rFonts w:ascii="Arial" w:cs="Arial" w:eastAsia="Arial" w:hAnsi="Arial"/>
                <w:sz w:val="12"/>
                <w:szCs w:val="12"/>
                <w:color w:val="auto"/>
              </w:rPr>
              <w:t>09/30/2020</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12.34%</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L+1,000</w:t>
            </w:r>
          </w:p>
        </w:tc>
        <w:tc>
          <w:tcPr>
            <w:tcW w:w="660" w:type="dxa"/>
            <w:vAlign w:val="bottom"/>
          </w:tcPr>
          <w:p>
            <w:pPr>
              <w:jc w:val="right"/>
              <w:spacing w:after="0"/>
              <w:rPr>
                <w:sz w:val="20"/>
                <w:szCs w:val="20"/>
                <w:color w:val="auto"/>
              </w:rPr>
            </w:pPr>
            <w:r>
              <w:rPr>
                <w:rFonts w:ascii="Arial" w:cs="Arial" w:eastAsia="Arial" w:hAnsi="Arial"/>
                <w:sz w:val="12"/>
                <w:szCs w:val="12"/>
                <w:color w:val="auto"/>
              </w:rPr>
              <w:t>44,625,000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43,494,412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42,393,750</w:t>
            </w:r>
          </w:p>
        </w:tc>
        <w:tc>
          <w:tcPr>
            <w:tcW w:w="100" w:type="dxa"/>
            <w:vAlign w:val="bottom"/>
          </w:tcPr>
          <w:p>
            <w:pPr>
              <w:spacing w:after="0"/>
              <w:rPr>
                <w:sz w:val="13"/>
                <w:szCs w:val="13"/>
                <w:color w:val="auto"/>
              </w:rPr>
            </w:pPr>
          </w:p>
        </w:tc>
      </w:tr>
      <w:tr>
        <w:trPr>
          <w:trHeight w:val="141"/>
        </w:trPr>
        <w:tc>
          <w:tcPr>
            <w:tcW w:w="29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4.99%)</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Infogroup,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04/03/2024</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0"/>
              </w:rPr>
              <w:t>Other 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11.58%</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20,044,407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20,196,000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Integrity Marketing Partners, LLC</w:t>
            </w:r>
          </w:p>
        </w:tc>
        <w:tc>
          <w:tcPr>
            <w:tcW w:w="900" w:type="dxa"/>
            <w:vAlign w:val="bottom"/>
          </w:tcPr>
          <w:p>
            <w:pPr>
              <w:ind w:left="120"/>
              <w:spacing w:after="0"/>
              <w:rPr>
                <w:sz w:val="20"/>
                <w:szCs w:val="20"/>
                <w:color w:val="auto"/>
              </w:rPr>
            </w:pPr>
            <w:r>
              <w:rPr>
                <w:rFonts w:ascii="Arial" w:cs="Arial" w:eastAsia="Arial" w:hAnsi="Arial"/>
                <w:sz w:val="12"/>
                <w:szCs w:val="12"/>
                <w:color w:val="auto"/>
              </w:rPr>
              <w:t>01/02/2023</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7"/>
              </w:rPr>
              <w:t>Banking, Finance, Insurance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11.09%</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6,000,000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5,910,275</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5,910,000</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03/01/2019</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455,974</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404,907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455,974</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40" w:type="dxa"/>
            <w:vAlign w:val="bottom"/>
            <w:gridSpan w:val="2"/>
            <w:shd w:val="clear" w:color="auto" w:fill="CCECFF"/>
          </w:tcPr>
          <w:p>
            <w:pPr>
              <w:ind w:left="120"/>
              <w:spacing w:after="0"/>
              <w:rPr>
                <w:sz w:val="20"/>
                <w:szCs w:val="20"/>
                <w:color w:val="auto"/>
              </w:rPr>
            </w:pPr>
            <w:r>
              <w:rPr>
                <w:rFonts w:ascii="Arial" w:cs="Arial" w:eastAsia="Arial" w:hAnsi="Arial"/>
                <w:sz w:val="12"/>
                <w:szCs w:val="12"/>
                <w:color w:val="auto"/>
              </w:rPr>
              <w:t>(PIK 11.00%)</w:t>
            </w: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MailSouth, Inc.</w:t>
            </w:r>
          </w:p>
        </w:tc>
        <w:tc>
          <w:tcPr>
            <w:tcW w:w="900" w:type="dxa"/>
            <w:vAlign w:val="bottom"/>
          </w:tcPr>
          <w:p>
            <w:pPr>
              <w:ind w:left="120"/>
              <w:spacing w:after="0"/>
              <w:rPr>
                <w:sz w:val="20"/>
                <w:szCs w:val="20"/>
                <w:color w:val="auto"/>
              </w:rPr>
            </w:pPr>
            <w:r>
              <w:rPr>
                <w:rFonts w:ascii="Arial" w:cs="Arial" w:eastAsia="Arial" w:hAnsi="Arial"/>
                <w:sz w:val="12"/>
                <w:szCs w:val="12"/>
                <w:color w:val="auto"/>
              </w:rPr>
              <w:t>10/23/2024</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9"/>
              </w:rPr>
              <w:t>Printing and Publishing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12.00%</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L+925</w:t>
            </w:r>
          </w:p>
        </w:tc>
        <w:tc>
          <w:tcPr>
            <w:tcW w:w="660" w:type="dxa"/>
            <w:vAlign w:val="bottom"/>
          </w:tcPr>
          <w:p>
            <w:pPr>
              <w:jc w:val="right"/>
              <w:spacing w:after="0"/>
              <w:rPr>
                <w:sz w:val="20"/>
                <w:szCs w:val="20"/>
                <w:color w:val="auto"/>
              </w:rPr>
            </w:pPr>
            <w:r>
              <w:rPr>
                <w:rFonts w:ascii="Arial" w:cs="Arial" w:eastAsia="Arial" w:hAnsi="Arial"/>
                <w:sz w:val="12"/>
                <w:szCs w:val="12"/>
                <w:color w:val="auto"/>
              </w:rPr>
              <w:t>48,425,000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47,478,662</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47,456,500</w:t>
            </w: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MBS Holdings,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01/02/2024</w:t>
            </w:r>
          </w:p>
        </w:tc>
        <w:tc>
          <w:tcPr>
            <w:tcW w:w="2700" w:type="dxa"/>
            <w:vAlign w:val="bottom"/>
            <w:gridSpan w:val="2"/>
            <w:shd w:val="clear" w:color="auto" w:fill="CCECFF"/>
          </w:tcPr>
          <w:p>
            <w:pPr>
              <w:jc w:val="center"/>
              <w:ind w:right="12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10.59%</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15,000,000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14,700,000</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(8), (11)</w:t>
            </w:r>
          </w:p>
        </w:tc>
        <w:tc>
          <w:tcPr>
            <w:tcW w:w="900" w:type="dxa"/>
            <w:vAlign w:val="bottom"/>
          </w:tcPr>
          <w:p>
            <w:pPr>
              <w:ind w:left="120"/>
              <w:spacing w:after="0"/>
              <w:rPr>
                <w:sz w:val="20"/>
                <w:szCs w:val="20"/>
                <w:color w:val="auto"/>
              </w:rPr>
            </w:pPr>
            <w:r>
              <w:rPr>
                <w:rFonts w:ascii="Arial" w:cs="Arial" w:eastAsia="Arial" w:hAnsi="Arial"/>
                <w:sz w:val="12"/>
                <w:szCs w:val="12"/>
                <w:color w:val="auto"/>
              </w:rPr>
              <w:t>12/17/2021</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9"/>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14.45%</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3M L+1,200</w:t>
            </w:r>
          </w:p>
        </w:tc>
        <w:tc>
          <w:tcPr>
            <w:tcW w:w="660" w:type="dxa"/>
            <w:vAlign w:val="bottom"/>
          </w:tcPr>
          <w:p>
            <w:pPr>
              <w:jc w:val="right"/>
              <w:spacing w:after="0"/>
              <w:rPr>
                <w:sz w:val="20"/>
                <w:szCs w:val="20"/>
                <w:color w:val="auto"/>
              </w:rPr>
            </w:pPr>
            <w:r>
              <w:rPr>
                <w:rFonts w:ascii="Arial" w:cs="Arial" w:eastAsia="Arial" w:hAnsi="Arial"/>
                <w:sz w:val="12"/>
                <w:szCs w:val="12"/>
                <w:color w:val="auto"/>
              </w:rPr>
              <w:t>76,500,000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76,500,000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83,235,362</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Pathway Partners Vet Management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10/10/2025</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10.09%</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L+800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13,360,700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13,305,284</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13,227,093</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 xml:space="preserve">Pathway Partners Vet Management LLC </w:t>
            </w:r>
            <w:r>
              <w:rPr>
                <w:rFonts w:ascii="Arial" w:cs="Arial" w:eastAsia="Arial" w:hAnsi="Arial"/>
                <w:sz w:val="9"/>
                <w:szCs w:val="9"/>
                <w:color w:val="auto"/>
              </w:rPr>
              <w:t>(7)</w:t>
            </w:r>
          </w:p>
        </w:tc>
        <w:tc>
          <w:tcPr>
            <w:tcW w:w="900" w:type="dxa"/>
            <w:vAlign w:val="bottom"/>
          </w:tcPr>
          <w:p>
            <w:pPr>
              <w:ind w:left="120"/>
              <w:spacing w:after="0"/>
              <w:rPr>
                <w:sz w:val="20"/>
                <w:szCs w:val="20"/>
                <w:color w:val="auto"/>
              </w:rPr>
            </w:pPr>
            <w:r>
              <w:rPr>
                <w:rFonts w:ascii="Arial" w:cs="Arial" w:eastAsia="Arial" w:hAnsi="Arial"/>
                <w:sz w:val="12"/>
                <w:szCs w:val="12"/>
                <w:color w:val="auto"/>
              </w:rPr>
              <w:t>10/10/2025</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10,639,300</w:t>
            </w:r>
          </w:p>
        </w:tc>
        <w:tc>
          <w:tcPr>
            <w:tcW w:w="24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2"/>
                <w:szCs w:val="12"/>
                <w:color w:val="auto"/>
              </w:rPr>
              <w:t>(106,393)</w:t>
            </w: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PT Network,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04/12/2023</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12.34%</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L+1,000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41,666,667</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40,937,919</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41,250,000</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Shift4 Payments, LLC</w:t>
            </w:r>
          </w:p>
        </w:tc>
        <w:tc>
          <w:tcPr>
            <w:tcW w:w="900" w:type="dxa"/>
            <w:vAlign w:val="bottom"/>
          </w:tcPr>
          <w:p>
            <w:pPr>
              <w:ind w:left="120"/>
              <w:spacing w:after="0"/>
              <w:rPr>
                <w:sz w:val="20"/>
                <w:szCs w:val="20"/>
                <w:color w:val="auto"/>
              </w:rPr>
            </w:pPr>
            <w:r>
              <w:rPr>
                <w:rFonts w:ascii="Arial" w:cs="Arial" w:eastAsia="Arial" w:hAnsi="Arial"/>
                <w:sz w:val="12"/>
                <w:szCs w:val="12"/>
                <w:color w:val="auto"/>
              </w:rPr>
              <w:t>11/28/2025</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10.59%</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Pr>
          <w:p>
            <w:pPr>
              <w:jc w:val="right"/>
              <w:spacing w:after="0"/>
              <w:rPr>
                <w:sz w:val="20"/>
                <w:szCs w:val="20"/>
                <w:color w:val="auto"/>
              </w:rPr>
            </w:pPr>
            <w:r>
              <w:rPr>
                <w:rFonts w:ascii="Arial" w:cs="Arial" w:eastAsia="Arial" w:hAnsi="Arial"/>
                <w:sz w:val="12"/>
                <w:szCs w:val="12"/>
                <w:color w:val="auto"/>
              </w:rPr>
              <w:t>37,000,000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36,827,761</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36,722,500</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Veritext Corp.</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01/30/2023</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11.33%</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3M L+900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18,834,375</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18,402,262</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18,834,375</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Winter Park Intermediate, Inc.</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04/03/2026</w:t>
            </w:r>
          </w:p>
        </w:tc>
        <w:tc>
          <w:tcPr>
            <w:tcW w:w="27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9"/>
              </w:rPr>
              <w:t>Auto Sector</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10.50%</w:t>
            </w:r>
          </w:p>
        </w:tc>
        <w:tc>
          <w:tcPr>
            <w:tcW w:w="11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1M L+850</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32,000,000</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31,367,579</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31,680,000</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384,235,373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391,479,420</w:t>
            </w:r>
          </w:p>
        </w:tc>
        <w:tc>
          <w:tcPr>
            <w:tcW w:w="100" w:type="dxa"/>
            <w:vAlign w:val="bottom"/>
            <w:shd w:val="clear" w:color="auto" w:fill="CCECFF"/>
          </w:tcPr>
          <w:p>
            <w:pPr>
              <w:spacing w:after="0"/>
              <w:rPr>
                <w:sz w:val="12"/>
                <w:szCs w:val="12"/>
                <w:color w:val="auto"/>
              </w:rPr>
            </w:pPr>
          </w:p>
        </w:tc>
      </w:tr>
      <w:tr>
        <w:trPr>
          <w:trHeight w:val="142"/>
        </w:trPr>
        <w:tc>
          <w:tcPr>
            <w:tcW w:w="2920" w:type="dxa"/>
            <w:vAlign w:val="bottom"/>
          </w:tcPr>
          <w:p>
            <w:pPr>
              <w:spacing w:after="0"/>
              <w:rPr>
                <w:sz w:val="20"/>
                <w:szCs w:val="20"/>
                <w:color w:val="auto"/>
              </w:rPr>
            </w:pPr>
            <w:r>
              <w:rPr>
                <w:rFonts w:ascii="Arial" w:cs="Arial" w:eastAsia="Arial" w:hAnsi="Arial"/>
                <w:sz w:val="12"/>
                <w:szCs w:val="12"/>
                <w:b w:val="1"/>
                <w:bCs w:val="1"/>
                <w:color w:val="auto"/>
              </w:rPr>
              <w:t>Subordinated Debt/Corporate Notes—5.3%</w:t>
            </w:r>
          </w:p>
        </w:tc>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Cascade Environmental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08/20/2021</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14.50%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34,707,778</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34,272,557</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33,840,084</w:t>
            </w:r>
          </w:p>
        </w:tc>
        <w:tc>
          <w:tcPr>
            <w:tcW w:w="100" w:type="dxa"/>
            <w:vAlign w:val="bottom"/>
            <w:shd w:val="clear" w:color="auto" w:fill="CCECFF"/>
          </w:tcPr>
          <w:p>
            <w:pPr>
              <w:spacing w:after="0"/>
              <w:rPr>
                <w:sz w:val="12"/>
                <w:szCs w:val="12"/>
                <w:color w:val="auto"/>
              </w:rPr>
            </w:pPr>
          </w:p>
        </w:tc>
      </w:tr>
      <w:tr>
        <w:trPr>
          <w:trHeight w:val="142"/>
        </w:trPr>
        <w:tc>
          <w:tcPr>
            <w:tcW w:w="2920" w:type="dxa"/>
            <w:vAlign w:val="bottom"/>
            <w:tcBorders>
              <w:top w:val="single" w:sz="8" w:color="CCECFF"/>
            </w:tcBorders>
            <w:shd w:val="clear" w:color="auto" w:fill="CCECFF"/>
          </w:tcPr>
          <w:p>
            <w:pPr>
              <w:spacing w:after="0"/>
              <w:rPr>
                <w:sz w:val="12"/>
                <w:szCs w:val="12"/>
                <w:color w:val="auto"/>
              </w:rPr>
            </w:pPr>
          </w:p>
        </w:tc>
        <w:tc>
          <w:tcPr>
            <w:tcW w:w="900" w:type="dxa"/>
            <w:vAlign w:val="bottom"/>
            <w:tcBorders>
              <w:top w:val="single" w:sz="8" w:color="CCECFF"/>
            </w:tcBorders>
            <w:shd w:val="clear" w:color="auto" w:fill="CCECFF"/>
          </w:tcPr>
          <w:p>
            <w:pPr>
              <w:spacing w:after="0"/>
              <w:rPr>
                <w:sz w:val="12"/>
                <w:szCs w:val="12"/>
                <w:color w:val="auto"/>
              </w:rPr>
            </w:pPr>
          </w:p>
        </w:tc>
        <w:tc>
          <w:tcPr>
            <w:tcW w:w="258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940" w:type="dxa"/>
            <w:vAlign w:val="bottom"/>
            <w:tcBorders>
              <w:top w:val="single" w:sz="8" w:color="CCECFF"/>
            </w:tcBorders>
            <w:gridSpan w:val="2"/>
            <w:shd w:val="clear" w:color="auto" w:fill="CCECFF"/>
          </w:tcPr>
          <w:p>
            <w:pPr>
              <w:ind w:left="120"/>
              <w:spacing w:after="0"/>
              <w:rPr>
                <w:sz w:val="20"/>
                <w:szCs w:val="20"/>
                <w:color w:val="auto"/>
              </w:rPr>
            </w:pPr>
            <w:r>
              <w:rPr>
                <w:rFonts w:ascii="Arial" w:cs="Arial" w:eastAsia="Arial" w:hAnsi="Arial"/>
                <w:sz w:val="12"/>
                <w:szCs w:val="12"/>
                <w:color w:val="auto"/>
              </w:rPr>
              <w:t>(PIK 12.50%)</w:t>
            </w:r>
          </w:p>
        </w:tc>
        <w:tc>
          <w:tcPr>
            <w:tcW w:w="9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Equity/Partnership Interests—0.5%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AH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6.00%</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477,479</w:t>
            </w:r>
          </w:p>
        </w:tc>
        <w:tc>
          <w:tcPr>
            <w:tcW w:w="100" w:type="dxa"/>
            <w:vAlign w:val="bottom"/>
            <w:shd w:val="clear" w:color="auto" w:fill="CCECFF"/>
          </w:tcPr>
          <w:p>
            <w:pPr>
              <w:spacing w:after="0"/>
              <w:rPr>
                <w:sz w:val="12"/>
                <w:szCs w:val="12"/>
                <w:color w:val="auto"/>
              </w:rPr>
            </w:pPr>
          </w:p>
        </w:tc>
      </w:tr>
      <w:tr>
        <w:trPr>
          <w:trHeight w:val="148"/>
        </w:trPr>
        <w:tc>
          <w:tcPr>
            <w:tcW w:w="2920" w:type="dxa"/>
            <w:vAlign w:val="bottom"/>
          </w:tcPr>
          <w:p>
            <w:pPr>
              <w:spacing w:after="0"/>
              <w:rPr>
                <w:sz w:val="20"/>
                <w:szCs w:val="20"/>
                <w:color w:val="auto"/>
              </w:rPr>
            </w:pPr>
            <w:r>
              <w:rPr>
                <w:rFonts w:ascii="Arial" w:cs="Arial" w:eastAsia="Arial" w:hAnsi="Arial"/>
                <w:sz w:val="12"/>
                <w:szCs w:val="12"/>
                <w:color w:val="auto"/>
              </w:rPr>
              <w:t>Alegeus Technologies Holdings Corp.</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2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949</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949,050</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1,295,211</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CI (PTN) Investment Holdings II, LLC </w:t>
            </w:r>
            <w:r>
              <w:rPr>
                <w:rFonts w:ascii="Arial" w:cs="Arial" w:eastAsia="Arial" w:hAnsi="Arial"/>
                <w:sz w:val="9"/>
                <w:szCs w:val="9"/>
                <w:color w:val="auto"/>
              </w:rPr>
              <w:t>(9)</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36,450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546,750</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554,161</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Pr>
          <w:p>
            <w:pPr>
              <w:spacing w:after="0"/>
              <w:rPr>
                <w:sz w:val="20"/>
                <w:szCs w:val="20"/>
                <w:color w:val="auto"/>
              </w:rPr>
            </w:pPr>
            <w:r>
              <w:rPr>
                <w:rFonts w:ascii="Arial" w:cs="Arial" w:eastAsia="Arial" w:hAnsi="Arial"/>
                <w:sz w:val="12"/>
                <w:szCs w:val="12"/>
                <w:color w:val="auto"/>
              </w:rPr>
              <w:t xml:space="preserve">Condor Holdings Limited </w:t>
            </w:r>
            <w:r>
              <w:rPr>
                <w:rFonts w:ascii="Arial" w:cs="Arial" w:eastAsia="Arial" w:hAnsi="Arial"/>
                <w:sz w:val="9"/>
                <w:szCs w:val="9"/>
                <w:color w:val="auto"/>
              </w:rPr>
              <w:t>(8), (11)</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tcPr>
          <w:p>
            <w:pPr>
              <w:jc w:val="right"/>
              <w:spacing w:after="0"/>
              <w:rPr>
                <w:sz w:val="20"/>
                <w:szCs w:val="20"/>
                <w:color w:val="auto"/>
              </w:rPr>
            </w:pPr>
            <w:r>
              <w:rPr>
                <w:rFonts w:ascii="Arial" w:cs="Arial" w:eastAsia="Arial" w:hAnsi="Arial"/>
                <w:sz w:val="12"/>
                <w:szCs w:val="12"/>
                <w:color w:val="auto"/>
              </w:rPr>
              <w:t>64,277</w:t>
            </w:r>
          </w:p>
        </w:tc>
        <w:tc>
          <w:tcPr>
            <w:tcW w:w="960" w:type="dxa"/>
            <w:vAlign w:val="bottom"/>
            <w:gridSpan w:val="2"/>
          </w:tcPr>
          <w:p>
            <w:pPr>
              <w:jc w:val="right"/>
              <w:spacing w:after="0"/>
              <w:rPr>
                <w:sz w:val="20"/>
                <w:szCs w:val="20"/>
                <w:color w:val="auto"/>
              </w:rPr>
            </w:pPr>
            <w:r>
              <w:rPr>
                <w:rFonts w:ascii="Arial" w:cs="Arial" w:eastAsia="Arial" w:hAnsi="Arial"/>
                <w:sz w:val="12"/>
                <w:szCs w:val="12"/>
                <w:color w:val="auto"/>
              </w:rPr>
              <w:t>64,277</w:t>
            </w:r>
          </w:p>
        </w:tc>
        <w:tc>
          <w:tcPr>
            <w:tcW w:w="100" w:type="dxa"/>
            <w:vAlign w:val="bottom"/>
          </w:tcPr>
          <w:p>
            <w:pPr>
              <w:spacing w:after="0"/>
              <w:rPr>
                <w:sz w:val="12"/>
                <w:szCs w:val="12"/>
                <w:color w:val="auto"/>
              </w:rPr>
            </w:pPr>
          </w:p>
        </w:tc>
      </w:tr>
      <w:tr>
        <w:trPr>
          <w:trHeight w:val="148"/>
        </w:trPr>
        <w:tc>
          <w:tcPr>
            <w:tcW w:w="29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Condor Top Holdco Limited </w:t>
            </w:r>
            <w:r>
              <w:rPr>
                <w:rFonts w:ascii="Arial" w:cs="Arial" w:eastAsia="Arial" w:hAnsi="Arial"/>
                <w:sz w:val="9"/>
                <w:szCs w:val="9"/>
                <w:color w:val="auto"/>
              </w:rPr>
              <w:t>(8), (11)</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556,000</w:t>
            </w:r>
          </w:p>
        </w:tc>
        <w:tc>
          <w:tcPr>
            <w:tcW w:w="9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491,723</w:t>
            </w:r>
          </w:p>
        </w:tc>
        <w:tc>
          <w:tcPr>
            <w:tcW w:w="96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491,723</w:t>
            </w:r>
          </w:p>
        </w:tc>
        <w:tc>
          <w:tcPr>
            <w:tcW w:w="100" w:type="dxa"/>
            <w:vAlign w:val="bottom"/>
            <w:shd w:val="clear" w:color="auto" w:fill="CCECFF"/>
          </w:tcPr>
          <w:p>
            <w:pPr>
              <w:spacing w:after="0"/>
              <w:rPr>
                <w:sz w:val="12"/>
                <w:szCs w:val="12"/>
                <w:color w:val="auto"/>
              </w:rPr>
            </w:pPr>
          </w:p>
        </w:tc>
      </w:tr>
      <w:tr>
        <w:trPr>
          <w:trHeight w:val="149"/>
        </w:trPr>
        <w:tc>
          <w:tcPr>
            <w:tcW w:w="29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HW Holdco, LLC</w:t>
            </w:r>
          </w:p>
        </w:tc>
        <w:tc>
          <w:tcPr>
            <w:tcW w:w="900" w:type="dxa"/>
            <w:vAlign w:val="bottom"/>
            <w:tcBorders>
              <w:bottom w:val="single" w:sz="8" w:color="CCECFF"/>
            </w:tcBorders>
          </w:tcPr>
          <w:p>
            <w:pPr>
              <w:ind w:left="380"/>
              <w:spacing w:after="0"/>
              <w:rPr>
                <w:sz w:val="20"/>
                <w:szCs w:val="20"/>
                <w:color w:val="auto"/>
              </w:rPr>
            </w:pPr>
            <w:r>
              <w:rPr>
                <w:rFonts w:ascii="Arial" w:cs="Arial" w:eastAsia="Arial" w:hAnsi="Arial"/>
                <w:sz w:val="12"/>
                <w:szCs w:val="12"/>
                <w:color w:val="auto"/>
              </w:rPr>
              <w:t>—</w:t>
            </w:r>
          </w:p>
        </w:tc>
        <w:tc>
          <w:tcPr>
            <w:tcW w:w="270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90"/>
              </w:rPr>
              <w:t>Other Media</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8.00%</w:t>
            </w:r>
          </w:p>
        </w:tc>
        <w:tc>
          <w:tcPr>
            <w:tcW w:w="11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3,591</w:t>
            </w:r>
          </w:p>
        </w:tc>
        <w:tc>
          <w:tcPr>
            <w:tcW w:w="240" w:type="dxa"/>
            <w:vAlign w:val="bottom"/>
            <w:tcBorders>
              <w:bottom w:val="single" w:sz="8" w:color="CCECFF"/>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26,032</w:t>
            </w:r>
          </w:p>
        </w:tc>
        <w:tc>
          <w:tcPr>
            <w:tcW w:w="100" w:type="dxa"/>
            <w:vAlign w:val="bottom"/>
            <w:tcBorders>
              <w:bottom w:val="single" w:sz="8" w:color="CCECFF"/>
            </w:tcBorders>
          </w:tcPr>
          <w:p>
            <w:pPr>
              <w:spacing w:after="0"/>
              <w:rPr>
                <w:sz w:val="12"/>
                <w:szCs w:val="12"/>
                <w:color w:val="auto"/>
              </w:rPr>
            </w:pPr>
          </w:p>
        </w:tc>
      </w:tr>
      <w:tr>
        <w:trPr>
          <w:trHeight w:val="142"/>
        </w:trPr>
        <w:tc>
          <w:tcPr>
            <w:tcW w:w="29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0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2,551,800</w:t>
            </w:r>
          </w:p>
        </w:tc>
        <w:tc>
          <w:tcPr>
            <w:tcW w:w="240" w:type="dxa"/>
            <w:vAlign w:val="bottom"/>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2,908,883</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85"/>
              </w:rPr>
              <w:t>Basis Point</w:t>
            </w: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8"/>
              </w:rPr>
              <w:t>Spread</w:t>
            </w: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40" w:type="dxa"/>
            <w:vAlign w:val="bottom"/>
          </w:tcPr>
          <w:p>
            <w:pPr>
              <w:spacing w:after="0"/>
              <w:rPr>
                <w:sz w:val="11"/>
                <w:szCs w:val="11"/>
                <w:color w:val="auto"/>
              </w:rPr>
            </w:pP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Maturity /</w:t>
            </w:r>
          </w:p>
        </w:tc>
        <w:tc>
          <w:tcPr>
            <w:tcW w:w="2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2"/>
          </w:tcPr>
          <w:p>
            <w:pPr>
              <w:jc w:val="right"/>
              <w:ind w:right="380"/>
              <w:spacing w:after="0" w:line="135" w:lineRule="exact"/>
              <w:rPr>
                <w:sz w:val="20"/>
                <w:szCs w:val="20"/>
                <w:color w:val="auto"/>
              </w:rPr>
            </w:pPr>
            <w:r>
              <w:rPr>
                <w:rFonts w:ascii="Arial" w:cs="Arial" w:eastAsia="Arial" w:hAnsi="Arial"/>
                <w:sz w:val="12"/>
                <w:szCs w:val="12"/>
                <w:b w:val="1"/>
                <w:bCs w:val="1"/>
                <w:color w:val="auto"/>
              </w:rPr>
              <w:t>Current</w:t>
            </w:r>
          </w:p>
        </w:tc>
        <w:tc>
          <w:tcPr>
            <w:tcW w:w="1120" w:type="dxa"/>
            <w:vAlign w:val="bottom"/>
            <w:gridSpan w:val="2"/>
          </w:tcPr>
          <w:p>
            <w:pPr>
              <w:jc w:val="center"/>
              <w:ind w:right="240"/>
              <w:spacing w:after="0" w:line="135" w:lineRule="exact"/>
              <w:rPr>
                <w:sz w:val="20"/>
                <w:szCs w:val="20"/>
                <w:color w:val="auto"/>
              </w:rPr>
            </w:pPr>
            <w:r>
              <w:rPr>
                <w:rFonts w:ascii="Arial" w:cs="Arial" w:eastAsia="Arial" w:hAnsi="Arial"/>
                <w:sz w:val="12"/>
                <w:szCs w:val="12"/>
                <w:b w:val="1"/>
                <w:bCs w:val="1"/>
                <w:color w:val="auto"/>
                <w:w w:val="87"/>
              </w:rPr>
              <w:t>Above</w:t>
            </w:r>
          </w:p>
        </w:tc>
        <w:tc>
          <w:tcPr>
            <w:tcW w:w="66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940" w:type="dxa"/>
            <w:vAlign w:val="bottom"/>
          </w:tcPr>
          <w:p>
            <w:pPr>
              <w:spacing w:after="0"/>
              <w:rPr>
                <w:sz w:val="20"/>
                <w:szCs w:val="20"/>
                <w:color w:val="auto"/>
              </w:rPr>
            </w:pPr>
            <w:r>
              <w:rPr>
                <w:rFonts w:ascii="Arial" w:cs="Arial" w:eastAsia="Arial" w:hAnsi="Arial"/>
                <w:sz w:val="12"/>
                <w:szCs w:val="12"/>
                <w:b w:val="1"/>
                <w:bCs w:val="1"/>
                <w:color w:val="auto"/>
              </w:rPr>
              <w:t>Expiration</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b w:val="1"/>
                <w:bCs w:val="1"/>
                <w:color w:val="auto"/>
                <w:w w:val="88"/>
              </w:rPr>
              <w:t>Industry</w:t>
            </w:r>
          </w:p>
        </w:tc>
        <w:tc>
          <w:tcPr>
            <w:tcW w:w="900" w:type="dxa"/>
            <w:vAlign w:val="bottom"/>
            <w:gridSpan w:val="2"/>
          </w:tcPr>
          <w:p>
            <w:pPr>
              <w:jc w:val="right"/>
              <w:ind w:right="380"/>
              <w:spacing w:after="0"/>
              <w:rPr>
                <w:sz w:val="20"/>
                <w:szCs w:val="20"/>
                <w:color w:val="auto"/>
              </w:rPr>
            </w:pPr>
            <w:r>
              <w:rPr>
                <w:rFonts w:ascii="Arial" w:cs="Arial" w:eastAsia="Arial" w:hAnsi="Arial"/>
                <w:sz w:val="12"/>
                <w:szCs w:val="12"/>
                <w:b w:val="1"/>
                <w:bCs w:val="1"/>
                <w:color w:val="auto"/>
              </w:rPr>
              <w:t>Coupon</w:t>
            </w:r>
          </w:p>
        </w:tc>
        <w:tc>
          <w:tcPr>
            <w:tcW w:w="112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66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4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3"/>
              </w:rPr>
              <w:t xml:space="preserve">Common Equity/Partnership Interests/Warrants—5.7% </w:t>
            </w:r>
            <w:r>
              <w:rPr>
                <w:rFonts w:ascii="Arial" w:cs="Arial" w:eastAsia="Arial" w:hAnsi="Arial"/>
                <w:sz w:val="9"/>
                <w:szCs w:val="9"/>
                <w:b w:val="1"/>
                <w:bCs w:val="1"/>
                <w:color w:val="auto"/>
                <w:w w:val="93"/>
              </w:rPr>
              <w:t>(6)</w:t>
            </w:r>
          </w:p>
        </w:tc>
        <w:tc>
          <w:tcPr>
            <w:tcW w:w="940" w:type="dxa"/>
            <w:vAlign w:val="bottom"/>
            <w:tcBorders>
              <w:top w:val="single" w:sz="8" w:color="auto"/>
            </w:tcBorders>
            <w:shd w:val="clear" w:color="auto" w:fill="CCECFF"/>
          </w:tcPr>
          <w:p>
            <w:pPr>
              <w:spacing w:after="0"/>
              <w:rPr>
                <w:sz w:val="12"/>
                <w:szCs w:val="12"/>
                <w:color w:val="auto"/>
              </w:rPr>
            </w:pPr>
          </w:p>
        </w:tc>
        <w:tc>
          <w:tcPr>
            <w:tcW w:w="240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8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940" w:type="dxa"/>
            <w:vAlign w:val="bottom"/>
          </w:tcPr>
          <w:p>
            <w:pPr>
              <w:spacing w:after="0"/>
              <w:rPr>
                <w:sz w:val="20"/>
                <w:szCs w:val="20"/>
                <w:color w:val="auto"/>
              </w:rPr>
            </w:pPr>
            <w:r>
              <w:rPr>
                <w:rFonts w:ascii="Arial" w:cs="Arial" w:eastAsia="Arial" w:hAnsi="Arial"/>
                <w:sz w:val="12"/>
                <w:szCs w:val="12"/>
                <w:color w:val="auto"/>
              </w:rPr>
              <w:t>03/23/2021</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753</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940" w:type="dxa"/>
            <w:vAlign w:val="bottom"/>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8"/>
              </w:rPr>
              <w:t>Financial Services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1,297</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ASP LCG Holdings, Inc. (Warrants)</w:t>
            </w:r>
          </w:p>
        </w:tc>
        <w:tc>
          <w:tcPr>
            <w:tcW w:w="940" w:type="dxa"/>
            <w:vAlign w:val="bottom"/>
          </w:tcPr>
          <w:p>
            <w:pPr>
              <w:spacing w:after="0"/>
              <w:rPr>
                <w:sz w:val="20"/>
                <w:szCs w:val="20"/>
                <w:color w:val="auto"/>
              </w:rPr>
            </w:pPr>
            <w:r>
              <w:rPr>
                <w:rFonts w:ascii="Arial" w:cs="Arial" w:eastAsia="Arial" w:hAnsi="Arial"/>
                <w:sz w:val="12"/>
                <w:szCs w:val="12"/>
                <w:color w:val="auto"/>
              </w:rPr>
              <w:t>05/05/2026</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6"/>
              </w:rPr>
              <w:t>Education</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933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1,651,653</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Autumn Games, LLC</w:t>
            </w:r>
          </w:p>
        </w:tc>
        <w:tc>
          <w:tcPr>
            <w:tcW w:w="940" w:type="dxa"/>
            <w:vAlign w:val="bottom"/>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Broadcasting and Entertainment</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Cardinal Logistics Holdings LLC</w:t>
            </w:r>
          </w:p>
        </w:tc>
        <w:tc>
          <w:tcPr>
            <w:tcW w:w="940" w:type="dxa"/>
            <w:vAlign w:val="bottom"/>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9"/>
              </w:rPr>
              <w:t>Cargo Transport</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(13)</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3,789,585</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(9)</w:t>
            </w:r>
          </w:p>
        </w:tc>
        <w:tc>
          <w:tcPr>
            <w:tcW w:w="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(9)</w:t>
            </w:r>
          </w:p>
        </w:tc>
        <w:tc>
          <w:tcPr>
            <w:tcW w:w="940" w:type="dxa"/>
            <w:vAlign w:val="bottom"/>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33,901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2,852,080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1,186,539</w:t>
            </w: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CI (Allied) Investment Holdings, LLC</w:t>
            </w:r>
          </w:p>
        </w:tc>
        <w:tc>
          <w:tcPr>
            <w:tcW w:w="940" w:type="dxa"/>
            <w:vAlign w:val="bottom"/>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5"/>
              </w:rPr>
              <w:t>Business Services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84,000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840,004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1,089,223</w:t>
            </w:r>
          </w:p>
        </w:tc>
        <w:tc>
          <w:tcPr>
            <w:tcW w:w="100" w:type="dxa"/>
            <w:vAlign w:val="bottom"/>
          </w:tcPr>
          <w:p>
            <w:pPr>
              <w:spacing w:after="0"/>
              <w:rPr>
                <w:sz w:val="13"/>
                <w:szCs w:val="13"/>
                <w:color w:val="auto"/>
              </w:rPr>
            </w:pPr>
          </w:p>
        </w:tc>
      </w:tr>
      <w:tr>
        <w:trPr>
          <w:trHeight w:val="141"/>
        </w:trPr>
        <w:tc>
          <w:tcPr>
            <w:tcW w:w="3040" w:type="dxa"/>
            <w:vAlign w:val="bottom"/>
          </w:tcPr>
          <w:p>
            <w:pPr>
              <w:ind w:left="140"/>
              <w:spacing w:after="0"/>
              <w:rPr>
                <w:sz w:val="20"/>
                <w:szCs w:val="20"/>
                <w:color w:val="auto"/>
              </w:rPr>
            </w:pPr>
            <w:r>
              <w:rPr>
                <w:rFonts w:ascii="Arial" w:cs="Arial" w:eastAsia="Arial" w:hAnsi="Arial"/>
                <w:sz w:val="12"/>
                <w:szCs w:val="12"/>
                <w:color w:val="auto"/>
              </w:rPr>
              <w:t xml:space="preserve">(Allied America, Inc.) </w:t>
            </w:r>
            <w:r>
              <w:rPr>
                <w:rFonts w:ascii="Arial" w:cs="Arial" w:eastAsia="Arial" w:hAnsi="Arial"/>
                <w:sz w:val="9"/>
                <w:szCs w:val="9"/>
                <w:color w:val="auto"/>
              </w:rPr>
              <w:t>(9)</w:t>
            </w:r>
          </w:p>
        </w:tc>
        <w:tc>
          <w:tcPr>
            <w:tcW w:w="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CI (PTN) Investment Holdings II, LLC</w:t>
            </w:r>
          </w:p>
        </w:tc>
        <w:tc>
          <w:tcPr>
            <w:tcW w:w="940" w:type="dxa"/>
            <w:vAlign w:val="bottom"/>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333,333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(PT Network, LLC) </w:t>
            </w:r>
            <w:r>
              <w:rPr>
                <w:rFonts w:ascii="Arial" w:cs="Arial" w:eastAsia="Arial" w:hAnsi="Arial"/>
                <w:sz w:val="9"/>
                <w:szCs w:val="9"/>
                <w:color w:val="auto"/>
              </w:rPr>
              <w:t>(9)</w:t>
            </w:r>
          </w:p>
        </w:tc>
        <w:tc>
          <w:tcPr>
            <w:tcW w:w="94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40" w:type="dxa"/>
            <w:vAlign w:val="bottom"/>
          </w:tcPr>
          <w:p>
            <w:pPr>
              <w:spacing w:after="0"/>
              <w:rPr>
                <w:sz w:val="20"/>
                <w:szCs w:val="20"/>
                <w:color w:val="auto"/>
              </w:rPr>
            </w:pPr>
            <w:r>
              <w:rPr>
                <w:rFonts w:ascii="Arial" w:cs="Arial" w:eastAsia="Arial" w:hAnsi="Arial"/>
                <w:sz w:val="12"/>
                <w:szCs w:val="12"/>
                <w:color w:val="auto"/>
              </w:rPr>
              <w:t>CI (Summit) Investment Holdings LLC</w:t>
            </w:r>
          </w:p>
        </w:tc>
        <w:tc>
          <w:tcPr>
            <w:tcW w:w="940" w:type="dxa"/>
            <w:vAlign w:val="bottom"/>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Buildings and Real Estate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100,000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1,138,832</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(SFP Holdings, Inc.)</w:t>
            </w:r>
          </w:p>
        </w:tc>
        <w:tc>
          <w:tcPr>
            <w:tcW w:w="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940" w:type="dxa"/>
            <w:vAlign w:val="bottom"/>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5"/>
              </w:rPr>
              <w:t>Beverage, Food and Tobacco</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3,953,298</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(11)</w:t>
            </w:r>
          </w:p>
        </w:tc>
        <w:tc>
          <w:tcPr>
            <w:tcW w:w="940" w:type="dxa"/>
            <w:vAlign w:val="bottom"/>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8"/>
              </w:rPr>
              <w:t>Financial Services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80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1,116,857</w:t>
            </w: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w:t>
            </w:r>
          </w:p>
        </w:tc>
        <w:tc>
          <w:tcPr>
            <w:tcW w:w="940" w:type="dxa"/>
            <w:vAlign w:val="bottom"/>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92"/>
              </w:rPr>
              <w:t>Building Materials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1,273,251</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HW Holdco, LLC</w:t>
            </w:r>
          </w:p>
        </w:tc>
        <w:tc>
          <w:tcPr>
            <w:tcW w:w="940" w:type="dxa"/>
            <w:vAlign w:val="bottom"/>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Other Media</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388,378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2,815,458</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Infogroup Parent Holdings, Inc.</w:t>
            </w:r>
          </w:p>
        </w:tc>
        <w:tc>
          <w:tcPr>
            <w:tcW w:w="940" w:type="dxa"/>
            <w:vAlign w:val="bottom"/>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7"/>
              </w:rPr>
              <w:t>Other Media</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2,128,192</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(9)</w:t>
            </w:r>
          </w:p>
        </w:tc>
        <w:tc>
          <w:tcPr>
            <w:tcW w:w="940" w:type="dxa"/>
            <w:vAlign w:val="bottom"/>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204,985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2,049,849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3,504,860</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(12)</w:t>
            </w:r>
          </w:p>
        </w:tc>
        <w:tc>
          <w:tcPr>
            <w:tcW w:w="940" w:type="dxa"/>
            <w:vAlign w:val="bottom"/>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7"/>
              </w:rPr>
              <w:t>Healthcare, Education and Childcare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1,005,536</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(9)</w:t>
            </w:r>
          </w:p>
        </w:tc>
        <w:tc>
          <w:tcPr>
            <w:tcW w:w="940" w:type="dxa"/>
            <w:vAlign w:val="bottom"/>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96"/>
              </w:rPr>
              <w:t>Distribution</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563,764</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(9)</w:t>
            </w:r>
          </w:p>
        </w:tc>
        <w:tc>
          <w:tcPr>
            <w:tcW w:w="940" w:type="dxa"/>
            <w:vAlign w:val="bottom"/>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1,148,703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1,158,703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575,835</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(12)</w:t>
            </w:r>
          </w:p>
        </w:tc>
        <w:tc>
          <w:tcPr>
            <w:tcW w:w="940" w:type="dxa"/>
            <w:vAlign w:val="bottom"/>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300"/>
              <w:spacing w:after="0"/>
              <w:rPr>
                <w:sz w:val="20"/>
                <w:szCs w:val="20"/>
                <w:color w:val="auto"/>
              </w:rPr>
            </w:pPr>
            <w:r>
              <w:rPr>
                <w:rFonts w:ascii="Arial" w:cs="Arial" w:eastAsia="Arial" w:hAnsi="Arial"/>
                <w:sz w:val="12"/>
                <w:szCs w:val="12"/>
                <w:color w:val="auto"/>
                <w:w w:val="87"/>
              </w:rPr>
              <w:t>Insurance</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100,885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238,038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3,380</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WBB Equity, LLC</w:t>
            </w:r>
          </w:p>
        </w:tc>
        <w:tc>
          <w:tcPr>
            <w:tcW w:w="940" w:type="dxa"/>
            <w:vAlign w:val="bottom"/>
            <w:shd w:val="clear" w:color="auto" w:fill="CCECFF"/>
          </w:tcPr>
          <w:p>
            <w:pPr>
              <w:spacing w:after="0"/>
              <w:rPr>
                <w:sz w:val="12"/>
                <w:szCs w:val="12"/>
                <w:color w:val="auto"/>
              </w:rPr>
            </w:pP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5"/>
              </w:rPr>
              <w:t>Aerospace and Defense</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628,571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628,571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886,286</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(Whitney, Bradley &amp; Brown, Inc.) </w:t>
            </w:r>
            <w:r>
              <w:rPr>
                <w:rFonts w:ascii="Arial" w:cs="Arial" w:eastAsia="Arial" w:hAnsi="Arial"/>
                <w:sz w:val="9"/>
                <w:szCs w:val="9"/>
                <w:color w:val="auto"/>
              </w:rPr>
              <w:t>(9)</w:t>
            </w:r>
          </w:p>
        </w:tc>
        <w:tc>
          <w:tcPr>
            <w:tcW w:w="94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40" w:type="dxa"/>
            <w:vAlign w:val="bottom"/>
          </w:tcPr>
          <w:p>
            <w:pPr>
              <w:spacing w:after="0"/>
              <w:rPr>
                <w:sz w:val="20"/>
                <w:szCs w:val="20"/>
                <w:color w:val="auto"/>
              </w:rPr>
            </w:pPr>
            <w:r>
              <w:rPr>
                <w:rFonts w:ascii="Arial" w:cs="Arial" w:eastAsia="Arial" w:hAnsi="Arial"/>
                <w:sz w:val="12"/>
                <w:szCs w:val="12"/>
                <w:color w:val="auto"/>
              </w:rPr>
              <w:t>Wheel Pros Holdings, L.P.</w:t>
            </w:r>
          </w:p>
        </w:tc>
        <w:tc>
          <w:tcPr>
            <w:tcW w:w="940" w:type="dxa"/>
            <w:vAlign w:val="bottom"/>
          </w:tcPr>
          <w:p>
            <w:pPr>
              <w:spacing w:after="0"/>
              <w:rPr>
                <w:sz w:val="13"/>
                <w:szCs w:val="13"/>
                <w:color w:val="auto"/>
              </w:rPr>
            </w:pP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9"/>
              </w:rPr>
              <w:t>Auto Sector</w:t>
            </w:r>
          </w:p>
        </w:tc>
        <w:tc>
          <w:tcPr>
            <w:tcW w:w="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3,200,000</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3,200,000</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3,741,770</w:t>
            </w:r>
          </w:p>
        </w:tc>
        <w:tc>
          <w:tcPr>
            <w:tcW w:w="100" w:type="dxa"/>
            <w:vAlign w:val="bottom"/>
          </w:tcPr>
          <w:p>
            <w:pPr>
              <w:spacing w:after="0"/>
              <w:rPr>
                <w:sz w:val="13"/>
                <w:szCs w:val="13"/>
                <w:color w:val="auto"/>
              </w:rPr>
            </w:pPr>
          </w:p>
        </w:tc>
      </w:tr>
      <w:tr>
        <w:trPr>
          <w:trHeight w:val="142"/>
        </w:trPr>
        <w:tc>
          <w:tcPr>
            <w:tcW w:w="3040" w:type="dxa"/>
            <w:vAlign w:val="bottom"/>
          </w:tcPr>
          <w:p>
            <w:pPr>
              <w:ind w:left="140"/>
              <w:spacing w:after="0"/>
              <w:rPr>
                <w:sz w:val="20"/>
                <w:szCs w:val="20"/>
                <w:color w:val="auto"/>
              </w:rPr>
            </w:pPr>
            <w:r>
              <w:rPr>
                <w:rFonts w:ascii="Arial" w:cs="Arial" w:eastAsia="Arial" w:hAnsi="Arial"/>
                <w:sz w:val="12"/>
                <w:szCs w:val="12"/>
                <w:color w:val="auto"/>
              </w:rPr>
              <w:t>(Winter Park Intermediate, Inc.)</w:t>
            </w:r>
          </w:p>
        </w:tc>
        <w:tc>
          <w:tcPr>
            <w:tcW w:w="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ZS Juniper L.P.</w:t>
            </w:r>
          </w:p>
        </w:tc>
        <w:tc>
          <w:tcPr>
            <w:tcW w:w="940" w:type="dxa"/>
            <w:vAlign w:val="bottom"/>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300"/>
              <w:spacing w:after="0"/>
              <w:rPr>
                <w:sz w:val="20"/>
                <w:szCs w:val="20"/>
                <w:color w:val="auto"/>
              </w:rPr>
            </w:pPr>
            <w:r>
              <w:rPr>
                <w:rFonts w:ascii="Arial" w:cs="Arial" w:eastAsia="Arial" w:hAnsi="Arial"/>
                <w:sz w:val="12"/>
                <w:szCs w:val="12"/>
                <w:color w:val="auto"/>
                <w:w w:val="86"/>
              </w:rPr>
              <w:t>Personal, Food and Miscellaneous Services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754,264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789,913</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shd w:val="clear" w:color="auto" w:fill="CCECFF"/>
          </w:tcPr>
          <w:p>
            <w:pPr>
              <w:ind w:left="14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(9)</w:t>
            </w:r>
          </w:p>
        </w:tc>
        <w:tc>
          <w:tcPr>
            <w:tcW w:w="94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w w:val="99"/>
              </w:rPr>
              <w:t>Total Common Equity/Partnership Interests/Warrants</w:t>
            </w:r>
          </w:p>
        </w:tc>
        <w:tc>
          <w:tcPr>
            <w:tcW w:w="940" w:type="dxa"/>
            <w:vAlign w:val="bottom"/>
            <w:tcBorders>
              <w:bottom w:val="single" w:sz="8" w:color="CCECFF"/>
            </w:tcBorders>
          </w:tcPr>
          <w:p>
            <w:pPr>
              <w:spacing w:after="0"/>
              <w:rPr>
                <w:sz w:val="12"/>
                <w:szCs w:val="12"/>
                <w:color w:val="auto"/>
              </w:rPr>
            </w:pPr>
          </w:p>
        </w:tc>
        <w:tc>
          <w:tcPr>
            <w:tcW w:w="240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35,985,670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36,215,529</w:t>
            </w:r>
          </w:p>
        </w:tc>
        <w:tc>
          <w:tcPr>
            <w:tcW w:w="100" w:type="dxa"/>
            <w:vAlign w:val="bottom"/>
            <w:tcBorders>
              <w:bottom w:val="single" w:sz="8" w:color="CCECFF"/>
            </w:tcBorders>
          </w:tcPr>
          <w:p>
            <w:pPr>
              <w:spacing w:after="0"/>
              <w:rPr>
                <w:sz w:val="12"/>
                <w:szCs w:val="12"/>
                <w:color w:val="auto"/>
              </w:rPr>
            </w:pPr>
          </w:p>
        </w:tc>
      </w:tr>
      <w:tr>
        <w:trPr>
          <w:trHeight w:val="142"/>
        </w:trPr>
        <w:tc>
          <w:tcPr>
            <w:tcW w:w="398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5"/>
              </w:rPr>
              <w:t>Total Investments in Non-Controlled, Non-Affiliated Portfolio Companies</w:t>
            </w: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790,789,351</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800,681,196</w:t>
            </w:r>
          </w:p>
        </w:tc>
        <w:tc>
          <w:tcPr>
            <w:tcW w:w="100" w:type="dxa"/>
            <w:vAlign w:val="bottom"/>
            <w:shd w:val="clear" w:color="auto" w:fill="CCECFF"/>
          </w:tcPr>
          <w:p>
            <w:pPr>
              <w:spacing w:after="0"/>
              <w:rPr>
                <w:sz w:val="12"/>
                <w:szCs w:val="12"/>
                <w:color w:val="auto"/>
              </w:rPr>
            </w:pPr>
          </w:p>
        </w:tc>
      </w:tr>
      <w:tr>
        <w:trPr>
          <w:trHeight w:val="142"/>
        </w:trPr>
        <w:tc>
          <w:tcPr>
            <w:tcW w:w="3980" w:type="dxa"/>
            <w:vAlign w:val="bottom"/>
            <w:gridSpan w:val="2"/>
          </w:tcPr>
          <w:p>
            <w:pPr>
              <w:spacing w:after="0"/>
              <w:rPr>
                <w:sz w:val="20"/>
                <w:szCs w:val="20"/>
                <w:color w:val="auto"/>
              </w:rPr>
            </w:pPr>
            <w:r>
              <w:rPr>
                <w:rFonts w:ascii="Arial" w:cs="Arial" w:eastAsia="Arial" w:hAnsi="Arial"/>
                <w:sz w:val="12"/>
                <w:szCs w:val="12"/>
                <w:b w:val="1"/>
                <w:bCs w:val="1"/>
                <w:color w:val="auto"/>
                <w:w w:val="92"/>
              </w:rPr>
              <w:t xml:space="preserve">Investments in Non-Controlled, Affiliated Portfolio Companies—11.9% </w:t>
            </w:r>
            <w:r>
              <w:rPr>
                <w:rFonts w:ascii="Arial" w:cs="Arial" w:eastAsia="Arial" w:hAnsi="Arial"/>
                <w:sz w:val="9"/>
                <w:szCs w:val="9"/>
                <w:b w:val="1"/>
                <w:bCs w:val="1"/>
                <w:color w:val="auto"/>
                <w:w w:val="92"/>
              </w:rPr>
              <w:t>(1), (2)</w:t>
            </w: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Debt—1.9%</w:t>
            </w:r>
          </w:p>
        </w:tc>
        <w:tc>
          <w:tcPr>
            <w:tcW w:w="94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U.S. Well Services, LLC</w:t>
            </w:r>
          </w:p>
        </w:tc>
        <w:tc>
          <w:tcPr>
            <w:tcW w:w="940" w:type="dxa"/>
            <w:vAlign w:val="bottom"/>
          </w:tcPr>
          <w:p>
            <w:pPr>
              <w:spacing w:after="0"/>
              <w:rPr>
                <w:sz w:val="20"/>
                <w:szCs w:val="20"/>
                <w:color w:val="auto"/>
              </w:rPr>
            </w:pPr>
            <w:r>
              <w:rPr>
                <w:rFonts w:ascii="Arial" w:cs="Arial" w:eastAsia="Arial" w:hAnsi="Arial"/>
                <w:sz w:val="12"/>
                <w:szCs w:val="12"/>
                <w:color w:val="auto"/>
              </w:rPr>
              <w:t>02/02/2022</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00" w:type="dxa"/>
            <w:vAlign w:val="bottom"/>
            <w:gridSpan w:val="2"/>
          </w:tcPr>
          <w:p>
            <w:pPr>
              <w:jc w:val="right"/>
              <w:ind w:right="140"/>
              <w:spacing w:after="0"/>
              <w:rPr>
                <w:sz w:val="20"/>
                <w:szCs w:val="20"/>
                <w:color w:val="auto"/>
              </w:rPr>
            </w:pPr>
            <w:r>
              <w:rPr>
                <w:rFonts w:ascii="Arial" w:cs="Arial" w:eastAsia="Arial" w:hAnsi="Arial"/>
                <w:sz w:val="12"/>
                <w:szCs w:val="12"/>
                <w:color w:val="auto"/>
              </w:rPr>
              <w:t>10.98%</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1M L+900</w:t>
            </w:r>
          </w:p>
        </w:tc>
        <w:tc>
          <w:tcPr>
            <w:tcW w:w="660" w:type="dxa"/>
            <w:vAlign w:val="bottom"/>
          </w:tcPr>
          <w:p>
            <w:pPr>
              <w:jc w:val="right"/>
              <w:spacing w:after="0"/>
              <w:rPr>
                <w:sz w:val="20"/>
                <w:szCs w:val="20"/>
                <w:color w:val="auto"/>
              </w:rPr>
            </w:pPr>
            <w:r>
              <w:rPr>
                <w:rFonts w:ascii="Arial" w:cs="Arial" w:eastAsia="Arial" w:hAnsi="Arial"/>
                <w:sz w:val="12"/>
                <w:szCs w:val="12"/>
                <w:color w:val="auto"/>
              </w:rPr>
              <w:t>10,153,569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10,087,246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10,153,569</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U.S. Well Services, LLC (Revolver)</w:t>
            </w:r>
          </w:p>
        </w:tc>
        <w:tc>
          <w:tcPr>
            <w:tcW w:w="940" w:type="dxa"/>
            <w:vAlign w:val="bottom"/>
            <w:shd w:val="clear" w:color="auto" w:fill="CCECFF"/>
          </w:tcPr>
          <w:p>
            <w:pPr>
              <w:spacing w:after="0"/>
              <w:rPr>
                <w:sz w:val="20"/>
                <w:szCs w:val="20"/>
                <w:color w:val="auto"/>
              </w:rPr>
            </w:pPr>
            <w:r>
              <w:rPr>
                <w:rFonts w:ascii="Arial" w:cs="Arial" w:eastAsia="Arial" w:hAnsi="Arial"/>
                <w:sz w:val="12"/>
                <w:szCs w:val="12"/>
                <w:color w:val="auto"/>
              </w:rPr>
              <w:t>02/02/2022</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0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7.98%</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1M L+600</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1,680,528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1,680,528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1,680,528</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(7)</w:t>
            </w:r>
          </w:p>
        </w:tc>
        <w:tc>
          <w:tcPr>
            <w:tcW w:w="940" w:type="dxa"/>
            <w:vAlign w:val="bottom"/>
          </w:tcPr>
          <w:p>
            <w:pPr>
              <w:spacing w:after="0"/>
              <w:rPr>
                <w:sz w:val="20"/>
                <w:szCs w:val="20"/>
                <w:color w:val="auto"/>
              </w:rPr>
            </w:pPr>
            <w:r>
              <w:rPr>
                <w:rFonts w:ascii="Arial" w:cs="Arial" w:eastAsia="Arial" w:hAnsi="Arial"/>
                <w:sz w:val="12"/>
                <w:szCs w:val="12"/>
                <w:color w:val="auto"/>
              </w:rPr>
              <w:t>02/02/2022</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511,893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940" w:type="dxa"/>
            <w:vAlign w:val="bottom"/>
            <w:tcBorders>
              <w:top w:val="single" w:sz="8" w:color="CCECFF"/>
            </w:tcBorders>
            <w:shd w:val="clear" w:color="auto" w:fill="CCECFF"/>
          </w:tcPr>
          <w:p>
            <w:pPr>
              <w:spacing w:after="0"/>
              <w:rPr>
                <w:sz w:val="12"/>
                <w:szCs w:val="12"/>
                <w:color w:val="auto"/>
              </w:rPr>
            </w:pPr>
          </w:p>
        </w:tc>
        <w:tc>
          <w:tcPr>
            <w:tcW w:w="2400" w:type="dxa"/>
            <w:vAlign w:val="bottom"/>
            <w:tcBorders>
              <w:top w:val="single" w:sz="8" w:color="CCECFF"/>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80" w:type="dxa"/>
            <w:vAlign w:val="bottom"/>
            <w:tcBorders>
              <w:top w:val="single" w:sz="8" w:color="CCECFF"/>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CCECFF"/>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11,767,774</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64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11,834,097</w:t>
            </w:r>
          </w:p>
        </w:tc>
        <w:tc>
          <w:tcPr>
            <w:tcW w:w="100" w:type="dxa"/>
            <w:vAlign w:val="bottom"/>
            <w:tcBorders>
              <w:top w:val="single" w:sz="8" w:color="CCECFF"/>
            </w:tcBorders>
            <w:shd w:val="clear" w:color="auto" w:fill="CCECFF"/>
          </w:tcPr>
          <w:p>
            <w:pPr>
              <w:spacing w:after="0"/>
              <w:rPr>
                <w:sz w:val="12"/>
                <w:szCs w:val="12"/>
                <w:color w:val="auto"/>
              </w:rPr>
            </w:pPr>
          </w:p>
        </w:tc>
      </w:tr>
      <w:tr>
        <w:trPr>
          <w:trHeight w:val="142"/>
        </w:trPr>
        <w:tc>
          <w:tcPr>
            <w:tcW w:w="3040" w:type="dxa"/>
            <w:vAlign w:val="bottom"/>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Interests/Warrants—10.0% </w:t>
            </w:r>
            <w:r>
              <w:rPr>
                <w:rFonts w:ascii="Arial" w:cs="Arial" w:eastAsia="Arial" w:hAnsi="Arial"/>
                <w:sz w:val="9"/>
                <w:szCs w:val="9"/>
                <w:b w:val="1"/>
                <w:bCs w:val="1"/>
                <w:color w:val="auto"/>
                <w:w w:val="91"/>
              </w:rPr>
              <w:t>(6)</w:t>
            </w:r>
          </w:p>
        </w:tc>
        <w:tc>
          <w:tcPr>
            <w:tcW w:w="94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w:t>
            </w:r>
          </w:p>
        </w:tc>
        <w:tc>
          <w:tcPr>
            <w:tcW w:w="940" w:type="dxa"/>
            <w:vAlign w:val="bottom"/>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859,496</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16,610,368</w:t>
            </w:r>
          </w:p>
        </w:tc>
        <w:tc>
          <w:tcPr>
            <w:tcW w:w="100" w:type="dxa"/>
            <w:vAlign w:val="bottom"/>
            <w:shd w:val="clear" w:color="auto" w:fill="CCECFF"/>
          </w:tcPr>
          <w:p>
            <w:pPr>
              <w:spacing w:after="0"/>
              <w:rPr>
                <w:sz w:val="12"/>
                <w:szCs w:val="12"/>
                <w:color w:val="auto"/>
              </w:rPr>
            </w:pPr>
          </w:p>
        </w:tc>
      </w:tr>
      <w:tr>
        <w:trPr>
          <w:trHeight w:val="148"/>
        </w:trPr>
        <w:tc>
          <w:tcPr>
            <w:tcW w:w="3040" w:type="dxa"/>
            <w:vAlign w:val="bottom"/>
          </w:tcPr>
          <w:p>
            <w:pPr>
              <w:spacing w:after="0"/>
              <w:rPr>
                <w:sz w:val="20"/>
                <w:szCs w:val="20"/>
                <w:color w:val="auto"/>
              </w:rPr>
            </w:pPr>
            <w:r>
              <w:rPr>
                <w:rFonts w:ascii="Arial" w:cs="Arial" w:eastAsia="Arial" w:hAnsi="Arial"/>
                <w:sz w:val="12"/>
                <w:szCs w:val="12"/>
                <w:color w:val="auto"/>
              </w:rPr>
              <w:t>Affinion Group Holdings, Inc., Series C and Series D</w:t>
            </w:r>
          </w:p>
        </w:tc>
        <w:tc>
          <w:tcPr>
            <w:tcW w:w="940" w:type="dxa"/>
            <w:vAlign w:val="bottom"/>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6"/>
              </w:rPr>
              <w:t>Consumer Products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37,181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10,265,973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28,839</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Big Run, Inc.</w:t>
            </w:r>
          </w:p>
        </w:tc>
        <w:tc>
          <w:tcPr>
            <w:tcW w:w="940" w:type="dxa"/>
            <w:vAlign w:val="bottom"/>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Environmental Services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143,668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674,943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449,962</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(9)</w:t>
            </w:r>
          </w:p>
        </w:tc>
        <w:tc>
          <w:tcPr>
            <w:tcW w:w="940" w:type="dxa"/>
            <w:vAlign w:val="bottom"/>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00" w:type="dxa"/>
            <w:vAlign w:val="bottom"/>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Pr>
          <w:p>
            <w:pPr>
              <w:jc w:val="right"/>
              <w:spacing w:after="0"/>
              <w:rPr>
                <w:sz w:val="20"/>
                <w:szCs w:val="20"/>
                <w:color w:val="auto"/>
              </w:rPr>
            </w:pPr>
            <w:r>
              <w:rPr>
                <w:rFonts w:ascii="Arial" w:cs="Arial" w:eastAsia="Arial" w:hAnsi="Arial"/>
                <w:sz w:val="12"/>
                <w:szCs w:val="12"/>
                <w:color w:val="auto"/>
              </w:rPr>
              <w:t>1,658,389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29,711,576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32,977,668</w:t>
            </w:r>
          </w:p>
        </w:tc>
        <w:tc>
          <w:tcPr>
            <w:tcW w:w="100" w:type="dxa"/>
            <w:vAlign w:val="bottom"/>
          </w:tcPr>
          <w:p>
            <w:pPr>
              <w:spacing w:after="0"/>
              <w:rPr>
                <w:sz w:val="12"/>
                <w:szCs w:val="12"/>
                <w:color w:val="auto"/>
              </w:rPr>
            </w:pPr>
          </w:p>
        </w:tc>
      </w:tr>
      <w:tr>
        <w:trPr>
          <w:trHeight w:val="148"/>
        </w:trPr>
        <w:tc>
          <w:tcPr>
            <w:tcW w:w="3040" w:type="dxa"/>
            <w:vAlign w:val="bottom"/>
            <w:shd w:val="clear" w:color="auto" w:fill="CCECFF"/>
          </w:tcPr>
          <w:p>
            <w:pPr>
              <w:spacing w:after="0"/>
              <w:rPr>
                <w:sz w:val="20"/>
                <w:szCs w:val="20"/>
                <w:color w:val="auto"/>
              </w:rPr>
            </w:pPr>
            <w:r>
              <w:rPr>
                <w:rFonts w:ascii="Arial" w:cs="Arial" w:eastAsia="Arial" w:hAnsi="Arial"/>
                <w:sz w:val="12"/>
                <w:szCs w:val="12"/>
                <w:color w:val="auto"/>
              </w:rPr>
              <w:t>ETX Energy Management Company, LLC</w:t>
            </w:r>
          </w:p>
        </w:tc>
        <w:tc>
          <w:tcPr>
            <w:tcW w:w="940" w:type="dxa"/>
            <w:vAlign w:val="bottom"/>
            <w:shd w:val="clear" w:color="auto" w:fill="CCECFF"/>
          </w:tcPr>
          <w:p>
            <w:pPr>
              <w:ind w:left="260"/>
              <w:spacing w:after="0"/>
              <w:rPr>
                <w:sz w:val="20"/>
                <w:szCs w:val="20"/>
                <w:color w:val="auto"/>
              </w:rPr>
            </w:pPr>
            <w:r>
              <w:rPr>
                <w:rFonts w:ascii="Arial" w:cs="Arial" w:eastAsia="Arial" w:hAnsi="Arial"/>
                <w:sz w:val="12"/>
                <w:szCs w:val="12"/>
                <w:color w:val="auto"/>
              </w:rPr>
              <w:t>—</w:t>
            </w:r>
          </w:p>
        </w:tc>
        <w:tc>
          <w:tcPr>
            <w:tcW w:w="2520" w:type="dxa"/>
            <w:vAlign w:val="bottom"/>
            <w:gridSpan w:val="2"/>
            <w:shd w:val="clear" w:color="auto" w:fill="CCECFF"/>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00" w:type="dxa"/>
            <w:vAlign w:val="bottom"/>
            <w:gridSpan w:val="2"/>
            <w:shd w:val="clear" w:color="auto" w:fill="CCECFF"/>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1,754,104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1,562,020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1,733,129</w:t>
            </w:r>
          </w:p>
        </w:tc>
        <w:tc>
          <w:tcPr>
            <w:tcW w:w="100" w:type="dxa"/>
            <w:vAlign w:val="bottom"/>
            <w:shd w:val="clear" w:color="auto" w:fill="CCECFF"/>
          </w:tcPr>
          <w:p>
            <w:pPr>
              <w:spacing w:after="0"/>
              <w:rPr>
                <w:sz w:val="12"/>
                <w:szCs w:val="12"/>
                <w:color w:val="auto"/>
              </w:rPr>
            </w:pPr>
          </w:p>
        </w:tc>
      </w:tr>
      <w:tr>
        <w:trPr>
          <w:trHeight w:val="149"/>
        </w:trPr>
        <w:tc>
          <w:tcPr>
            <w:tcW w:w="304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 xml:space="preserve">USWS Holdings, LLC - Class A and Class B </w:t>
            </w:r>
            <w:r>
              <w:rPr>
                <w:rFonts w:ascii="Arial" w:cs="Arial" w:eastAsia="Arial" w:hAnsi="Arial"/>
                <w:sz w:val="9"/>
                <w:szCs w:val="9"/>
                <w:color w:val="auto"/>
              </w:rPr>
              <w:t>(9)</w:t>
            </w:r>
          </w:p>
        </w:tc>
        <w:tc>
          <w:tcPr>
            <w:tcW w:w="940" w:type="dxa"/>
            <w:vAlign w:val="bottom"/>
            <w:tcBorders>
              <w:bottom w:val="single" w:sz="8" w:color="CCECFF"/>
            </w:tcBorders>
          </w:tcPr>
          <w:p>
            <w:pPr>
              <w:ind w:left="260"/>
              <w:spacing w:after="0"/>
              <w:rPr>
                <w:sz w:val="20"/>
                <w:szCs w:val="20"/>
                <w:color w:val="auto"/>
              </w:rPr>
            </w:pPr>
            <w:r>
              <w:rPr>
                <w:rFonts w:ascii="Arial" w:cs="Arial" w:eastAsia="Arial" w:hAnsi="Arial"/>
                <w:sz w:val="12"/>
                <w:szCs w:val="12"/>
                <w:color w:val="auto"/>
              </w:rPr>
              <w:t>—</w:t>
            </w:r>
          </w:p>
        </w:tc>
        <w:tc>
          <w:tcPr>
            <w:tcW w:w="2520" w:type="dxa"/>
            <w:vAlign w:val="bottom"/>
            <w:tcBorders>
              <w:bottom w:val="single" w:sz="8" w:color="CCECFF"/>
            </w:tcBorders>
            <w:gridSpan w:val="2"/>
          </w:tcPr>
          <w:p>
            <w:pPr>
              <w:jc w:val="center"/>
              <w:ind w:right="280"/>
              <w:spacing w:after="0"/>
              <w:rPr>
                <w:sz w:val="20"/>
                <w:szCs w:val="20"/>
                <w:color w:val="auto"/>
              </w:rPr>
            </w:pPr>
            <w:r>
              <w:rPr>
                <w:rFonts w:ascii="Arial" w:cs="Arial" w:eastAsia="Arial" w:hAnsi="Arial"/>
                <w:sz w:val="12"/>
                <w:szCs w:val="12"/>
                <w:color w:val="auto"/>
                <w:w w:val="88"/>
              </w:rPr>
              <w:t>Oil and Gas</w:t>
            </w:r>
          </w:p>
        </w:tc>
        <w:tc>
          <w:tcPr>
            <w:tcW w:w="900" w:type="dxa"/>
            <w:vAlign w:val="bottom"/>
            <w:tcBorders>
              <w:bottom w:val="single" w:sz="8" w:color="CCECFF"/>
            </w:tcBorders>
            <w:gridSpan w:val="2"/>
          </w:tcPr>
          <w:p>
            <w:pPr>
              <w:jc w:val="right"/>
              <w:ind w:right="260"/>
              <w:spacing w:after="0"/>
              <w:rPr>
                <w:sz w:val="20"/>
                <w:szCs w:val="20"/>
                <w:color w:val="auto"/>
              </w:rPr>
            </w:pPr>
            <w:r>
              <w:rPr>
                <w:rFonts w:ascii="Arial" w:cs="Arial" w:eastAsia="Arial" w:hAnsi="Arial"/>
                <w:sz w:val="12"/>
                <w:szCs w:val="12"/>
                <w:color w:val="auto"/>
              </w:rPr>
              <w:t>—</w:t>
            </w:r>
          </w:p>
        </w:tc>
        <w:tc>
          <w:tcPr>
            <w:tcW w:w="1120" w:type="dxa"/>
            <w:vAlign w:val="bottom"/>
            <w:tcBorders>
              <w:bottom w:val="single" w:sz="8" w:color="CCECFF"/>
            </w:tcBorders>
            <w:gridSpan w:val="2"/>
          </w:tcPr>
          <w:p>
            <w:pPr>
              <w:jc w:val="right"/>
              <w:ind w:right="240"/>
              <w:spacing w:after="0"/>
              <w:rPr>
                <w:sz w:val="20"/>
                <w:szCs w:val="20"/>
                <w:color w:val="auto"/>
              </w:rPr>
            </w:pPr>
            <w:r>
              <w:rPr>
                <w:rFonts w:ascii="Arial" w:cs="Arial" w:eastAsia="Arial" w:hAnsi="Arial"/>
                <w:sz w:val="12"/>
                <w:szCs w:val="12"/>
                <w:color w:val="auto"/>
              </w:rPr>
              <w:t>—</w:t>
            </w:r>
          </w:p>
        </w:tc>
        <w:tc>
          <w:tcPr>
            <w:tcW w:w="66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8,190,817</w:t>
            </w: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7,023,750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12,181,914</w:t>
            </w:r>
          </w:p>
        </w:tc>
        <w:tc>
          <w:tcPr>
            <w:tcW w:w="100" w:type="dxa"/>
            <w:vAlign w:val="bottom"/>
            <w:tcBorders>
              <w:bottom w:val="single" w:sz="8" w:color="CCECFF"/>
            </w:tcBorders>
          </w:tcPr>
          <w:p>
            <w:pPr>
              <w:spacing w:after="0"/>
              <w:rPr>
                <w:sz w:val="12"/>
                <w:szCs w:val="12"/>
                <w:color w:val="auto"/>
              </w:rPr>
            </w:pPr>
          </w:p>
        </w:tc>
      </w:tr>
      <w:tr>
        <w:trPr>
          <w:trHeight w:val="142"/>
        </w:trPr>
        <w:tc>
          <w:tcPr>
            <w:tcW w:w="30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9"/>
              </w:rPr>
              <w:t>Total Common Equity/Partnership Interests/Warrants</w:t>
            </w:r>
          </w:p>
        </w:tc>
        <w:tc>
          <w:tcPr>
            <w:tcW w:w="940" w:type="dxa"/>
            <w:vAlign w:val="bottom"/>
            <w:shd w:val="clear" w:color="auto" w:fill="CCECFF"/>
          </w:tcPr>
          <w:p>
            <w:pPr>
              <w:spacing w:after="0"/>
              <w:rPr>
                <w:sz w:val="12"/>
                <w:szCs w:val="12"/>
                <w:color w:val="auto"/>
              </w:rPr>
            </w:pPr>
          </w:p>
        </w:tc>
        <w:tc>
          <w:tcPr>
            <w:tcW w:w="240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79,741,755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63,981,880</w:t>
            </w:r>
          </w:p>
        </w:tc>
        <w:tc>
          <w:tcPr>
            <w:tcW w:w="100" w:type="dxa"/>
            <w:vAlign w:val="bottom"/>
            <w:shd w:val="clear" w:color="auto" w:fill="CCECFF"/>
          </w:tcPr>
          <w:p>
            <w:pPr>
              <w:spacing w:after="0"/>
              <w:rPr>
                <w:sz w:val="12"/>
                <w:szCs w:val="12"/>
                <w:color w:val="auto"/>
              </w:rPr>
            </w:pPr>
          </w:p>
        </w:tc>
      </w:tr>
      <w:tr>
        <w:trPr>
          <w:trHeight w:val="142"/>
        </w:trPr>
        <w:tc>
          <w:tcPr>
            <w:tcW w:w="3980" w:type="dxa"/>
            <w:vAlign w:val="bottom"/>
            <w:gridSpan w:val="2"/>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91,509,529</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75,815,977</w:t>
            </w:r>
          </w:p>
        </w:tc>
        <w:tc>
          <w:tcPr>
            <w:tcW w:w="100" w:type="dxa"/>
            <w:vAlign w:val="bottom"/>
          </w:tcPr>
          <w:p>
            <w:pPr>
              <w:spacing w:after="0"/>
              <w:rPr>
                <w:sz w:val="12"/>
                <w:szCs w:val="12"/>
                <w:color w:val="auto"/>
              </w:rPr>
            </w:pPr>
          </w:p>
        </w:tc>
      </w:tr>
    </w:tbl>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INVESTMENTS—(Continued)</w:t>
      </w:r>
    </w:p>
    <w:p>
      <w:pPr>
        <w:jc w:val="center"/>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(Unaudited)</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0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360" w:type="dxa"/>
            <w:vAlign w:val="bottom"/>
          </w:tcPr>
          <w:p>
            <w:pPr>
              <w:spacing w:after="0"/>
              <w:rPr>
                <w:sz w:val="11"/>
                <w:szCs w:val="11"/>
                <w:color w:val="auto"/>
              </w:rPr>
            </w:pPr>
          </w:p>
        </w:tc>
        <w:tc>
          <w:tcPr>
            <w:tcW w:w="1060" w:type="dxa"/>
            <w:vAlign w:val="bottom"/>
            <w:gridSpan w:val="2"/>
          </w:tcPr>
          <w:p>
            <w:pPr>
              <w:jc w:val="right"/>
              <w:ind w:right="30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2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02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236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060" w:type="dxa"/>
            <w:vAlign w:val="bottom"/>
            <w:gridSpan w:val="2"/>
          </w:tcPr>
          <w:p>
            <w:pPr>
              <w:jc w:val="right"/>
              <w:ind w:right="30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220" w:type="dxa"/>
            <w:vAlign w:val="bottom"/>
          </w:tcPr>
          <w:p>
            <w:pPr>
              <w:spacing w:after="0"/>
              <w:rPr>
                <w:sz w:val="12"/>
                <w:szCs w:val="12"/>
                <w:color w:val="auto"/>
              </w:rPr>
            </w:pPr>
          </w:p>
        </w:tc>
        <w:tc>
          <w:tcPr>
            <w:tcW w:w="580" w:type="dxa"/>
            <w:vAlign w:val="bottom"/>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42"/>
        </w:trPr>
        <w:tc>
          <w:tcPr>
            <w:tcW w:w="396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w w:val="97"/>
              </w:rPr>
              <w:t xml:space="preserve">Investments in Controlled, Affiliated Portfolio Companies—23.3% </w:t>
            </w:r>
            <w:r>
              <w:rPr>
                <w:rFonts w:ascii="Arial" w:cs="Arial" w:eastAsia="Arial" w:hAnsi="Arial"/>
                <w:sz w:val="9"/>
                <w:szCs w:val="9"/>
                <w:b w:val="1"/>
                <w:bCs w:val="1"/>
                <w:color w:val="auto"/>
                <w:w w:val="97"/>
              </w:rPr>
              <w:t>(1), (2)</w:t>
            </w:r>
          </w:p>
        </w:tc>
        <w:tc>
          <w:tcPr>
            <w:tcW w:w="2360" w:type="dxa"/>
            <w:vAlign w:val="bottom"/>
            <w:tcBorders>
              <w:top w:val="single" w:sz="8" w:color="auto"/>
            </w:tcBorders>
            <w:shd w:val="clear" w:color="auto" w:fill="CCECFF"/>
          </w:tcPr>
          <w:p>
            <w:pPr>
              <w:spacing w:after="0"/>
              <w:rPr>
                <w:sz w:val="12"/>
                <w:szCs w:val="12"/>
                <w:color w:val="auto"/>
              </w:rPr>
            </w:pPr>
          </w:p>
        </w:tc>
        <w:tc>
          <w:tcPr>
            <w:tcW w:w="9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auto"/>
            </w:tcBorders>
            <w:shd w:val="clear" w:color="auto" w:fill="CCECFF"/>
          </w:tcPr>
          <w:p>
            <w:pPr>
              <w:spacing w:after="0"/>
              <w:rPr>
                <w:sz w:val="12"/>
                <w:szCs w:val="12"/>
                <w:color w:val="auto"/>
              </w:rPr>
            </w:pPr>
          </w:p>
        </w:tc>
        <w:tc>
          <w:tcPr>
            <w:tcW w:w="58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Debt—14.8%</w:t>
            </w: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0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03/13/2024</w:t>
            </w:r>
          </w:p>
        </w:tc>
        <w:tc>
          <w:tcPr>
            <w:tcW w:w="23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6.37%</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3M L+575</w:t>
            </w:r>
          </w:p>
        </w:tc>
        <w:tc>
          <w:tcPr>
            <w:tcW w:w="2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39,051,600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36,967,112</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RAM Energy LLC</w:t>
            </w:r>
          </w:p>
        </w:tc>
        <w:tc>
          <w:tcPr>
            <w:tcW w:w="1020" w:type="dxa"/>
            <w:vAlign w:val="bottom"/>
          </w:tcPr>
          <w:p>
            <w:pPr>
              <w:ind w:left="120"/>
              <w:spacing w:after="0"/>
              <w:rPr>
                <w:sz w:val="20"/>
                <w:szCs w:val="20"/>
                <w:color w:val="auto"/>
              </w:rPr>
            </w:pPr>
            <w:r>
              <w:rPr>
                <w:rFonts w:ascii="Arial" w:cs="Arial" w:eastAsia="Arial" w:hAnsi="Arial"/>
                <w:sz w:val="12"/>
                <w:szCs w:val="12"/>
                <w:color w:val="auto"/>
              </w:rPr>
              <w:t>07/01/2022</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35,000,000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35,000,000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RAM Energy LLC (Revolver)</w:t>
            </w:r>
          </w:p>
        </w:tc>
        <w:tc>
          <w:tcPr>
            <w:tcW w:w="10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07/01/2022</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RAM Energy LLC (Revolver) </w:t>
            </w:r>
            <w:r>
              <w:rPr>
                <w:rFonts w:ascii="Arial" w:cs="Arial" w:eastAsia="Arial" w:hAnsi="Arial"/>
                <w:sz w:val="9"/>
                <w:szCs w:val="9"/>
                <w:color w:val="auto"/>
              </w:rPr>
              <w:t>(7)</w:t>
            </w:r>
          </w:p>
        </w:tc>
        <w:tc>
          <w:tcPr>
            <w:tcW w:w="1020" w:type="dxa"/>
            <w:vAlign w:val="bottom"/>
          </w:tcPr>
          <w:p>
            <w:pPr>
              <w:ind w:left="120"/>
              <w:spacing w:after="0"/>
              <w:rPr>
                <w:sz w:val="20"/>
                <w:szCs w:val="20"/>
                <w:color w:val="auto"/>
              </w:rPr>
            </w:pPr>
            <w:r>
              <w:rPr>
                <w:rFonts w:ascii="Arial" w:cs="Arial" w:eastAsia="Arial" w:hAnsi="Arial"/>
                <w:sz w:val="12"/>
                <w:szCs w:val="12"/>
                <w:color w:val="auto"/>
              </w:rPr>
              <w:t>07/01/2022</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11,000,000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LLC</w:t>
            </w:r>
          </w:p>
        </w:tc>
        <w:tc>
          <w:tcPr>
            <w:tcW w:w="102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12/31/2018</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7.82%</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3M L+550</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22,721,234</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22,176,125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18,450,000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106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(PIK 7.82%)</w:t>
            </w: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100,227,725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94,417,112</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Preferred Equity—2.1% </w:t>
            </w:r>
            <w:r>
              <w:rPr>
                <w:rFonts w:ascii="Arial" w:cs="Arial" w:eastAsia="Arial" w:hAnsi="Arial"/>
                <w:sz w:val="9"/>
                <w:szCs w:val="9"/>
                <w:b w:val="1"/>
                <w:bCs w:val="1"/>
                <w:color w:val="auto"/>
              </w:rPr>
              <w:t>(6)</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tcPr>
          <w:p>
            <w:pPr>
              <w:spacing w:after="0"/>
              <w:rPr>
                <w:sz w:val="20"/>
                <w:szCs w:val="20"/>
                <w:color w:val="auto"/>
              </w:rPr>
            </w:pPr>
            <w:r>
              <w:rPr>
                <w:rFonts w:ascii="Arial" w:cs="Arial" w:eastAsia="Arial" w:hAnsi="Arial"/>
                <w:sz w:val="12"/>
                <w:szCs w:val="12"/>
                <w:color w:val="auto"/>
              </w:rPr>
              <w:t>MidOcean JF Holdings Corp.</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spacing w:after="0"/>
              <w:rPr>
                <w:sz w:val="20"/>
                <w:szCs w:val="20"/>
                <w:color w:val="auto"/>
              </w:rPr>
            </w:pPr>
            <w:r>
              <w:rPr>
                <w:rFonts w:ascii="Arial" w:cs="Arial" w:eastAsia="Arial" w:hAnsi="Arial"/>
                <w:sz w:val="12"/>
                <w:szCs w:val="12"/>
                <w:color w:val="auto"/>
                <w:w w:val="93"/>
              </w:rPr>
              <w:t>Distribution</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153,922</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15,392,188</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13,124,124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873,289</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30,011,027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Preferred Equity</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45,403,215</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13,124,124</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 xml:space="preserve">Common Equity—6.4% </w:t>
            </w:r>
            <w:r>
              <w:rPr>
                <w:rFonts w:ascii="Arial" w:cs="Arial" w:eastAsia="Arial" w:hAnsi="Arial"/>
                <w:sz w:val="9"/>
                <w:szCs w:val="9"/>
                <w:b w:val="1"/>
                <w:bCs w:val="1"/>
                <w:color w:val="auto"/>
              </w:rPr>
              <w:t>(6)</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 xml:space="preserve">AKW Holdings Limited </w:t>
            </w:r>
            <w:r>
              <w:rPr>
                <w:rFonts w:ascii="Arial" w:cs="Arial" w:eastAsia="Arial" w:hAnsi="Arial"/>
                <w:sz w:val="9"/>
                <w:szCs w:val="9"/>
                <w:color w:val="auto"/>
              </w:rPr>
              <w:t>(8), (10), (11)</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spacing w:after="0"/>
              <w:rPr>
                <w:sz w:val="20"/>
                <w:szCs w:val="20"/>
                <w:color w:val="auto"/>
              </w:rPr>
            </w:pPr>
            <w:r>
              <w:rPr>
                <w:rFonts w:ascii="Arial" w:cs="Arial" w:eastAsia="Arial" w:hAnsi="Arial"/>
                <w:sz w:val="12"/>
                <w:szCs w:val="12"/>
                <w:color w:val="auto"/>
                <w:w w:val="87"/>
              </w:rPr>
              <w:t>Healthcare, Education and Childcare</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jc w:val="right"/>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950</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132,497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1,560,804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RAM Energy Holdings LLC</w:t>
            </w:r>
          </w:p>
        </w:tc>
        <w:tc>
          <w:tcPr>
            <w:tcW w:w="1020" w:type="dxa"/>
            <w:vAlign w:val="bottom"/>
          </w:tcPr>
          <w:p>
            <w:pPr>
              <w:ind w:left="380"/>
              <w:spacing w:after="0"/>
              <w:rPr>
                <w:sz w:val="20"/>
                <w:szCs w:val="20"/>
                <w:color w:val="auto"/>
              </w:rPr>
            </w:pPr>
            <w:r>
              <w:rPr>
                <w:rFonts w:ascii="Arial" w:cs="Arial" w:eastAsia="Arial" w:hAnsi="Arial"/>
                <w:sz w:val="12"/>
                <w:szCs w:val="12"/>
                <w:color w:val="auto"/>
              </w:rPr>
              <w:t>—</w:t>
            </w:r>
          </w:p>
        </w:tc>
        <w:tc>
          <w:tcPr>
            <w:tcW w:w="2360" w:type="dxa"/>
            <w:vAlign w:val="bottom"/>
          </w:tcPr>
          <w:p>
            <w:pPr>
              <w:jc w:val="center"/>
              <w:ind w:right="2"/>
              <w:spacing w:after="0"/>
              <w:rPr>
                <w:sz w:val="20"/>
                <w:szCs w:val="20"/>
                <w:color w:val="auto"/>
              </w:rPr>
            </w:pPr>
            <w:r>
              <w:rPr>
                <w:rFonts w:ascii="Arial" w:cs="Arial" w:eastAsia="Arial" w:hAnsi="Arial"/>
                <w:sz w:val="12"/>
                <w:szCs w:val="12"/>
                <w:color w:val="auto"/>
                <w:w w:val="90"/>
              </w:rPr>
              <w:t>Energy and Utilities</w:t>
            </w:r>
          </w:p>
        </w:tc>
        <w:tc>
          <w:tcPr>
            <w:tcW w:w="10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76,264,739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39,145,623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02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360" w:type="dxa"/>
            <w:vAlign w:val="bottom"/>
            <w:shd w:val="clear" w:color="auto" w:fill="CCECFF"/>
          </w:tcPr>
          <w:p>
            <w:pPr>
              <w:jc w:val="center"/>
              <w:ind w:right="2"/>
              <w:spacing w:after="0"/>
              <w:rPr>
                <w:sz w:val="20"/>
                <w:szCs w:val="20"/>
                <w:color w:val="auto"/>
              </w:rPr>
            </w:pPr>
            <w:r>
              <w:rPr>
                <w:rFonts w:ascii="Arial" w:cs="Arial" w:eastAsia="Arial" w:hAnsi="Arial"/>
                <w:sz w:val="12"/>
                <w:szCs w:val="12"/>
                <w:color w:val="auto"/>
                <w:w w:val="91"/>
              </w:rPr>
              <w:t>Media</w:t>
            </w:r>
          </w:p>
        </w:tc>
        <w:tc>
          <w:tcPr>
            <w:tcW w:w="10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103,370,067</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40,706,427</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6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249,001,007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148,247,663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Investments—161.1%</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1,131,299,887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1,024,744,836</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Equivalents—16.8%</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02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48,111,205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48,111,205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59,014,307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58,979,886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020" w:type="dxa"/>
            <w:vAlign w:val="bottom"/>
            <w:tcBorders>
              <w:bottom w:val="single" w:sz="8" w:color="CCECFF"/>
            </w:tcBorders>
          </w:tcPr>
          <w:p>
            <w:pPr>
              <w:spacing w:after="0"/>
              <w:rPr>
                <w:sz w:val="12"/>
                <w:szCs w:val="12"/>
                <w:color w:val="auto"/>
              </w:rPr>
            </w:pPr>
          </w:p>
        </w:tc>
        <w:tc>
          <w:tcPr>
            <w:tcW w:w="2360" w:type="dxa"/>
            <w:vAlign w:val="bottom"/>
            <w:tcBorders>
              <w:bottom w:val="single" w:sz="8" w:color="CCECFF"/>
            </w:tcBorders>
          </w:tcPr>
          <w:p>
            <w:pPr>
              <w:spacing w:after="0"/>
              <w:rPr>
                <w:sz w:val="12"/>
                <w:szCs w:val="12"/>
                <w:color w:val="auto"/>
              </w:rPr>
            </w:pPr>
          </w:p>
        </w:tc>
        <w:tc>
          <w:tcPr>
            <w:tcW w:w="9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107,125,512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107,091,091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Equivalents—177.9%</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1,238,425,399</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1,131,835,927</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Assets—(77.9%)</w:t>
            </w:r>
          </w:p>
        </w:tc>
        <w:tc>
          <w:tcPr>
            <w:tcW w:w="1020" w:type="dxa"/>
            <w:vAlign w:val="bottom"/>
            <w:tcBorders>
              <w:top w:val="single" w:sz="8" w:color="CCECFF"/>
            </w:tcBorders>
          </w:tcPr>
          <w:p>
            <w:pPr>
              <w:spacing w:after="0" w:line="20" w:lineRule="exact"/>
              <w:rPr>
                <w:sz w:val="1"/>
                <w:szCs w:val="1"/>
                <w:color w:val="auto"/>
              </w:rPr>
            </w:pPr>
          </w:p>
        </w:tc>
        <w:tc>
          <w:tcPr>
            <w:tcW w:w="2360" w:type="dxa"/>
            <w:vAlign w:val="bottom"/>
            <w:tcBorders>
              <w:top w:val="single" w:sz="8" w:color="CCECFF"/>
            </w:tcBorders>
          </w:tcPr>
          <w:p>
            <w:pPr>
              <w:spacing w:after="0" w:line="20" w:lineRule="exact"/>
              <w:rPr>
                <w:sz w:val="1"/>
                <w:szCs w:val="1"/>
                <w:color w:val="auto"/>
              </w:rPr>
            </w:pPr>
          </w:p>
        </w:tc>
        <w:tc>
          <w:tcPr>
            <w:tcW w:w="9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5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8"/>
              </w:rPr>
              <w:t>(495,743,243)</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020" w:type="dxa"/>
            <w:vAlign w:val="bottom"/>
            <w:shd w:val="clear" w:color="auto" w:fill="CCECFF"/>
          </w:tcPr>
          <w:p>
            <w:pPr>
              <w:spacing w:after="0"/>
              <w:rPr>
                <w:sz w:val="12"/>
                <w:szCs w:val="12"/>
                <w:color w:val="auto"/>
              </w:rPr>
            </w:pPr>
          </w:p>
        </w:tc>
        <w:tc>
          <w:tcPr>
            <w:tcW w:w="236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636,092,684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020" w:type="dxa"/>
            <w:vAlign w:val="bottom"/>
            <w:tcBorders>
              <w:top w:val="single" w:sz="8" w:color="CCECFF"/>
            </w:tcBorders>
          </w:tcPr>
          <w:p>
            <w:pPr>
              <w:spacing w:after="0" w:line="20" w:lineRule="exact"/>
              <w:rPr>
                <w:sz w:val="1"/>
                <w:szCs w:val="1"/>
                <w:color w:val="auto"/>
              </w:rPr>
            </w:pPr>
          </w:p>
        </w:tc>
        <w:tc>
          <w:tcPr>
            <w:tcW w:w="2360" w:type="dxa"/>
            <w:vAlign w:val="bottom"/>
            <w:tcBorders>
              <w:top w:val="single" w:sz="8" w:color="CCECFF"/>
            </w:tcBorders>
          </w:tcPr>
          <w:p>
            <w:pPr>
              <w:spacing w:after="0" w:line="20" w:lineRule="exact"/>
              <w:rPr>
                <w:sz w:val="1"/>
                <w:szCs w:val="1"/>
                <w:color w:val="auto"/>
              </w:rPr>
            </w:pPr>
          </w:p>
        </w:tc>
        <w:tc>
          <w:tcPr>
            <w:tcW w:w="9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58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45565" cy="8890"/>
                    </a:xfrm>
                    <a:prstGeom prst="rect">
                      <a:avLst/>
                    </a:prstGeom>
                    <a:noFill/>
                  </pic:spPr>
                </pic:pic>
              </a:graphicData>
            </a:graphic>
          </wp:anchor>
        </w:drawing>
      </w:r>
    </w:p>
    <w:p>
      <w:pPr>
        <w:spacing w:after="0" w:line="230" w:lineRule="exact"/>
        <w:rPr>
          <w:sz w:val="20"/>
          <w:szCs w:val="20"/>
          <w:color w:val="auto"/>
        </w:rPr>
      </w:pPr>
    </w:p>
    <w:p>
      <w:pPr>
        <w:ind w:left="380" w:hanging="372"/>
        <w:spacing w:after="0" w:line="243"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120" w:hanging="372"/>
        <w:spacing w:after="0" w:line="256"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floating rate instruments that accrue interest at a predetermined spread relative to an index, typically the applicable London Interbank Offered Rate, or LIBOR or “L,” the Euro Interbank Offered Rate, or EURIBOR or “E,” or Prime rate, or “P.” The spread may change based on the type of rate used. The terms in the Schedule of Investments disclose the actual interest rate in effect as of the reporting period. LIBOR loans are typically indexed to a 30-day, 90-day or 180-day LIBOR rate (1M L, 3M L, or 6M L, respectively), and EURIBOR loans are typically indexed to a 90-day EURIBOR rate (3M E), at the borrower’s option. All securities are subject to a LIBOR or Prime rate floor where a spread is provided, unless noted. The spread provided includes payment-in-kind, or PIK, interest and other fee rates, if any.</w:t>
      </w:r>
    </w:p>
    <w:p>
      <w:pPr>
        <w:ind w:left="380" w:right="36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Security is exempt from registration under Rule 144A promulgated under the Securities Act of 1933, as amended, or the Securities Act. The security may be resold in transactions that are exempt from registration, normally to qualified institutional buyers.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Par / Shares amount is denominated in British Pounds (£) as denoted.</w:t>
      </w:r>
    </w:p>
    <w:p>
      <w:pPr>
        <w:ind w:left="380" w:right="20" w:hanging="372"/>
        <w:spacing w:after="0" w:line="256" w:lineRule="auto"/>
        <w:tabs>
          <w:tab w:leader="none" w:pos="380" w:val="left"/>
        </w:tabs>
        <w:numPr>
          <w:ilvl w:val="0"/>
          <w:numId w:val="3"/>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June 30, 2018, qualifying assets represent 87% of the Company’s total assets and non-qualifying assets represent 13% of the Company’s total assets.</w:t>
      </w:r>
    </w:p>
    <w:p>
      <w:pPr>
        <w:ind w:left="380" w:hanging="372"/>
        <w:spacing w:after="0" w:line="234" w:lineRule="auto"/>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380" w:hanging="372"/>
        <w:spacing w:after="0"/>
        <w:tabs>
          <w:tab w:leader="none" w:pos="380" w:val="left"/>
        </w:tabs>
        <w:numPr>
          <w:ilvl w:val="0"/>
          <w:numId w:val="3"/>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85"/>
              </w:rPr>
              <w:t>Basis Point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8"/>
              </w:rPr>
              <w:t>Spread</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20" w:type="dxa"/>
            <w:vAlign w:val="bottom"/>
          </w:tcPr>
          <w:p>
            <w:pPr>
              <w:spacing w:after="0"/>
              <w:rPr>
                <w:sz w:val="11"/>
                <w:szCs w:val="11"/>
                <w:color w:val="auto"/>
              </w:rPr>
            </w:pPr>
          </w:p>
        </w:tc>
        <w:tc>
          <w:tcPr>
            <w:tcW w:w="9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2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4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68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2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rPr>
              <w:t>Issuer Name</w:t>
            </w:r>
          </w:p>
        </w:tc>
        <w:tc>
          <w:tcPr>
            <w:tcW w:w="900" w:type="dxa"/>
            <w:vAlign w:val="bottom"/>
            <w:tcBorders>
              <w:bottom w:val="single" w:sz="8" w:color="auto"/>
            </w:tcBorders>
          </w:tcPr>
          <w:p>
            <w:pPr>
              <w:ind w:left="120"/>
              <w:spacing w:after="0"/>
              <w:rPr>
                <w:sz w:val="20"/>
                <w:szCs w:val="20"/>
                <w:color w:val="auto"/>
              </w:rPr>
            </w:pPr>
            <w:r>
              <w:rPr>
                <w:rFonts w:ascii="Arial" w:cs="Arial" w:eastAsia="Arial" w:hAnsi="Arial"/>
                <w:sz w:val="12"/>
                <w:szCs w:val="12"/>
                <w:b w:val="1"/>
                <w:bCs w:val="1"/>
                <w:color w:val="auto"/>
              </w:rPr>
              <w:t>Expiration</w:t>
            </w:r>
          </w:p>
        </w:tc>
        <w:tc>
          <w:tcPr>
            <w:tcW w:w="264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Coupon</w:t>
            </w: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6"/>
              </w:rPr>
              <w:t xml:space="preserve">Index </w:t>
            </w:r>
            <w:r>
              <w:rPr>
                <w:rFonts w:ascii="Arial" w:cs="Arial" w:eastAsia="Arial" w:hAnsi="Arial"/>
                <w:sz w:val="9"/>
                <w:szCs w:val="9"/>
                <w:b w:val="1"/>
                <w:bCs w:val="1"/>
                <w:color w:val="auto"/>
                <w:w w:val="96"/>
              </w:rPr>
              <w:t>(4)</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22"/>
              <w:spacing w:after="0"/>
              <w:rPr>
                <w:sz w:val="20"/>
                <w:szCs w:val="20"/>
                <w:color w:val="auto"/>
              </w:rPr>
            </w:pPr>
            <w:r>
              <w:rPr>
                <w:rFonts w:ascii="Arial" w:cs="Arial" w:eastAsia="Arial" w:hAnsi="Arial"/>
                <w:sz w:val="12"/>
                <w:szCs w:val="12"/>
                <w:b w:val="1"/>
                <w:bCs w:val="1"/>
                <w:color w:val="auto"/>
                <w:w w:val="94"/>
              </w:rPr>
              <w:t>Shares</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Borders>
              <w:bottom w:val="single" w:sz="8" w:color="CCECFF"/>
            </w:tcBorders>
          </w:tcPr>
          <w:p>
            <w:pPr>
              <w:spacing w:after="0"/>
              <w:rPr>
                <w:sz w:val="12"/>
                <w:szCs w:val="12"/>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91"/>
              </w:rPr>
              <w:t xml:space="preserve">Fair Value </w:t>
            </w:r>
            <w:r>
              <w:rPr>
                <w:rFonts w:ascii="Arial" w:cs="Arial" w:eastAsia="Arial" w:hAnsi="Arial"/>
                <w:sz w:val="9"/>
                <w:szCs w:val="9"/>
                <w:b w:val="1"/>
                <w:bCs w:val="1"/>
                <w:color w:val="auto"/>
                <w:w w:val="91"/>
              </w:rPr>
              <w:t>(3)</w:t>
            </w:r>
          </w:p>
        </w:tc>
        <w:tc>
          <w:tcPr>
            <w:tcW w:w="100" w:type="dxa"/>
            <w:vAlign w:val="bottom"/>
            <w:tcBorders>
              <w:bottom w:val="single" w:sz="8" w:color="CCECFF"/>
            </w:tcBorders>
          </w:tcPr>
          <w:p>
            <w:pPr>
              <w:spacing w:after="0"/>
              <w:rPr>
                <w:sz w:val="12"/>
                <w:szCs w:val="12"/>
                <w:color w:val="auto"/>
              </w:rPr>
            </w:pPr>
          </w:p>
        </w:tc>
      </w:tr>
      <w:tr>
        <w:trPr>
          <w:trHeight w:val="142"/>
        </w:trPr>
        <w:tc>
          <w:tcPr>
            <w:tcW w:w="6700" w:type="dxa"/>
            <w:vAlign w:val="bottom"/>
            <w:gridSpan w:val="4"/>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Non-Controlled, Non-Affiliated Portfolio Companies—131.3% </w:t>
            </w:r>
            <w:r>
              <w:rPr>
                <w:rFonts w:ascii="Arial" w:cs="Arial" w:eastAsia="Arial" w:hAnsi="Arial"/>
                <w:sz w:val="9"/>
                <w:szCs w:val="9"/>
                <w:b w:val="1"/>
                <w:bCs w:val="1"/>
                <w:color w:val="auto"/>
              </w:rPr>
              <w:t>(1), (2)</w:t>
            </w: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b w:val="1"/>
                <w:bCs w:val="1"/>
                <w:color w:val="auto"/>
              </w:rPr>
              <w:t>First Lien Secured Debt—52.8%</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ACC of Tamarac,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06/20/2022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10.82%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7,481,250</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7,362,571</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7,331,625</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Allied America, Inc.</w:t>
            </w:r>
          </w:p>
        </w:tc>
        <w:tc>
          <w:tcPr>
            <w:tcW w:w="900" w:type="dxa"/>
            <w:vAlign w:val="bottom"/>
          </w:tcPr>
          <w:p>
            <w:pPr>
              <w:ind w:left="120"/>
              <w:spacing w:after="0"/>
              <w:rPr>
                <w:sz w:val="20"/>
                <w:szCs w:val="20"/>
                <w:color w:val="auto"/>
              </w:rPr>
            </w:pPr>
            <w:r>
              <w:rPr>
                <w:rFonts w:ascii="Arial" w:cs="Arial" w:eastAsia="Arial" w:hAnsi="Arial"/>
                <w:sz w:val="12"/>
                <w:szCs w:val="12"/>
                <w:color w:val="auto"/>
              </w:rPr>
              <w:t>08/08/2022</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8.32%</w:t>
            </w:r>
          </w:p>
        </w:tc>
        <w:tc>
          <w:tcPr>
            <w:tcW w:w="680" w:type="dxa"/>
            <w:vAlign w:val="bottom"/>
          </w:tcPr>
          <w:p>
            <w:pPr>
              <w:jc w:val="right"/>
              <w:spacing w:after="0"/>
              <w:rPr>
                <w:sz w:val="20"/>
                <w:szCs w:val="20"/>
                <w:color w:val="auto"/>
              </w:rPr>
            </w:pPr>
            <w:r>
              <w:rPr>
                <w:rFonts w:ascii="Arial" w:cs="Arial" w:eastAsia="Arial" w:hAnsi="Arial"/>
                <w:sz w:val="12"/>
                <w:szCs w:val="12"/>
                <w:color w:val="auto"/>
              </w:rPr>
              <w:t>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19,557,525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19,551,000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Allied America, Inc.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08/08/2022</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Bottom Line Systems, LLC</w:t>
            </w:r>
          </w:p>
        </w:tc>
        <w:tc>
          <w:tcPr>
            <w:tcW w:w="900" w:type="dxa"/>
            <w:vAlign w:val="bottom"/>
          </w:tcPr>
          <w:p>
            <w:pPr>
              <w:ind w:left="120"/>
              <w:spacing w:after="0"/>
              <w:rPr>
                <w:sz w:val="20"/>
                <w:szCs w:val="20"/>
                <w:color w:val="auto"/>
              </w:rPr>
            </w:pPr>
            <w:r>
              <w:rPr>
                <w:rFonts w:ascii="Arial" w:cs="Arial" w:eastAsia="Arial" w:hAnsi="Arial"/>
                <w:sz w:val="12"/>
                <w:szCs w:val="12"/>
                <w:color w:val="auto"/>
              </w:rPr>
              <w:t>02/13/2023</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8.83%</w:t>
            </w:r>
          </w:p>
        </w:tc>
        <w:tc>
          <w:tcPr>
            <w:tcW w:w="680" w:type="dxa"/>
            <w:vAlign w:val="bottom"/>
          </w:tcPr>
          <w:p>
            <w:pPr>
              <w:jc w:val="right"/>
              <w:spacing w:after="0"/>
              <w:rPr>
                <w:sz w:val="20"/>
                <w:szCs w:val="20"/>
                <w:color w:val="auto"/>
              </w:rPr>
            </w:pPr>
            <w:r>
              <w:rPr>
                <w:rFonts w:ascii="Arial" w:cs="Arial" w:eastAsia="Arial" w:hAnsi="Arial"/>
                <w:sz w:val="12"/>
                <w:szCs w:val="12"/>
                <w:color w:val="auto"/>
              </w:rPr>
              <w:t>L+750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19,850,000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19,573,919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19,773,923</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Broder Bros., Co., Tranche A</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06/03/2021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7.08%</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L+575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8,398,102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8,279,029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8,398,102</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Broder Bros., Co., Tranche B</w:t>
            </w:r>
          </w:p>
        </w:tc>
        <w:tc>
          <w:tcPr>
            <w:tcW w:w="900" w:type="dxa"/>
            <w:vAlign w:val="bottom"/>
          </w:tcPr>
          <w:p>
            <w:pPr>
              <w:ind w:left="120"/>
              <w:spacing w:after="0"/>
              <w:rPr>
                <w:sz w:val="20"/>
                <w:szCs w:val="20"/>
                <w:color w:val="auto"/>
              </w:rPr>
            </w:pPr>
            <w:r>
              <w:rPr>
                <w:rFonts w:ascii="Arial" w:cs="Arial" w:eastAsia="Arial" w:hAnsi="Arial"/>
                <w:sz w:val="12"/>
                <w:szCs w:val="12"/>
                <w:color w:val="auto"/>
              </w:rPr>
              <w:t>06/03/2021</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13.58%</w:t>
            </w:r>
          </w:p>
        </w:tc>
        <w:tc>
          <w:tcPr>
            <w:tcW w:w="680" w:type="dxa"/>
            <w:vAlign w:val="bottom"/>
          </w:tcPr>
          <w:p>
            <w:pPr>
              <w:jc w:val="right"/>
              <w:spacing w:after="0"/>
              <w:rPr>
                <w:sz w:val="20"/>
                <w:szCs w:val="20"/>
                <w:color w:val="auto"/>
              </w:rPr>
            </w:pPr>
            <w:r>
              <w:rPr>
                <w:rFonts w:ascii="Arial" w:cs="Arial" w:eastAsia="Arial" w:hAnsi="Arial"/>
                <w:sz w:val="12"/>
                <w:szCs w:val="12"/>
                <w:color w:val="auto"/>
              </w:rPr>
              <w:t>L+1,225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8,723,735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8,593,867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8,723,735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Cano Health,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L+850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23,538,688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22,997,008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23,538,687</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Cano Health, LLC (Revolver)</w:t>
            </w:r>
          </w:p>
        </w:tc>
        <w:tc>
          <w:tcPr>
            <w:tcW w:w="900" w:type="dxa"/>
            <w:vAlign w:val="bottom"/>
          </w:tcPr>
          <w:p>
            <w:pPr>
              <w:ind w:left="120"/>
              <w:spacing w:after="0"/>
              <w:rPr>
                <w:sz w:val="20"/>
                <w:szCs w:val="20"/>
                <w:color w:val="auto"/>
              </w:rPr>
            </w:pPr>
            <w:r>
              <w:rPr>
                <w:rFonts w:ascii="Arial" w:cs="Arial" w:eastAsia="Arial" w:hAnsi="Arial"/>
                <w:sz w:val="12"/>
                <w:szCs w:val="12"/>
                <w:color w:val="auto"/>
              </w:rPr>
              <w:t>09/21/2018</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9.74%</w:t>
            </w:r>
          </w:p>
        </w:tc>
        <w:tc>
          <w:tcPr>
            <w:tcW w:w="680" w:type="dxa"/>
            <w:vAlign w:val="bottom"/>
          </w:tcPr>
          <w:p>
            <w:pPr>
              <w:jc w:val="right"/>
              <w:spacing w:after="0"/>
              <w:rPr>
                <w:sz w:val="20"/>
                <w:szCs w:val="20"/>
                <w:color w:val="auto"/>
              </w:rPr>
            </w:pPr>
            <w:r>
              <w:rPr>
                <w:rFonts w:ascii="Arial" w:cs="Arial" w:eastAsia="Arial" w:hAnsi="Arial"/>
                <w:sz w:val="12"/>
                <w:szCs w:val="12"/>
                <w:color w:val="auto"/>
              </w:rPr>
              <w:t>L+850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540,000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Cano Health, LLC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09/21/2018</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360,000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DermaRite Industries LLC</w:t>
            </w:r>
          </w:p>
        </w:tc>
        <w:tc>
          <w:tcPr>
            <w:tcW w:w="900" w:type="dxa"/>
            <w:vAlign w:val="bottom"/>
          </w:tcPr>
          <w:p>
            <w:pPr>
              <w:ind w:left="120"/>
              <w:spacing w:after="0"/>
              <w:rPr>
                <w:sz w:val="20"/>
                <w:szCs w:val="20"/>
                <w:color w:val="auto"/>
              </w:rPr>
            </w:pPr>
            <w:r>
              <w:rPr>
                <w:rFonts w:ascii="Arial" w:cs="Arial" w:eastAsia="Arial" w:hAnsi="Arial"/>
                <w:sz w:val="12"/>
                <w:szCs w:val="12"/>
                <w:color w:val="auto"/>
              </w:rPr>
              <w:t>03/03/2022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8.24%</w:t>
            </w:r>
          </w:p>
        </w:tc>
        <w:tc>
          <w:tcPr>
            <w:tcW w:w="680" w:type="dxa"/>
            <w:vAlign w:val="bottom"/>
          </w:tcPr>
          <w:p>
            <w:pPr>
              <w:jc w:val="right"/>
              <w:spacing w:after="0"/>
              <w:rPr>
                <w:sz w:val="20"/>
                <w:szCs w:val="20"/>
                <w:color w:val="auto"/>
              </w:rPr>
            </w:pPr>
            <w:r>
              <w:rPr>
                <w:rFonts w:ascii="Arial" w:cs="Arial" w:eastAsia="Arial" w:hAnsi="Arial"/>
                <w:sz w:val="12"/>
                <w:szCs w:val="12"/>
                <w:color w:val="auto"/>
              </w:rPr>
              <w:t>L+700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9,950,000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9,814,043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9,938,114</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L+750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19,605,736</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19,600,000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eCommission Financial Services, Inc. </w:t>
            </w:r>
            <w:r>
              <w:rPr>
                <w:rFonts w:ascii="Arial" w:cs="Arial" w:eastAsia="Arial" w:hAnsi="Arial"/>
                <w:sz w:val="9"/>
                <w:szCs w:val="9"/>
                <w:color w:val="auto"/>
              </w:rPr>
              <w:t>(8), (12)</w:t>
            </w:r>
          </w:p>
        </w:tc>
        <w:tc>
          <w:tcPr>
            <w:tcW w:w="900" w:type="dxa"/>
            <w:vAlign w:val="bottom"/>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(80,000)</w:t>
            </w: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eCommission Financial Services, Inc. (Revolver) </w:t>
            </w:r>
            <w:r>
              <w:rPr>
                <w:rFonts w:ascii="Arial" w:cs="Arial" w:eastAsia="Arial" w:hAnsi="Arial"/>
                <w:sz w:val="9"/>
                <w:szCs w:val="9"/>
                <w:color w:val="auto"/>
              </w:rPr>
              <w:t>(8),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08/29/2022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(80,000)</w:t>
            </w: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Hollander Sleep Products, LLC</w:t>
            </w:r>
          </w:p>
        </w:tc>
        <w:tc>
          <w:tcPr>
            <w:tcW w:w="900" w:type="dxa"/>
            <w:vAlign w:val="bottom"/>
          </w:tcPr>
          <w:p>
            <w:pPr>
              <w:ind w:left="120"/>
              <w:spacing w:after="0"/>
              <w:rPr>
                <w:sz w:val="20"/>
                <w:szCs w:val="20"/>
                <w:color w:val="auto"/>
              </w:rPr>
            </w:pPr>
            <w:r>
              <w:rPr>
                <w:rFonts w:ascii="Arial" w:cs="Arial" w:eastAsia="Arial" w:hAnsi="Arial"/>
                <w:sz w:val="12"/>
                <w:szCs w:val="12"/>
                <w:color w:val="auto"/>
              </w:rPr>
              <w:t>06/09/2023</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6"/>
              </w:rPr>
              <w:t>Consumer Products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9.30%</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22,443,750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22,010,693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22,219,312</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Home Town Cable TV,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06/20/2022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Telecommunications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10.82%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10,000,000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9,806,795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9,800,000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Interior Specialists, Inc.</w:t>
            </w:r>
          </w:p>
        </w:tc>
        <w:tc>
          <w:tcPr>
            <w:tcW w:w="900" w:type="dxa"/>
            <w:vAlign w:val="bottom"/>
          </w:tcPr>
          <w:p>
            <w:pPr>
              <w:ind w:left="120"/>
              <w:spacing w:after="0"/>
              <w:rPr>
                <w:sz w:val="20"/>
                <w:szCs w:val="20"/>
                <w:color w:val="auto"/>
              </w:rPr>
            </w:pPr>
            <w:r>
              <w:rPr>
                <w:rFonts w:ascii="Arial" w:cs="Arial" w:eastAsia="Arial" w:hAnsi="Arial"/>
                <w:sz w:val="12"/>
                <w:szCs w:val="12"/>
                <w:color w:val="auto"/>
              </w:rPr>
              <w:t>06/30/2020</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92"/>
              </w:rPr>
              <w:t>Building Materials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9.25%</w:t>
            </w:r>
          </w:p>
        </w:tc>
        <w:tc>
          <w:tcPr>
            <w:tcW w:w="680" w:type="dxa"/>
            <w:vAlign w:val="bottom"/>
          </w:tcPr>
          <w:p>
            <w:pPr>
              <w:jc w:val="right"/>
              <w:spacing w:after="0"/>
              <w:rPr>
                <w:sz w:val="20"/>
                <w:szCs w:val="20"/>
                <w:color w:val="auto"/>
              </w:rPr>
            </w:pPr>
            <w:r>
              <w:rPr>
                <w:rFonts w:ascii="Arial" w:cs="Arial" w:eastAsia="Arial" w:hAnsi="Arial"/>
                <w:sz w:val="12"/>
                <w:szCs w:val="12"/>
                <w:color w:val="auto"/>
              </w:rPr>
              <w:t>L+800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24,470,390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24,323,542</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24,470,390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Juniper Landscaping of Florida,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12/22/2021</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14,083,875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13,836,409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14,083,875</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K2 Pure Solutions NoCal, L.P.</w:t>
            </w:r>
          </w:p>
        </w:tc>
        <w:tc>
          <w:tcPr>
            <w:tcW w:w="900" w:type="dxa"/>
            <w:vAlign w:val="bottom"/>
          </w:tcPr>
          <w:p>
            <w:pPr>
              <w:ind w:left="120"/>
              <w:spacing w:after="0"/>
              <w:rPr>
                <w:sz w:val="20"/>
                <w:szCs w:val="20"/>
                <w:color w:val="auto"/>
              </w:rPr>
            </w:pPr>
            <w:r>
              <w:rPr>
                <w:rFonts w:ascii="Arial" w:cs="Arial" w:eastAsia="Arial" w:hAnsi="Arial"/>
                <w:sz w:val="12"/>
                <w:szCs w:val="12"/>
                <w:color w:val="auto"/>
              </w:rPr>
              <w:t>02/19/2021</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7"/>
              </w:rPr>
              <w:t>Chemicals, Plastics and Rubber</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10.24%</w:t>
            </w:r>
          </w:p>
        </w:tc>
        <w:tc>
          <w:tcPr>
            <w:tcW w:w="680" w:type="dxa"/>
            <w:vAlign w:val="bottom"/>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14,522,529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14,290,133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14,111,098</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One Sixty Over Ninety,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03/03/2022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Media</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10.52%</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L+918</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16,250,000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15,953,520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16,250,000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Prince Mineral Holding Corp. </w:t>
            </w:r>
            <w:r>
              <w:rPr>
                <w:rFonts w:ascii="Arial" w:cs="Arial" w:eastAsia="Arial" w:hAnsi="Arial"/>
                <w:sz w:val="9"/>
                <w:szCs w:val="9"/>
                <w:color w:val="auto"/>
              </w:rPr>
              <w:t>(5)</w:t>
            </w:r>
          </w:p>
        </w:tc>
        <w:tc>
          <w:tcPr>
            <w:tcW w:w="900" w:type="dxa"/>
            <w:vAlign w:val="bottom"/>
          </w:tcPr>
          <w:p>
            <w:pPr>
              <w:ind w:left="120"/>
              <w:spacing w:after="0"/>
              <w:rPr>
                <w:sz w:val="20"/>
                <w:szCs w:val="20"/>
                <w:color w:val="auto"/>
              </w:rPr>
            </w:pPr>
            <w:r>
              <w:rPr>
                <w:rFonts w:ascii="Arial" w:cs="Arial" w:eastAsia="Arial" w:hAnsi="Arial"/>
                <w:sz w:val="12"/>
                <w:szCs w:val="12"/>
                <w:color w:val="auto"/>
              </w:rPr>
              <w:t>12/16/2019</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9"/>
              </w:rPr>
              <w:t>Mining, Steel, Iron and Non-Precious Metals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11.50%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14,250,000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14,184,265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14,820,000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SFP Holding,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7.57%</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L+625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17,500,000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17,155,691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17,150,000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SFP Holding, Inc. </w:t>
            </w:r>
            <w:r>
              <w:rPr>
                <w:rFonts w:ascii="Arial" w:cs="Arial" w:eastAsia="Arial" w:hAnsi="Arial"/>
                <w:sz w:val="9"/>
                <w:szCs w:val="9"/>
                <w:color w:val="auto"/>
              </w:rPr>
              <w:t>(8)</w:t>
            </w:r>
          </w:p>
        </w:tc>
        <w:tc>
          <w:tcPr>
            <w:tcW w:w="900" w:type="dxa"/>
            <w:vAlign w:val="bottom"/>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2"/>
                <w:szCs w:val="12"/>
                <w:color w:val="auto"/>
              </w:rPr>
              <w:t>(100,000)</w:t>
            </w: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SFP Holding, Inc. (Revolver) </w:t>
            </w:r>
            <w:r>
              <w:rPr>
                <w:rFonts w:ascii="Arial" w:cs="Arial" w:eastAsia="Arial" w:hAnsi="Arial"/>
                <w:sz w:val="9"/>
                <w:szCs w:val="9"/>
                <w:color w:val="auto"/>
              </w:rPr>
              <w:t>(8)</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09/01/2022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shd w:val="clear" w:color="auto" w:fill="CCECFF"/>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 xml:space="preserve">Sunborn Oy, Sunborn Saga Oy </w:t>
            </w:r>
            <w:r>
              <w:rPr>
                <w:rFonts w:ascii="Arial" w:cs="Arial" w:eastAsia="Arial" w:hAnsi="Arial"/>
                <w:sz w:val="9"/>
                <w:szCs w:val="9"/>
                <w:color w:val="auto"/>
              </w:rPr>
              <w:t>(9), (11), (12)</w:t>
            </w:r>
          </w:p>
        </w:tc>
        <w:tc>
          <w:tcPr>
            <w:tcW w:w="900" w:type="dxa"/>
            <w:vAlign w:val="bottom"/>
          </w:tcPr>
          <w:p>
            <w:pPr>
              <w:ind w:left="120"/>
              <w:spacing w:after="0"/>
              <w:rPr>
                <w:sz w:val="20"/>
                <w:szCs w:val="20"/>
                <w:color w:val="auto"/>
              </w:rPr>
            </w:pPr>
            <w:r>
              <w:rPr>
                <w:rFonts w:ascii="Arial" w:cs="Arial" w:eastAsia="Arial" w:hAnsi="Arial"/>
                <w:sz w:val="12"/>
                <w:szCs w:val="12"/>
                <w:color w:val="auto"/>
              </w:rPr>
              <w:t>06/28/2019</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11.50%</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30,150,294</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31,228,529</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35,821,926</w:t>
            </w:r>
          </w:p>
        </w:tc>
        <w:tc>
          <w:tcPr>
            <w:tcW w:w="100" w:type="dxa"/>
            <w:vAlign w:val="bottom"/>
          </w:tcPr>
          <w:p>
            <w:pPr>
              <w:spacing w:after="0"/>
              <w:rPr>
                <w:sz w:val="13"/>
                <w:szCs w:val="13"/>
                <w:color w:val="auto"/>
              </w:rPr>
            </w:pPr>
          </w:p>
        </w:tc>
      </w:tr>
      <w:tr>
        <w:trPr>
          <w:trHeight w:val="142"/>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3.50%)</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Triad Manufacturing,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12/28/2020</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12.49%</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L+1,125</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24,797,823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24,446,831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24,673,834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Trust Inns Limited </w:t>
            </w:r>
            <w:r>
              <w:rPr>
                <w:rFonts w:ascii="Arial" w:cs="Arial" w:eastAsia="Arial" w:hAnsi="Arial"/>
                <w:sz w:val="9"/>
                <w:szCs w:val="9"/>
                <w:color w:val="auto"/>
              </w:rPr>
              <w:t>(9), (11), (12)</w:t>
            </w:r>
          </w:p>
        </w:tc>
        <w:tc>
          <w:tcPr>
            <w:tcW w:w="900" w:type="dxa"/>
            <w:vAlign w:val="bottom"/>
          </w:tcPr>
          <w:p>
            <w:pPr>
              <w:ind w:left="120"/>
              <w:spacing w:after="0"/>
              <w:rPr>
                <w:sz w:val="20"/>
                <w:szCs w:val="20"/>
                <w:color w:val="auto"/>
              </w:rPr>
            </w:pPr>
            <w:r>
              <w:rPr>
                <w:rFonts w:ascii="Arial" w:cs="Arial" w:eastAsia="Arial" w:hAnsi="Arial"/>
                <w:sz w:val="12"/>
                <w:szCs w:val="12"/>
                <w:color w:val="auto"/>
              </w:rPr>
              <w:t>02/12/2020</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Buildings and Real Estate</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10.83%</w:t>
            </w:r>
          </w:p>
        </w:tc>
        <w:tc>
          <w:tcPr>
            <w:tcW w:w="680" w:type="dxa"/>
            <w:vAlign w:val="bottom"/>
          </w:tcPr>
          <w:p>
            <w:pPr>
              <w:jc w:val="right"/>
              <w:spacing w:after="0"/>
              <w:rPr>
                <w:sz w:val="20"/>
                <w:szCs w:val="20"/>
                <w:color w:val="auto"/>
              </w:rPr>
            </w:pPr>
            <w:r>
              <w:rPr>
                <w:rFonts w:ascii="Arial" w:cs="Arial" w:eastAsia="Arial" w:hAnsi="Arial"/>
                <w:sz w:val="12"/>
                <w:szCs w:val="12"/>
                <w:color w:val="auto"/>
              </w:rPr>
              <w:t>L+1,050</w:t>
            </w:r>
          </w:p>
        </w:tc>
        <w:tc>
          <w:tcPr>
            <w:tcW w:w="340" w:type="dxa"/>
            <w:vAlign w:val="bottom"/>
            <w:gridSpan w:val="2"/>
          </w:tcPr>
          <w:p>
            <w:pPr>
              <w:jc w:val="right"/>
              <w:spacing w:after="0"/>
              <w:rPr>
                <w:sz w:val="20"/>
                <w:szCs w:val="20"/>
                <w:color w:val="auto"/>
              </w:rPr>
            </w:pPr>
            <w:r>
              <w:rPr>
                <w:rFonts w:ascii="Arial" w:cs="Arial" w:eastAsia="Arial" w:hAnsi="Arial"/>
                <w:sz w:val="10"/>
                <w:szCs w:val="10"/>
                <w:color w:val="auto"/>
              </w:rPr>
              <w:t xml:space="preserve">(7) </w:t>
            </w:r>
            <w:r>
              <w:rPr>
                <w:rFonts w:ascii="Arial" w:cs="Arial" w:eastAsia="Arial" w:hAnsi="Arial"/>
                <w:sz w:val="11"/>
                <w:szCs w:val="11"/>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16,890,936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27,246,877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22,817,525</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US Med Acquisition,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08/13/2021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10.33%</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8,564,063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8,564,063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8,135,859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900" w:type="dxa"/>
            <w:vAlign w:val="bottom"/>
            <w:tcBorders>
              <w:bottom w:val="single" w:sz="8" w:color="CCECFF"/>
            </w:tcBorders>
          </w:tcPr>
          <w:p>
            <w:pPr>
              <w:spacing w:after="0"/>
              <w:rPr>
                <w:sz w:val="12"/>
                <w:szCs w:val="12"/>
                <w:color w:val="auto"/>
              </w:rPr>
            </w:pPr>
          </w:p>
        </w:tc>
        <w:tc>
          <w:tcPr>
            <w:tcW w:w="2640" w:type="dxa"/>
            <w:vAlign w:val="bottom"/>
            <w:tcBorders>
              <w:bottom w:val="single" w:sz="8" w:color="CCECFF"/>
            </w:tcBorders>
          </w:tcPr>
          <w:p>
            <w:pPr>
              <w:spacing w:after="0"/>
              <w:rPr>
                <w:sz w:val="12"/>
                <w:szCs w:val="12"/>
                <w:color w:val="auto"/>
              </w:rPr>
            </w:pPr>
          </w:p>
        </w:tc>
        <w:tc>
          <w:tcPr>
            <w:tcW w:w="14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339,371,046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341,489,005</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Debt—60.3%</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Acre Operating Company, LLC</w:t>
            </w:r>
          </w:p>
        </w:tc>
        <w:tc>
          <w:tcPr>
            <w:tcW w:w="900" w:type="dxa"/>
            <w:vAlign w:val="bottom"/>
          </w:tcPr>
          <w:p>
            <w:pPr>
              <w:ind w:left="120"/>
              <w:spacing w:after="0"/>
              <w:rPr>
                <w:sz w:val="20"/>
                <w:szCs w:val="20"/>
                <w:color w:val="auto"/>
              </w:rPr>
            </w:pPr>
            <w:r>
              <w:rPr>
                <w:rFonts w:ascii="Arial" w:cs="Arial" w:eastAsia="Arial" w:hAnsi="Arial"/>
                <w:sz w:val="12"/>
                <w:szCs w:val="12"/>
                <w:color w:val="auto"/>
              </w:rPr>
              <w:t>12/12/2023</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38,800,000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38,164,636</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39,576,000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Balboa Capital Corporation </w:t>
            </w:r>
            <w:r>
              <w:rPr>
                <w:rFonts w:ascii="Arial" w:cs="Arial" w:eastAsia="Arial" w:hAnsi="Arial"/>
                <w:sz w:val="9"/>
                <w:szCs w:val="9"/>
                <w:color w:val="auto"/>
              </w:rPr>
              <w:t>(12)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03/04/2022</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13.75%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28,500,000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28,288,480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28,500,000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DecoPac, Inc.</w:t>
            </w:r>
          </w:p>
        </w:tc>
        <w:tc>
          <w:tcPr>
            <w:tcW w:w="900" w:type="dxa"/>
            <w:vAlign w:val="bottom"/>
          </w:tcPr>
          <w:p>
            <w:pPr>
              <w:ind w:left="120"/>
              <w:spacing w:after="0"/>
              <w:rPr>
                <w:sz w:val="20"/>
                <w:szCs w:val="20"/>
                <w:color w:val="auto"/>
              </w:rPr>
            </w:pPr>
            <w:r>
              <w:rPr>
                <w:rFonts w:ascii="Arial" w:cs="Arial" w:eastAsia="Arial" w:hAnsi="Arial"/>
                <w:sz w:val="12"/>
                <w:szCs w:val="12"/>
                <w:color w:val="auto"/>
              </w:rPr>
              <w:t>03/31/2025</w:t>
            </w:r>
          </w:p>
        </w:tc>
        <w:tc>
          <w:tcPr>
            <w:tcW w:w="2780" w:type="dxa"/>
            <w:vAlign w:val="bottom"/>
            <w:gridSpan w:val="2"/>
          </w:tcPr>
          <w:p>
            <w:pPr>
              <w:jc w:val="center"/>
              <w:ind w:right="140"/>
              <w:spacing w:after="0"/>
              <w:rPr>
                <w:sz w:val="20"/>
                <w:szCs w:val="20"/>
                <w:color w:val="auto"/>
              </w:rPr>
            </w:pPr>
            <w:r>
              <w:rPr>
                <w:rFonts w:ascii="Arial" w:cs="Arial" w:eastAsia="Arial" w:hAnsi="Arial"/>
                <w:sz w:val="12"/>
                <w:szCs w:val="12"/>
                <w:color w:val="auto"/>
                <w:w w:val="85"/>
              </w:rPr>
              <w:t>Beverage, Food and Tobacco</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9.58%</w:t>
            </w:r>
          </w:p>
        </w:tc>
        <w:tc>
          <w:tcPr>
            <w:tcW w:w="680" w:type="dxa"/>
            <w:vAlign w:val="bottom"/>
          </w:tcPr>
          <w:p>
            <w:pPr>
              <w:jc w:val="right"/>
              <w:spacing w:after="0"/>
              <w:rPr>
                <w:sz w:val="20"/>
                <w:szCs w:val="20"/>
                <w:color w:val="auto"/>
              </w:rPr>
            </w:pPr>
            <w:r>
              <w:rPr>
                <w:rFonts w:ascii="Arial" w:cs="Arial" w:eastAsia="Arial" w:hAnsi="Arial"/>
                <w:sz w:val="12"/>
                <w:szCs w:val="12"/>
                <w:color w:val="auto"/>
              </w:rPr>
              <w:t>L+825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35,500,000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34,790,399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34,790,000</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Howard Berger Co.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09/30/2020</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93"/>
              </w:rPr>
              <w:t>Distribution</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11.34%</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42,937,500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41,491,290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41,220,000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5.18%)</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9"/>
        </w:trPr>
        <w:tc>
          <w:tcPr>
            <w:tcW w:w="3020" w:type="dxa"/>
            <w:vAlign w:val="bottom"/>
          </w:tcPr>
          <w:p>
            <w:pPr>
              <w:spacing w:after="0"/>
              <w:rPr>
                <w:sz w:val="20"/>
                <w:szCs w:val="20"/>
                <w:color w:val="auto"/>
              </w:rPr>
            </w:pPr>
            <w:r>
              <w:rPr>
                <w:rFonts w:ascii="Arial" w:cs="Arial" w:eastAsia="Arial" w:hAnsi="Arial"/>
                <w:sz w:val="12"/>
                <w:szCs w:val="12"/>
                <w:color w:val="auto"/>
              </w:rPr>
              <w:t>Infogroup, Inc.</w:t>
            </w:r>
          </w:p>
        </w:tc>
        <w:tc>
          <w:tcPr>
            <w:tcW w:w="900" w:type="dxa"/>
            <w:vAlign w:val="bottom"/>
          </w:tcPr>
          <w:p>
            <w:pPr>
              <w:ind w:left="120"/>
              <w:spacing w:after="0"/>
              <w:rPr>
                <w:sz w:val="20"/>
                <w:szCs w:val="20"/>
                <w:color w:val="auto"/>
              </w:rPr>
            </w:pPr>
            <w:r>
              <w:rPr>
                <w:rFonts w:ascii="Arial" w:cs="Arial" w:eastAsia="Arial" w:hAnsi="Arial"/>
                <w:sz w:val="12"/>
                <w:szCs w:val="12"/>
                <w:color w:val="auto"/>
              </w:rPr>
              <w:t>04/03/2024</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10.58%</w:t>
            </w:r>
          </w:p>
        </w:tc>
        <w:tc>
          <w:tcPr>
            <w:tcW w:w="680" w:type="dxa"/>
            <w:vAlign w:val="bottom"/>
          </w:tcPr>
          <w:p>
            <w:pPr>
              <w:jc w:val="right"/>
              <w:spacing w:after="0"/>
              <w:rPr>
                <w:sz w:val="20"/>
                <w:szCs w:val="20"/>
                <w:color w:val="auto"/>
              </w:rPr>
            </w:pPr>
            <w:r>
              <w:rPr>
                <w:rFonts w:ascii="Arial" w:cs="Arial" w:eastAsia="Arial" w:hAnsi="Arial"/>
                <w:sz w:val="12"/>
                <w:szCs w:val="12"/>
                <w:color w:val="auto"/>
              </w:rPr>
              <w:t>L+925</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20,400,000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20,011,940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19,992,000</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Intermediate Transportation 100, LLC </w:t>
            </w:r>
            <w:r>
              <w:rPr>
                <w:rFonts w:ascii="Arial" w:cs="Arial" w:eastAsia="Arial" w:hAnsi="Arial"/>
                <w:sz w:val="9"/>
                <w:szCs w:val="9"/>
                <w:color w:val="auto"/>
              </w:rPr>
              <w:t>(5)</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03/01/2019</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6"/>
              </w:rPr>
              <w:t>Cargo Transport</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432,203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334,401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432,203</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11.00%)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color w:val="auto"/>
              </w:rPr>
              <w:t>Lighthouse Network, LLC</w:t>
            </w:r>
          </w:p>
        </w:tc>
        <w:tc>
          <w:tcPr>
            <w:tcW w:w="900" w:type="dxa"/>
            <w:vAlign w:val="bottom"/>
          </w:tcPr>
          <w:p>
            <w:pPr>
              <w:ind w:left="120"/>
              <w:spacing w:after="0"/>
              <w:rPr>
                <w:sz w:val="20"/>
                <w:szCs w:val="20"/>
                <w:color w:val="auto"/>
              </w:rPr>
            </w:pPr>
            <w:r>
              <w:rPr>
                <w:rFonts w:ascii="Arial" w:cs="Arial" w:eastAsia="Arial" w:hAnsi="Arial"/>
                <w:sz w:val="12"/>
                <w:szCs w:val="12"/>
                <w:color w:val="auto"/>
              </w:rPr>
              <w:t>10/11/2024</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10.74%</w:t>
            </w:r>
          </w:p>
        </w:tc>
        <w:tc>
          <w:tcPr>
            <w:tcW w:w="680" w:type="dxa"/>
            <w:vAlign w:val="bottom"/>
          </w:tcPr>
          <w:p>
            <w:pPr>
              <w:jc w:val="right"/>
              <w:spacing w:after="0"/>
              <w:rPr>
                <w:sz w:val="20"/>
                <w:szCs w:val="20"/>
                <w:color w:val="auto"/>
              </w:rPr>
            </w:pPr>
            <w:r>
              <w:rPr>
                <w:rFonts w:ascii="Arial" w:cs="Arial" w:eastAsia="Arial" w:hAnsi="Arial"/>
                <w:sz w:val="12"/>
                <w:szCs w:val="12"/>
                <w:color w:val="auto"/>
              </w:rPr>
              <w:t>L+950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33,900,000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33,633,877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33,900,000</w:t>
            </w:r>
          </w:p>
        </w:tc>
        <w:tc>
          <w:tcPr>
            <w:tcW w:w="100" w:type="dxa"/>
            <w:vAlign w:val="bottom"/>
          </w:tcPr>
          <w:p>
            <w:pPr>
              <w:spacing w:after="0"/>
              <w:rPr>
                <w:sz w:val="12"/>
                <w:szCs w:val="12"/>
                <w:color w:val="auto"/>
              </w:rPr>
            </w:pPr>
          </w:p>
        </w:tc>
      </w:tr>
      <w:tr>
        <w:trPr>
          <w:trHeight w:val="141"/>
        </w:trPr>
        <w:tc>
          <w:tcPr>
            <w:tcW w:w="3020" w:type="dxa"/>
            <w:vAlign w:val="bottom"/>
          </w:tcPr>
          <w:p>
            <w:pPr>
              <w:ind w:left="100"/>
              <w:spacing w:after="0"/>
              <w:rPr>
                <w:sz w:val="20"/>
                <w:szCs w:val="20"/>
                <w:color w:val="auto"/>
              </w:rPr>
            </w:pPr>
            <w:r>
              <w:rPr>
                <w:rFonts w:ascii="Arial" w:cs="Arial" w:eastAsia="Arial" w:hAnsi="Arial"/>
                <w:sz w:val="12"/>
                <w:szCs w:val="12"/>
                <w:color w:val="auto"/>
              </w:rPr>
              <w:t>(f/k/a Harbortouch Payments, LLC)</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MailSouth,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10/22/2021</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9"/>
              </w:rPr>
              <w:t>Printing and Publishing</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11.80%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L+1,050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26,425,000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26,004,601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26,689,250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 xml:space="preserve">Parq Holdings Limited Partnership </w:t>
            </w:r>
            <w:r>
              <w:rPr>
                <w:rFonts w:ascii="Arial" w:cs="Arial" w:eastAsia="Arial" w:hAnsi="Arial"/>
                <w:sz w:val="9"/>
                <w:szCs w:val="9"/>
                <w:color w:val="auto"/>
              </w:rPr>
              <w:t>(9), (12)</w:t>
            </w:r>
          </w:p>
        </w:tc>
        <w:tc>
          <w:tcPr>
            <w:tcW w:w="900" w:type="dxa"/>
            <w:vAlign w:val="bottom"/>
          </w:tcPr>
          <w:p>
            <w:pPr>
              <w:ind w:left="120"/>
              <w:spacing w:after="0"/>
              <w:rPr>
                <w:sz w:val="20"/>
                <w:szCs w:val="20"/>
                <w:color w:val="auto"/>
              </w:rPr>
            </w:pPr>
            <w:r>
              <w:rPr>
                <w:rFonts w:ascii="Arial" w:cs="Arial" w:eastAsia="Arial" w:hAnsi="Arial"/>
                <w:sz w:val="12"/>
                <w:szCs w:val="12"/>
                <w:color w:val="auto"/>
              </w:rPr>
              <w:t>12/17/2021</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Hotels, Motels, Inns and Gaming</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13.24%</w:t>
            </w:r>
          </w:p>
        </w:tc>
        <w:tc>
          <w:tcPr>
            <w:tcW w:w="680" w:type="dxa"/>
            <w:vAlign w:val="bottom"/>
          </w:tcPr>
          <w:p>
            <w:pPr>
              <w:jc w:val="right"/>
              <w:spacing w:after="0"/>
              <w:rPr>
                <w:sz w:val="20"/>
                <w:szCs w:val="20"/>
                <w:color w:val="auto"/>
              </w:rPr>
            </w:pPr>
            <w:r>
              <w:rPr>
                <w:rFonts w:ascii="Arial" w:cs="Arial" w:eastAsia="Arial" w:hAnsi="Arial"/>
                <w:sz w:val="12"/>
                <w:szCs w:val="12"/>
                <w:color w:val="auto"/>
              </w:rPr>
              <w:t>L+1,200</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76,500,000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76,500,000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83,295,634</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Pre-Paid Legal Services, Inc.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07/01/2020</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10.25%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L+900</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62,750,000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62,291,419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62,985,313</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Veritext Corp.</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01/30/2023</w:t>
            </w:r>
          </w:p>
        </w:tc>
        <w:tc>
          <w:tcPr>
            <w:tcW w:w="2780" w:type="dxa"/>
            <w:vAlign w:val="bottom"/>
            <w:tcBorders>
              <w:bottom w:val="single" w:sz="8" w:color="CCECFF"/>
            </w:tcBorders>
            <w:gridSpan w:val="2"/>
          </w:tcPr>
          <w:p>
            <w:pPr>
              <w:jc w:val="center"/>
              <w:ind w:right="140"/>
              <w:spacing w:after="0"/>
              <w:rPr>
                <w:sz w:val="20"/>
                <w:szCs w:val="20"/>
                <w:color w:val="auto"/>
              </w:rPr>
            </w:pPr>
            <w:r>
              <w:rPr>
                <w:rFonts w:ascii="Arial" w:cs="Arial" w:eastAsia="Arial" w:hAnsi="Arial"/>
                <w:sz w:val="12"/>
                <w:szCs w:val="12"/>
                <w:color w:val="auto"/>
                <w:w w:val="85"/>
              </w:rPr>
              <w:t>Business Services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10.33%</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L+900</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89"/>
              </w:rPr>
              <w:t>18,834,375</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18,351,647</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18,646,031</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Second Lien Secured Debt</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379,862,690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390,026,431</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Subordinated Debt/Corporate Notes—10.6%</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Cascade Environmental LLC</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08/20/2021</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8"/>
              </w:rPr>
              <w:t>Environmental Services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12.00%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9"/>
              </w:rPr>
              <w:t>32,675,553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32,158,389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31,940,353</w:t>
            </w:r>
          </w:p>
        </w:tc>
        <w:tc>
          <w:tcPr>
            <w:tcW w:w="100" w:type="dxa"/>
            <w:vAlign w:val="bottom"/>
            <w:shd w:val="clear" w:color="auto" w:fill="CCECFF"/>
          </w:tcPr>
          <w:p>
            <w:pPr>
              <w:spacing w:after="0"/>
              <w:rPr>
                <w:sz w:val="12"/>
                <w:szCs w:val="12"/>
                <w:color w:val="auto"/>
              </w:rPr>
            </w:pPr>
          </w:p>
        </w:tc>
      </w:tr>
      <w:tr>
        <w:trPr>
          <w:trHeight w:val="156"/>
        </w:trPr>
        <w:tc>
          <w:tcPr>
            <w:tcW w:w="3020" w:type="dxa"/>
            <w:vAlign w:val="bottom"/>
          </w:tcPr>
          <w:p>
            <w:pPr>
              <w:spacing w:after="0"/>
              <w:rPr>
                <w:sz w:val="20"/>
                <w:szCs w:val="20"/>
                <w:color w:val="auto"/>
              </w:rPr>
            </w:pPr>
            <w:r>
              <w:rPr>
                <w:rFonts w:ascii="Arial" w:cs="Arial" w:eastAsia="Arial" w:hAnsi="Arial"/>
                <w:sz w:val="12"/>
                <w:szCs w:val="12"/>
                <w:color w:val="auto"/>
              </w:rPr>
              <w:t>Credit Infonet, Inc.</w:t>
            </w:r>
          </w:p>
        </w:tc>
        <w:tc>
          <w:tcPr>
            <w:tcW w:w="900" w:type="dxa"/>
            <w:vAlign w:val="bottom"/>
          </w:tcPr>
          <w:p>
            <w:pPr>
              <w:ind w:left="120"/>
              <w:spacing w:after="0"/>
              <w:rPr>
                <w:sz w:val="20"/>
                <w:szCs w:val="20"/>
                <w:color w:val="auto"/>
              </w:rPr>
            </w:pPr>
            <w:r>
              <w:rPr>
                <w:rFonts w:ascii="Arial" w:cs="Arial" w:eastAsia="Arial" w:hAnsi="Arial"/>
                <w:sz w:val="12"/>
                <w:szCs w:val="12"/>
                <w:color w:val="auto"/>
              </w:rPr>
              <w:t>10/26/2020</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6"/>
              </w:rPr>
              <w:t>Personal, Food and Miscellaneous Services</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13.00%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w w:val="89"/>
              </w:rPr>
              <w:t>11,151,903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10,939,903</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11,151,903</w:t>
            </w:r>
          </w:p>
        </w:tc>
        <w:tc>
          <w:tcPr>
            <w:tcW w:w="100" w:type="dxa"/>
            <w:vAlign w:val="bottom"/>
          </w:tcPr>
          <w:p>
            <w:pPr>
              <w:spacing w:after="0"/>
              <w:rPr>
                <w:sz w:val="13"/>
                <w:szCs w:val="13"/>
                <w:color w:val="auto"/>
              </w:rPr>
            </w:pPr>
          </w:p>
        </w:tc>
      </w:tr>
      <w:tr>
        <w:trPr>
          <w:trHeight w:val="141"/>
        </w:trPr>
        <w:tc>
          <w:tcPr>
            <w:tcW w:w="30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2"/>
                <w:szCs w:val="12"/>
                <w:color w:val="auto"/>
              </w:rPr>
              <w:t>(PIK 0.75%)</w:t>
            </w: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Goldsun Trading Limited </w:t>
            </w:r>
            <w:r>
              <w:rPr>
                <w:rFonts w:ascii="Arial" w:cs="Arial" w:eastAsia="Arial" w:hAnsi="Arial"/>
                <w:sz w:val="9"/>
                <w:szCs w:val="9"/>
                <w:color w:val="auto"/>
              </w:rPr>
              <w:t>(9), (11), (12)</w:t>
            </w:r>
          </w:p>
        </w:tc>
        <w:tc>
          <w:tcPr>
            <w:tcW w:w="9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02/19/2018</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20.50%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L+1,600</w:t>
            </w:r>
          </w:p>
        </w:tc>
        <w:tc>
          <w:tcPr>
            <w:tcW w:w="34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9,112,485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13,280,807</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12,225,783</w:t>
            </w:r>
          </w:p>
        </w:tc>
        <w:tc>
          <w:tcPr>
            <w:tcW w:w="100" w:type="dxa"/>
            <w:vAlign w:val="bottom"/>
            <w:shd w:val="clear" w:color="auto" w:fill="CCECFF"/>
          </w:tcPr>
          <w:p>
            <w:pPr>
              <w:spacing w:after="0"/>
              <w:rPr>
                <w:sz w:val="12"/>
                <w:szCs w:val="12"/>
                <w:color w:val="auto"/>
              </w:rPr>
            </w:pPr>
          </w:p>
        </w:tc>
      </w:tr>
      <w:tr>
        <w:trPr>
          <w:trHeight w:val="149"/>
        </w:trPr>
        <w:tc>
          <w:tcPr>
            <w:tcW w:w="3020" w:type="dxa"/>
            <w:vAlign w:val="bottom"/>
            <w:shd w:val="clear" w:color="auto" w:fill="CCECFF"/>
          </w:tcPr>
          <w:p>
            <w:pPr>
              <w:spacing w:after="0"/>
              <w:rPr>
                <w:sz w:val="12"/>
                <w:szCs w:val="12"/>
                <w:color w:val="auto"/>
              </w:rPr>
            </w:pP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940" w:type="dxa"/>
            <w:vAlign w:val="bottom"/>
            <w:gridSpan w:val="2"/>
            <w:shd w:val="clear" w:color="auto" w:fill="CCECFF"/>
          </w:tcPr>
          <w:p>
            <w:pPr>
              <w:jc w:val="right"/>
              <w:ind w:right="140"/>
              <w:spacing w:after="0"/>
              <w:rPr>
                <w:sz w:val="20"/>
                <w:szCs w:val="20"/>
                <w:color w:val="auto"/>
              </w:rPr>
            </w:pPr>
            <w:r>
              <w:rPr>
                <w:rFonts w:ascii="Arial" w:cs="Arial" w:eastAsia="Arial" w:hAnsi="Arial"/>
                <w:sz w:val="12"/>
                <w:szCs w:val="12"/>
                <w:color w:val="auto"/>
              </w:rPr>
              <w:t>(PIK 12.00%)</w:t>
            </w: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Borders>
              <w:bottom w:val="single" w:sz="8" w:color="CCECFF"/>
            </w:tcBorders>
          </w:tcPr>
          <w:p>
            <w:pPr>
              <w:spacing w:after="0"/>
              <w:rPr>
                <w:sz w:val="20"/>
                <w:szCs w:val="20"/>
                <w:color w:val="auto"/>
              </w:rPr>
            </w:pPr>
            <w:r>
              <w:rPr>
                <w:rFonts w:ascii="Arial" w:cs="Arial" w:eastAsia="Arial" w:hAnsi="Arial"/>
                <w:sz w:val="12"/>
                <w:szCs w:val="12"/>
                <w:color w:val="auto"/>
              </w:rPr>
              <w:t>Sonny’s Enterprises, LLC</w:t>
            </w:r>
          </w:p>
        </w:tc>
        <w:tc>
          <w:tcPr>
            <w:tcW w:w="900" w:type="dxa"/>
            <w:vAlign w:val="bottom"/>
            <w:tcBorders>
              <w:bottom w:val="single" w:sz="8" w:color="CCECFF"/>
            </w:tcBorders>
          </w:tcPr>
          <w:p>
            <w:pPr>
              <w:ind w:left="120"/>
              <w:spacing w:after="0"/>
              <w:rPr>
                <w:sz w:val="20"/>
                <w:szCs w:val="20"/>
                <w:color w:val="auto"/>
              </w:rPr>
            </w:pPr>
            <w:r>
              <w:rPr>
                <w:rFonts w:ascii="Arial" w:cs="Arial" w:eastAsia="Arial" w:hAnsi="Arial"/>
                <w:sz w:val="12"/>
                <w:szCs w:val="12"/>
                <w:color w:val="auto"/>
              </w:rPr>
              <w:t>06/01/2023</w:t>
            </w:r>
          </w:p>
        </w:tc>
        <w:tc>
          <w:tcPr>
            <w:tcW w:w="278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tcBorders>
              <w:bottom w:val="single" w:sz="8" w:color="CCECFF"/>
            </w:tcBorders>
            <w:gridSpan w:val="2"/>
          </w:tcPr>
          <w:p>
            <w:pPr>
              <w:jc w:val="right"/>
              <w:ind w:right="180"/>
              <w:spacing w:after="0"/>
              <w:rPr>
                <w:sz w:val="20"/>
                <w:szCs w:val="20"/>
                <w:color w:val="auto"/>
              </w:rPr>
            </w:pPr>
            <w:r>
              <w:rPr>
                <w:rFonts w:ascii="Arial" w:cs="Arial" w:eastAsia="Arial" w:hAnsi="Arial"/>
                <w:sz w:val="12"/>
                <w:szCs w:val="12"/>
                <w:color w:val="auto"/>
              </w:rPr>
              <w:t>11.00%</w:t>
            </w:r>
          </w:p>
        </w:tc>
        <w:tc>
          <w:tcPr>
            <w:tcW w:w="6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rPr>
              <w:t>—</w:t>
            </w:r>
          </w:p>
        </w:tc>
        <w:tc>
          <w:tcPr>
            <w:tcW w:w="24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580" w:type="dxa"/>
            <w:vAlign w:val="bottom"/>
            <w:tcBorders>
              <w:bottom w:val="single" w:sz="8" w:color="CCECFF"/>
            </w:tcBorders>
          </w:tcPr>
          <w:p>
            <w:pPr>
              <w:jc w:val="right"/>
              <w:spacing w:after="0"/>
              <w:rPr>
                <w:sz w:val="20"/>
                <w:szCs w:val="20"/>
                <w:color w:val="auto"/>
              </w:rPr>
            </w:pPr>
            <w:r>
              <w:rPr>
                <w:rFonts w:ascii="Arial" w:cs="Arial" w:eastAsia="Arial" w:hAnsi="Arial"/>
                <w:sz w:val="12"/>
                <w:szCs w:val="12"/>
                <w:color w:val="auto"/>
                <w:w w:val="89"/>
              </w:rPr>
              <w:t>13,300,000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13,055,456</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13,300,000</w:t>
            </w:r>
          </w:p>
        </w:tc>
        <w:tc>
          <w:tcPr>
            <w:tcW w:w="100" w:type="dxa"/>
            <w:vAlign w:val="bottom"/>
            <w:tcBorders>
              <w:bottom w:val="single" w:sz="8" w:color="CCECFF"/>
            </w:tcBorders>
          </w:tcPr>
          <w:p>
            <w:pPr>
              <w:spacing w:after="0"/>
              <w:rPr>
                <w:sz w:val="12"/>
                <w:szCs w:val="12"/>
                <w:color w:val="auto"/>
              </w:rPr>
            </w:pPr>
          </w:p>
        </w:tc>
      </w:tr>
      <w:tr>
        <w:trPr>
          <w:trHeight w:val="142"/>
        </w:trPr>
        <w:tc>
          <w:tcPr>
            <w:tcW w:w="302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900" w:type="dxa"/>
            <w:vAlign w:val="bottom"/>
            <w:shd w:val="clear" w:color="auto" w:fill="CCECFF"/>
          </w:tcPr>
          <w:p>
            <w:pPr>
              <w:spacing w:after="0"/>
              <w:rPr>
                <w:sz w:val="12"/>
                <w:szCs w:val="12"/>
                <w:color w:val="auto"/>
              </w:rPr>
            </w:pPr>
          </w:p>
        </w:tc>
        <w:tc>
          <w:tcPr>
            <w:tcW w:w="264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69,434,555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68,618,039</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Equity/Partnership Interests—0.9% </w:t>
            </w:r>
            <w:r>
              <w:rPr>
                <w:rFonts w:ascii="Arial" w:cs="Arial" w:eastAsia="Arial" w:hAnsi="Arial"/>
                <w:sz w:val="9"/>
                <w:szCs w:val="9"/>
                <w:b w:val="1"/>
                <w:bCs w:val="1"/>
                <w:color w:val="auto"/>
              </w:rPr>
              <w:t>(6)</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AH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40"/>
              <w:spacing w:after="0"/>
              <w:rPr>
                <w:sz w:val="20"/>
                <w:szCs w:val="20"/>
                <w:color w:val="auto"/>
              </w:rPr>
            </w:pPr>
            <w:r>
              <w:rPr>
                <w:rFonts w:ascii="Arial" w:cs="Arial" w:eastAsia="Arial" w:hAnsi="Arial"/>
                <w:sz w:val="12"/>
                <w:szCs w:val="12"/>
                <w:color w:val="auto"/>
                <w:w w:val="87"/>
              </w:rPr>
              <w:t>Healthcare, Education and Childcare</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6.00%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327,380</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Alegeus Technologies Holdings Corp.</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8"/>
              </w:rPr>
              <w:t>Financial Services</w:t>
            </w:r>
          </w:p>
        </w:tc>
        <w:tc>
          <w:tcPr>
            <w:tcW w:w="940" w:type="dxa"/>
            <w:vAlign w:val="bottom"/>
            <w:gridSpan w:val="2"/>
          </w:tcPr>
          <w:p>
            <w:pPr>
              <w:jc w:val="right"/>
              <w:ind w:right="28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949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949,050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1,144,391</w:t>
            </w:r>
          </w:p>
        </w:tc>
        <w:tc>
          <w:tcPr>
            <w:tcW w:w="100" w:type="dxa"/>
            <w:vAlign w:val="bottom"/>
          </w:tcPr>
          <w:p>
            <w:pPr>
              <w:spacing w:after="0"/>
              <w:rPr>
                <w:sz w:val="12"/>
                <w:szCs w:val="12"/>
                <w:color w:val="auto"/>
              </w:rPr>
            </w:pPr>
          </w:p>
        </w:tc>
      </w:tr>
      <w:tr>
        <w:trPr>
          <w:trHeight w:val="149"/>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Convergint Technologies Holdings, LLC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1"/>
              </w:rPr>
              <w:t>Electronics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2,375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2,088,121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2,552,034</w:t>
            </w:r>
          </w:p>
        </w:tc>
        <w:tc>
          <w:tcPr>
            <w:tcW w:w="100" w:type="dxa"/>
            <w:vAlign w:val="bottom"/>
            <w:shd w:val="clear" w:color="auto" w:fill="CCECFF"/>
          </w:tcPr>
          <w:p>
            <w:pPr>
              <w:spacing w:after="0"/>
              <w:rPr>
                <w:sz w:val="12"/>
                <w:szCs w:val="12"/>
                <w:color w:val="auto"/>
              </w:rPr>
            </w:pPr>
          </w:p>
        </w:tc>
      </w:tr>
      <w:tr>
        <w:trPr>
          <w:trHeight w:val="148"/>
        </w:trPr>
        <w:tc>
          <w:tcPr>
            <w:tcW w:w="3020" w:type="dxa"/>
            <w:vAlign w:val="bottom"/>
          </w:tcPr>
          <w:p>
            <w:pPr>
              <w:spacing w:after="0"/>
              <w:rPr>
                <w:sz w:val="20"/>
                <w:szCs w:val="20"/>
                <w:color w:val="auto"/>
              </w:rPr>
            </w:pPr>
            <w:r>
              <w:rPr>
                <w:rFonts w:ascii="Arial" w:cs="Arial" w:eastAsia="Arial" w:hAnsi="Arial"/>
                <w:sz w:val="12"/>
                <w:szCs w:val="12"/>
                <w:color w:val="auto"/>
              </w:rPr>
              <w:t>HW Holdco, LLC</w:t>
            </w:r>
          </w:p>
        </w:tc>
        <w:tc>
          <w:tcPr>
            <w:tcW w:w="900" w:type="dxa"/>
            <w:vAlign w:val="bottom"/>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tcPr>
          <w:p>
            <w:pPr>
              <w:jc w:val="center"/>
              <w:ind w:right="160"/>
              <w:spacing w:after="0"/>
              <w:rPr>
                <w:sz w:val="20"/>
                <w:szCs w:val="20"/>
                <w:color w:val="auto"/>
              </w:rPr>
            </w:pPr>
            <w:r>
              <w:rPr>
                <w:rFonts w:ascii="Arial" w:cs="Arial" w:eastAsia="Arial" w:hAnsi="Arial"/>
                <w:sz w:val="12"/>
                <w:szCs w:val="12"/>
                <w:color w:val="auto"/>
                <w:w w:val="87"/>
              </w:rPr>
              <w:t>Other Media</w:t>
            </w:r>
          </w:p>
        </w:tc>
        <w:tc>
          <w:tcPr>
            <w:tcW w:w="940" w:type="dxa"/>
            <w:vAlign w:val="bottom"/>
            <w:gridSpan w:val="2"/>
          </w:tcPr>
          <w:p>
            <w:pPr>
              <w:jc w:val="right"/>
              <w:ind w:right="180"/>
              <w:spacing w:after="0"/>
              <w:rPr>
                <w:sz w:val="20"/>
                <w:szCs w:val="20"/>
                <w:color w:val="auto"/>
              </w:rPr>
            </w:pPr>
            <w:r>
              <w:rPr>
                <w:rFonts w:ascii="Arial" w:cs="Arial" w:eastAsia="Arial" w:hAnsi="Arial"/>
                <w:sz w:val="12"/>
                <w:szCs w:val="12"/>
                <w:color w:val="auto"/>
              </w:rPr>
              <w:t>8.00%</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3,591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24,971</w:t>
            </w:r>
          </w:p>
        </w:tc>
        <w:tc>
          <w:tcPr>
            <w:tcW w:w="100" w:type="dxa"/>
            <w:vAlign w:val="bottom"/>
          </w:tcPr>
          <w:p>
            <w:pPr>
              <w:spacing w:after="0"/>
              <w:rPr>
                <w:sz w:val="12"/>
                <w:szCs w:val="12"/>
                <w:color w:val="auto"/>
              </w:rPr>
            </w:pPr>
          </w:p>
        </w:tc>
      </w:tr>
      <w:tr>
        <w:trPr>
          <w:trHeight w:val="148"/>
        </w:trPr>
        <w:tc>
          <w:tcPr>
            <w:tcW w:w="3020" w:type="dxa"/>
            <w:vAlign w:val="bottom"/>
            <w:shd w:val="clear" w:color="auto" w:fill="CCECFF"/>
          </w:tcPr>
          <w:p>
            <w:pPr>
              <w:spacing w:after="0"/>
              <w:rPr>
                <w:sz w:val="20"/>
                <w:szCs w:val="20"/>
                <w:color w:val="auto"/>
              </w:rPr>
            </w:pPr>
            <w:r>
              <w:rPr>
                <w:rFonts w:ascii="Arial" w:cs="Arial" w:eastAsia="Arial" w:hAnsi="Arial"/>
                <w:sz w:val="12"/>
                <w:szCs w:val="12"/>
                <w:color w:val="auto"/>
              </w:rPr>
              <w:t>Roto Holdings, Inc.</w:t>
            </w:r>
          </w:p>
        </w:tc>
        <w:tc>
          <w:tcPr>
            <w:tcW w:w="9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2780" w:type="dxa"/>
            <w:vAlign w:val="bottom"/>
            <w:gridSpan w:val="2"/>
            <w:shd w:val="clear" w:color="auto" w:fill="CCECFF"/>
          </w:tcPr>
          <w:p>
            <w:pPr>
              <w:jc w:val="center"/>
              <w:ind w:right="160"/>
              <w:spacing w:after="0"/>
              <w:rPr>
                <w:sz w:val="20"/>
                <w:szCs w:val="20"/>
                <w:color w:val="auto"/>
              </w:rPr>
            </w:pPr>
            <w:r>
              <w:rPr>
                <w:rFonts w:ascii="Arial" w:cs="Arial" w:eastAsia="Arial" w:hAnsi="Arial"/>
                <w:sz w:val="12"/>
                <w:szCs w:val="12"/>
                <w:color w:val="auto"/>
                <w:w w:val="90"/>
              </w:rPr>
              <w:t>Manufacturing / Basic Industries</w:t>
            </w:r>
          </w:p>
        </w:tc>
        <w:tc>
          <w:tcPr>
            <w:tcW w:w="94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9.00%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5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1,197,000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1,537,236</w:t>
            </w:r>
          </w:p>
        </w:tc>
        <w:tc>
          <w:tcPr>
            <w:tcW w:w="100" w:type="dxa"/>
            <w:vAlign w:val="bottom"/>
            <w:shd w:val="clear" w:color="auto" w:fill="CCECFF"/>
          </w:tcPr>
          <w:p>
            <w:pPr>
              <w:spacing w:after="0"/>
              <w:rPr>
                <w:sz w:val="12"/>
                <w:szCs w:val="12"/>
                <w:color w:val="auto"/>
              </w:rPr>
            </w:pPr>
          </w:p>
        </w:tc>
      </w:tr>
      <w:tr>
        <w:trPr>
          <w:trHeight w:val="142"/>
        </w:trPr>
        <w:tc>
          <w:tcPr>
            <w:tcW w:w="3020" w:type="dxa"/>
            <w:vAlign w:val="bottom"/>
          </w:tcPr>
          <w:p>
            <w:pPr>
              <w:spacing w:after="0"/>
              <w:rPr>
                <w:sz w:val="20"/>
                <w:szCs w:val="20"/>
                <w:color w:val="auto"/>
              </w:rPr>
            </w:pPr>
            <w:r>
              <w:rPr>
                <w:rFonts w:ascii="Arial" w:cs="Arial" w:eastAsia="Arial" w:hAnsi="Arial"/>
                <w:sz w:val="12"/>
                <w:szCs w:val="12"/>
                <w:b w:val="1"/>
                <w:bCs w:val="1"/>
                <w:color w:val="auto"/>
              </w:rPr>
              <w:t>Total Preferred Equity/Partnership Interests</w:t>
            </w:r>
          </w:p>
        </w:tc>
        <w:tc>
          <w:tcPr>
            <w:tcW w:w="9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4,734,171</w:t>
            </w:r>
          </w:p>
        </w:tc>
        <w:tc>
          <w:tcPr>
            <w:tcW w:w="2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5,586,012</w:t>
            </w:r>
          </w:p>
        </w:tc>
        <w:tc>
          <w:tcPr>
            <w:tcW w:w="100" w:type="dxa"/>
            <w:vAlign w:val="bottom"/>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2"/>
                <w:szCs w:val="12"/>
                <w:b w:val="1"/>
                <w:bCs w:val="1"/>
                <w:color w:val="auto"/>
                <w:w w:val="85"/>
              </w:rPr>
              <w:t>Basis Point</w:t>
            </w: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35"/>
        </w:trPr>
        <w:tc>
          <w:tcPr>
            <w:tcW w:w="30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8"/>
              </w:rPr>
              <w:t>Spread</w:t>
            </w:r>
          </w:p>
        </w:tc>
        <w:tc>
          <w:tcPr>
            <w:tcW w:w="6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3060" w:type="dxa"/>
            <w:vAlign w:val="bottom"/>
          </w:tcPr>
          <w:p>
            <w:pPr>
              <w:spacing w:after="0"/>
              <w:rPr>
                <w:sz w:val="11"/>
                <w:szCs w:val="11"/>
                <w:color w:val="auto"/>
              </w:rPr>
            </w:pPr>
          </w:p>
        </w:tc>
        <w:tc>
          <w:tcPr>
            <w:tcW w:w="8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Maturity /</w:t>
            </w:r>
          </w:p>
        </w:tc>
        <w:tc>
          <w:tcPr>
            <w:tcW w:w="2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42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2"/>
                <w:szCs w:val="12"/>
                <w:b w:val="1"/>
                <w:bCs w:val="1"/>
                <w:color w:val="auto"/>
                <w:w w:val="87"/>
              </w:rPr>
              <w:t>Above</w:t>
            </w:r>
          </w:p>
        </w:tc>
        <w:tc>
          <w:tcPr>
            <w:tcW w:w="68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3"/>
        </w:trPr>
        <w:tc>
          <w:tcPr>
            <w:tcW w:w="306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Expiration</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88"/>
              </w:rPr>
              <w:t>Industry</w:t>
            </w:r>
          </w:p>
        </w:tc>
        <w:tc>
          <w:tcPr>
            <w:tcW w:w="960" w:type="dxa"/>
            <w:vAlign w:val="bottom"/>
            <w:gridSpan w:val="2"/>
          </w:tcPr>
          <w:p>
            <w:pPr>
              <w:jc w:val="right"/>
              <w:ind w:right="44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68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ind w:right="18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 xml:space="preserve">Fair Value </w:t>
            </w:r>
            <w:r>
              <w:rPr>
                <w:rFonts w:ascii="Arial" w:cs="Arial" w:eastAsia="Arial" w:hAnsi="Arial"/>
                <w:sz w:val="9"/>
                <w:szCs w:val="9"/>
                <w:b w:val="1"/>
                <w:bCs w:val="1"/>
                <w:color w:val="auto"/>
              </w:rPr>
              <w:t>(3)</w:t>
            </w:r>
          </w:p>
        </w:tc>
      </w:tr>
      <w:tr>
        <w:trPr>
          <w:trHeight w:val="142"/>
        </w:trPr>
        <w:tc>
          <w:tcPr>
            <w:tcW w:w="3060" w:type="dxa"/>
            <w:vAlign w:val="bottom"/>
            <w:tcBorders>
              <w:top w:val="single" w:sz="8" w:color="auto"/>
            </w:tcBorders>
            <w:shd w:val="clear" w:color="auto" w:fill="CCECFF"/>
          </w:tcPr>
          <w:p>
            <w:pPr>
              <w:spacing w:after="0"/>
              <w:rPr>
                <w:sz w:val="20"/>
                <w:szCs w:val="20"/>
                <w:color w:val="auto"/>
              </w:rPr>
            </w:pPr>
            <w:r>
              <w:rPr>
                <w:rFonts w:ascii="Arial" w:cs="Arial" w:eastAsia="Arial" w:hAnsi="Arial"/>
                <w:sz w:val="12"/>
                <w:szCs w:val="12"/>
                <w:b w:val="1"/>
                <w:bCs w:val="1"/>
                <w:color w:val="auto"/>
                <w:w w:val="93"/>
              </w:rPr>
              <w:t xml:space="preserve">Common Equity/Partnership Interests/Warrants—6.7% </w:t>
            </w:r>
            <w:r>
              <w:rPr>
                <w:rFonts w:ascii="Arial" w:cs="Arial" w:eastAsia="Arial" w:hAnsi="Arial"/>
                <w:sz w:val="9"/>
                <w:szCs w:val="9"/>
                <w:b w:val="1"/>
                <w:bCs w:val="1"/>
                <w:color w:val="auto"/>
                <w:w w:val="93"/>
              </w:rPr>
              <w:t>(6)</w:t>
            </w:r>
          </w:p>
        </w:tc>
        <w:tc>
          <w:tcPr>
            <w:tcW w:w="880" w:type="dxa"/>
            <w:vAlign w:val="bottom"/>
            <w:tcBorders>
              <w:top w:val="single" w:sz="8" w:color="auto"/>
            </w:tcBorders>
            <w:shd w:val="clear" w:color="auto" w:fill="CCECFF"/>
          </w:tcPr>
          <w:p>
            <w:pPr>
              <w:spacing w:after="0"/>
              <w:rPr>
                <w:sz w:val="12"/>
                <w:szCs w:val="12"/>
                <w:color w:val="auto"/>
              </w:rPr>
            </w:pPr>
          </w:p>
        </w:tc>
        <w:tc>
          <w:tcPr>
            <w:tcW w:w="2580" w:type="dxa"/>
            <w:vAlign w:val="bottom"/>
            <w:tcBorders>
              <w:top w:val="single" w:sz="8" w:color="auto"/>
            </w:tcBorders>
            <w:shd w:val="clear" w:color="auto" w:fill="CCECFF"/>
          </w:tcPr>
          <w:p>
            <w:pPr>
              <w:spacing w:after="0"/>
              <w:rPr>
                <w:sz w:val="12"/>
                <w:szCs w:val="12"/>
                <w:color w:val="auto"/>
              </w:rPr>
            </w:pPr>
          </w:p>
        </w:tc>
        <w:tc>
          <w:tcPr>
            <w:tcW w:w="12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280" w:type="dxa"/>
            <w:vAlign w:val="bottom"/>
            <w:tcBorders>
              <w:top w:val="single" w:sz="8" w:color="CCECFF"/>
            </w:tcBorders>
            <w:shd w:val="clear" w:color="auto" w:fill="CCECFF"/>
          </w:tcPr>
          <w:p>
            <w:pPr>
              <w:spacing w:after="0"/>
              <w:rPr>
                <w:sz w:val="12"/>
                <w:szCs w:val="12"/>
                <w:color w:val="auto"/>
              </w:rPr>
            </w:pPr>
          </w:p>
        </w:tc>
        <w:tc>
          <w:tcPr>
            <w:tcW w:w="66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680" w:type="dxa"/>
            <w:vAlign w:val="bottom"/>
            <w:tcBorders>
              <w:top w:val="single" w:sz="8" w:color="auto"/>
            </w:tcBorders>
            <w:shd w:val="clear" w:color="auto" w:fill="CCECFF"/>
          </w:tcPr>
          <w:p>
            <w:pPr>
              <w:spacing w:after="0"/>
              <w:rPr>
                <w:sz w:val="12"/>
                <w:szCs w:val="12"/>
                <w:color w:val="auto"/>
              </w:rPr>
            </w:pPr>
          </w:p>
        </w:tc>
        <w:tc>
          <w:tcPr>
            <w:tcW w:w="30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2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64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AH Holdings, Inc. (Warrants)</w:t>
            </w:r>
          </w:p>
        </w:tc>
        <w:tc>
          <w:tcPr>
            <w:tcW w:w="880" w:type="dxa"/>
            <w:vAlign w:val="bottom"/>
          </w:tcPr>
          <w:p>
            <w:pPr>
              <w:ind w:left="60"/>
              <w:spacing w:after="0"/>
              <w:rPr>
                <w:sz w:val="20"/>
                <w:szCs w:val="20"/>
                <w:color w:val="auto"/>
              </w:rPr>
            </w:pPr>
            <w:r>
              <w:rPr>
                <w:rFonts w:ascii="Arial" w:cs="Arial" w:eastAsia="Arial" w:hAnsi="Arial"/>
                <w:sz w:val="12"/>
                <w:szCs w:val="12"/>
                <w:color w:val="auto"/>
              </w:rPr>
              <w:t>03/23/2021</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753</w:t>
            </w:r>
          </w:p>
        </w:tc>
        <w:tc>
          <w:tcPr>
            <w:tcW w:w="380" w:type="dxa"/>
            <w:vAlign w:val="bottom"/>
            <w:gridSpan w:val="2"/>
          </w:tcPr>
          <w:p>
            <w:pPr>
              <w:jc w:val="right"/>
              <w:ind w:right="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320" w:type="dxa"/>
            <w:vAlign w:val="bottom"/>
            <w:gridSpan w:val="2"/>
          </w:tcPr>
          <w:p>
            <w:pPr>
              <w:jc w:val="right"/>
              <w:spacing w:after="0"/>
              <w:rPr>
                <w:sz w:val="20"/>
                <w:szCs w:val="20"/>
                <w:color w:val="auto"/>
              </w:rPr>
            </w:pPr>
            <w:r>
              <w:rPr>
                <w:rFonts w:ascii="Arial" w:cs="Arial" w:eastAsia="Arial" w:hAnsi="Arial"/>
                <w:sz w:val="12"/>
                <w:szCs w:val="12"/>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Alegeus Technologies Holdings Corp.</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1,146</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ASP LCG Holdings, Inc. (Warrants)</w:t>
            </w:r>
          </w:p>
        </w:tc>
        <w:tc>
          <w:tcPr>
            <w:tcW w:w="880" w:type="dxa"/>
            <w:vAlign w:val="bottom"/>
          </w:tcPr>
          <w:p>
            <w:pPr>
              <w:ind w:left="60"/>
              <w:spacing w:after="0"/>
              <w:rPr>
                <w:sz w:val="20"/>
                <w:szCs w:val="20"/>
                <w:color w:val="auto"/>
              </w:rPr>
            </w:pPr>
            <w:r>
              <w:rPr>
                <w:rFonts w:ascii="Arial" w:cs="Arial" w:eastAsia="Arial" w:hAnsi="Arial"/>
                <w:sz w:val="12"/>
                <w:szCs w:val="12"/>
                <w:color w:val="auto"/>
              </w:rPr>
              <w:t>05/05/2026</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Education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933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586,975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1,752,663</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Autumn Games, LLC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Broadcasting and Entertainment</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1,333,330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 xml:space="preserve">Cardinal Logistics Holdings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Cargo Transport</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w:t>
            </w:r>
          </w:p>
        </w:tc>
        <w:tc>
          <w:tcPr>
            <w:tcW w:w="300" w:type="dxa"/>
            <w:vAlign w:val="bottom"/>
          </w:tcPr>
          <w:p>
            <w:pPr>
              <w:jc w:val="right"/>
              <w:spacing w:after="0"/>
              <w:rPr>
                <w:sz w:val="20"/>
                <w:szCs w:val="20"/>
                <w:color w:val="auto"/>
              </w:rPr>
            </w:pPr>
            <w:r>
              <w:rPr>
                <w:rFonts w:ascii="Arial" w:cs="Arial" w:eastAsia="Arial" w:hAnsi="Arial"/>
                <w:sz w:val="10"/>
                <w:szCs w:val="10"/>
                <w:color w:val="auto"/>
              </w:rPr>
              <w:t>(14)</w:t>
            </w: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5,411,024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3,688,211</w:t>
            </w:r>
          </w:p>
        </w:tc>
        <w:tc>
          <w:tcPr>
            <w:tcW w:w="100" w:type="dxa"/>
            <w:vAlign w:val="bottom"/>
          </w:tcPr>
          <w:p>
            <w:pPr>
              <w:spacing w:after="0"/>
              <w:rPr>
                <w:sz w:val="12"/>
                <w:szCs w:val="12"/>
                <w:color w:val="auto"/>
              </w:rPr>
            </w:pPr>
          </w:p>
        </w:tc>
      </w:tr>
      <w:tr>
        <w:trPr>
          <w:trHeight w:val="141"/>
        </w:trPr>
        <w:tc>
          <w:tcPr>
            <w:tcW w:w="3060" w:type="dxa"/>
            <w:vAlign w:val="bottom"/>
          </w:tcPr>
          <w:p>
            <w:pPr>
              <w:ind w:left="100"/>
              <w:spacing w:after="0"/>
              <w:rPr>
                <w:sz w:val="20"/>
                <w:szCs w:val="20"/>
                <w:color w:val="auto"/>
              </w:rPr>
            </w:pPr>
            <w:r>
              <w:rPr>
                <w:rFonts w:ascii="Arial" w:cs="Arial" w:eastAsia="Arial" w:hAnsi="Arial"/>
                <w:sz w:val="12"/>
                <w:szCs w:val="12"/>
                <w:color w:val="auto"/>
              </w:rPr>
              <w:t>(Intermediate Transportation 100, LLC)</w:t>
            </w: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Cascade Environmental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24,382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2,518,909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2,438,193</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CI (Galls) Prime Investment Holdings,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1,745,639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1,745,639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3,928,695</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CI (Summit) Investment Holdings LLC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8"/>
              </w:rPr>
              <w:t>Buildings and Real Estate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Convergint Technologies Holdings, LLC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1"/>
              </w:rPr>
              <w:t>Electronics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2,375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4,612,054</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DecoPac Holdings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Beverage, Food and Tobacco</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3,449</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3,448,658</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eCommission Holding Corporation </w:t>
            </w:r>
            <w:r>
              <w:rPr>
                <w:rFonts w:ascii="Arial" w:cs="Arial" w:eastAsia="Arial" w:hAnsi="Arial"/>
                <w:sz w:val="9"/>
                <w:szCs w:val="9"/>
                <w:color w:val="auto"/>
              </w:rPr>
              <w:t>(12)</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8"/>
              </w:rPr>
              <w:t>Financial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800,000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800,000</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Faraday Holdings, LLC (Interior Specialists,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92"/>
              </w:rPr>
              <w:t>Building Materials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4,277</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217,635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767,569</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HW Holdco, LLC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388,378</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2,700,680</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Infogroup Parent Holdings,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Other Media</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181,495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2,040,000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1,934,243</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ITC Rumba, LLC (Cano Health,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204,985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2,049,849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2,197,752</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Kadmon Holdings, Inc. </w:t>
            </w:r>
            <w:r>
              <w:rPr>
                <w:rFonts w:ascii="Arial" w:cs="Arial" w:eastAsia="Arial" w:hAnsi="Arial"/>
                <w:sz w:val="9"/>
                <w:szCs w:val="9"/>
                <w:color w:val="auto"/>
              </w:rPr>
              <w:t>(13)</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7"/>
              </w:rPr>
              <w:t>Healthcare, Education and Childcare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252,014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2,265,639</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844,247</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LaMi Acquisition,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6"/>
              </w:rPr>
              <w:t>Distribution</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493,280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803,665</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Lariat ecoserv Co-Invest Holdings,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1,000,000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MidOcean PPL Holdings, Corp.</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9,786,996</w:t>
            </w:r>
          </w:p>
        </w:tc>
        <w:tc>
          <w:tcPr>
            <w:tcW w:w="100" w:type="dxa"/>
            <w:vAlign w:val="bottom"/>
          </w:tcPr>
          <w:p>
            <w:pPr>
              <w:spacing w:after="0"/>
              <w:rPr>
                <w:sz w:val="12"/>
                <w:szCs w:val="12"/>
                <w:color w:val="auto"/>
              </w:rPr>
            </w:pPr>
          </w:p>
        </w:tc>
      </w:tr>
      <w:tr>
        <w:trPr>
          <w:trHeight w:val="141"/>
        </w:trPr>
        <w:tc>
          <w:tcPr>
            <w:tcW w:w="3060" w:type="dxa"/>
            <w:vAlign w:val="bottom"/>
          </w:tcPr>
          <w:p>
            <w:pPr>
              <w:ind w:left="100"/>
              <w:spacing w:after="0"/>
              <w:rPr>
                <w:sz w:val="20"/>
                <w:szCs w:val="20"/>
                <w:color w:val="auto"/>
              </w:rPr>
            </w:pPr>
            <w:r>
              <w:rPr>
                <w:rFonts w:ascii="Arial" w:cs="Arial" w:eastAsia="Arial" w:hAnsi="Arial"/>
                <w:sz w:val="12"/>
                <w:szCs w:val="12"/>
                <w:color w:val="auto"/>
              </w:rPr>
              <w:t>(Pre-Paid Legal Services, Inc.)</w:t>
            </w: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Patriot National, Inc. </w:t>
            </w:r>
            <w:r>
              <w:rPr>
                <w:rFonts w:ascii="Arial" w:cs="Arial" w:eastAsia="Arial" w:hAnsi="Arial"/>
                <w:sz w:val="9"/>
                <w:szCs w:val="9"/>
                <w:color w:val="auto"/>
              </w:rPr>
              <w:t>(13)</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7"/>
              </w:rPr>
              <w:t>Insurance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100,885</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238,038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136,195</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Roto Holdings, Inc.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Manufacturing / Basic Industries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1,330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133,000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2,036,830</w:t>
            </w:r>
          </w:p>
        </w:tc>
        <w:tc>
          <w:tcPr>
            <w:tcW w:w="100" w:type="dxa"/>
            <w:vAlign w:val="bottom"/>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ZS Juniper L.P.</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1"/>
        </w:trPr>
        <w:tc>
          <w:tcPr>
            <w:tcW w:w="3060" w:type="dxa"/>
            <w:vAlign w:val="bottom"/>
            <w:shd w:val="clear" w:color="auto" w:fill="CCECFF"/>
          </w:tcPr>
          <w:p>
            <w:pPr>
              <w:ind w:left="100"/>
              <w:spacing w:after="0"/>
              <w:rPr>
                <w:sz w:val="20"/>
                <w:szCs w:val="20"/>
                <w:color w:val="auto"/>
              </w:rPr>
            </w:pPr>
            <w:r>
              <w:rPr>
                <w:rFonts w:ascii="Arial" w:cs="Arial" w:eastAsia="Arial" w:hAnsi="Arial"/>
                <w:sz w:val="12"/>
                <w:szCs w:val="12"/>
                <w:color w:val="auto"/>
              </w:rPr>
              <w:t xml:space="preserve">(Juniper Landscaping of Florida,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6"/>
              </w:rPr>
              <w:t>Personal, Food and Miscellaneous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754</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754,264</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754,264</w:t>
            </w: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30,703,860</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43,632,061</w:t>
            </w:r>
          </w:p>
        </w:tc>
        <w:tc>
          <w:tcPr>
            <w:tcW w:w="100" w:type="dxa"/>
            <w:vAlign w:val="bottom"/>
            <w:tcBorders>
              <w:bottom w:val="single" w:sz="8" w:color="CCECFF"/>
            </w:tcBorders>
          </w:tcPr>
          <w:p>
            <w:pPr>
              <w:spacing w:after="0"/>
              <w:rPr>
                <w:sz w:val="12"/>
                <w:szCs w:val="12"/>
                <w:color w:val="auto"/>
              </w:rPr>
            </w:pPr>
          </w:p>
        </w:tc>
      </w:tr>
      <w:tr>
        <w:trPr>
          <w:trHeight w:val="142"/>
        </w:trPr>
        <w:tc>
          <w:tcPr>
            <w:tcW w:w="39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w w:val="94"/>
              </w:rPr>
              <w:t>Total Investments in Non-Controlled, Non-Affiliated Portfolio Companies</w:t>
            </w: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824,106,322</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849,351,548</w:t>
            </w:r>
          </w:p>
        </w:tc>
        <w:tc>
          <w:tcPr>
            <w:tcW w:w="100" w:type="dxa"/>
            <w:vAlign w:val="bottom"/>
            <w:shd w:val="clear" w:color="auto" w:fill="CCECFF"/>
          </w:tcPr>
          <w:p>
            <w:pPr>
              <w:spacing w:after="0"/>
              <w:rPr>
                <w:sz w:val="12"/>
                <w:szCs w:val="12"/>
                <w:color w:val="auto"/>
              </w:rPr>
            </w:pPr>
          </w:p>
        </w:tc>
      </w:tr>
      <w:tr>
        <w:trPr>
          <w:trHeight w:val="142"/>
        </w:trPr>
        <w:tc>
          <w:tcPr>
            <w:tcW w:w="3940" w:type="dxa"/>
            <w:vAlign w:val="bottom"/>
            <w:gridSpan w:val="2"/>
          </w:tcPr>
          <w:p>
            <w:pPr>
              <w:spacing w:after="0"/>
              <w:rPr>
                <w:sz w:val="20"/>
                <w:szCs w:val="20"/>
                <w:color w:val="auto"/>
              </w:rPr>
            </w:pPr>
            <w:r>
              <w:rPr>
                <w:rFonts w:ascii="Arial" w:cs="Arial" w:eastAsia="Arial" w:hAnsi="Arial"/>
                <w:sz w:val="12"/>
                <w:szCs w:val="12"/>
                <w:b w:val="1"/>
                <w:bCs w:val="1"/>
                <w:color w:val="auto"/>
                <w:w w:val="91"/>
              </w:rPr>
              <w:t xml:space="preserve">Investments in Non-Controlled, Affiliated Portfolio Companies—29.3% </w:t>
            </w:r>
            <w:r>
              <w:rPr>
                <w:rFonts w:ascii="Arial" w:cs="Arial" w:eastAsia="Arial" w:hAnsi="Arial"/>
                <w:sz w:val="9"/>
                <w:szCs w:val="9"/>
                <w:b w:val="1"/>
                <w:bCs w:val="1"/>
                <w:color w:val="auto"/>
                <w:w w:val="91"/>
              </w:rPr>
              <w:t>(1), (2)</w:t>
            </w: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First Lien Secured Debt—9.8%</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6"/>
        </w:trPr>
        <w:tc>
          <w:tcPr>
            <w:tcW w:w="306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880" w:type="dxa"/>
            <w:vAlign w:val="bottom"/>
          </w:tcPr>
          <w:p>
            <w:pPr>
              <w:ind w:left="60"/>
              <w:spacing w:after="0"/>
              <w:rPr>
                <w:sz w:val="20"/>
                <w:szCs w:val="20"/>
                <w:color w:val="auto"/>
              </w:rPr>
            </w:pPr>
            <w:r>
              <w:rPr>
                <w:rFonts w:ascii="Arial" w:cs="Arial" w:eastAsia="Arial" w:hAnsi="Arial"/>
                <w:sz w:val="12"/>
                <w:szCs w:val="12"/>
                <w:color w:val="auto"/>
              </w:rPr>
              <w:t>12/31/2021</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3,257,511</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3,168,502</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3,583,262</w:t>
            </w:r>
          </w:p>
        </w:tc>
        <w:tc>
          <w:tcPr>
            <w:tcW w:w="100" w:type="dxa"/>
            <w:vAlign w:val="bottom"/>
          </w:tcPr>
          <w:p>
            <w:pPr>
              <w:spacing w:after="0"/>
              <w:rPr>
                <w:sz w:val="13"/>
                <w:szCs w:val="13"/>
                <w:color w:val="auto"/>
              </w:rPr>
            </w:pPr>
          </w:p>
        </w:tc>
      </w:tr>
      <w:tr>
        <w:trPr>
          <w:trHeight w:val="142"/>
        </w:trPr>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Precious Metals and Minerals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5.00%)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Corfin Industries LLC</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11/25/2020</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10.99%</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L+975</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22,593,352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22,280,645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22,480,385</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Corfin Industries LLC (Revolver) </w:t>
            </w:r>
            <w:r>
              <w:rPr>
                <w:rFonts w:ascii="Arial" w:cs="Arial" w:eastAsia="Arial" w:hAnsi="Arial"/>
                <w:sz w:val="9"/>
                <w:szCs w:val="9"/>
                <w:color w:val="auto"/>
              </w:rPr>
              <w:t>(8)</w:t>
            </w:r>
          </w:p>
        </w:tc>
        <w:tc>
          <w:tcPr>
            <w:tcW w:w="880" w:type="dxa"/>
            <w:vAlign w:val="bottom"/>
          </w:tcPr>
          <w:p>
            <w:pPr>
              <w:ind w:left="60"/>
              <w:spacing w:after="0"/>
              <w:rPr>
                <w:sz w:val="20"/>
                <w:szCs w:val="20"/>
                <w:color w:val="auto"/>
              </w:rPr>
            </w:pPr>
            <w:r>
              <w:rPr>
                <w:rFonts w:ascii="Arial" w:cs="Arial" w:eastAsia="Arial" w:hAnsi="Arial"/>
                <w:sz w:val="12"/>
                <w:szCs w:val="12"/>
                <w:color w:val="auto"/>
              </w:rPr>
              <w:t>11/25/2020</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1,942,623</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TRAK Acquisition Corp.</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04/30/2018</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21,202,411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21,136,798</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21,202,411</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TRAK Acquisition Corp. (Revolver)</w:t>
            </w:r>
          </w:p>
        </w:tc>
        <w:tc>
          <w:tcPr>
            <w:tcW w:w="880" w:type="dxa"/>
            <w:vAlign w:val="bottom"/>
          </w:tcPr>
          <w:p>
            <w:pPr>
              <w:ind w:left="60"/>
              <w:spacing w:after="0"/>
              <w:rPr>
                <w:sz w:val="20"/>
                <w:szCs w:val="20"/>
                <w:color w:val="auto"/>
              </w:rPr>
            </w:pPr>
            <w:r>
              <w:rPr>
                <w:rFonts w:ascii="Arial" w:cs="Arial" w:eastAsia="Arial" w:hAnsi="Arial"/>
                <w:sz w:val="12"/>
                <w:szCs w:val="12"/>
                <w:color w:val="auto"/>
              </w:rPr>
              <w:t>04/30/2018</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12.00%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L+1,050</w:t>
            </w:r>
          </w:p>
        </w:tc>
        <w:tc>
          <w:tcPr>
            <w:tcW w:w="680" w:type="dxa"/>
            <w:vAlign w:val="bottom"/>
          </w:tcPr>
          <w:p>
            <w:pPr>
              <w:jc w:val="right"/>
              <w:spacing w:after="0"/>
              <w:rPr>
                <w:sz w:val="20"/>
                <w:szCs w:val="20"/>
                <w:color w:val="auto"/>
              </w:rPr>
            </w:pPr>
            <w:r>
              <w:rPr>
                <w:rFonts w:ascii="Arial" w:cs="Arial" w:eastAsia="Arial" w:hAnsi="Arial"/>
                <w:sz w:val="12"/>
                <w:szCs w:val="12"/>
                <w:color w:val="auto"/>
              </w:rPr>
              <w:t>5,000,000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5,000,000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5,000,000</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U.S. Well Services, LLC</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02/02/2022</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12.24%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L+1,100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9,644,284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9,566,510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9,644,284</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12.24%)</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U.S. Well Services, LLC (Revolver)</w:t>
            </w:r>
          </w:p>
        </w:tc>
        <w:tc>
          <w:tcPr>
            <w:tcW w:w="880" w:type="dxa"/>
            <w:vAlign w:val="bottom"/>
          </w:tcPr>
          <w:p>
            <w:pPr>
              <w:ind w:left="60"/>
              <w:spacing w:after="0"/>
              <w:rPr>
                <w:sz w:val="20"/>
                <w:szCs w:val="20"/>
                <w:color w:val="auto"/>
              </w:rPr>
            </w:pPr>
            <w:r>
              <w:rPr>
                <w:rFonts w:ascii="Arial" w:cs="Arial" w:eastAsia="Arial" w:hAnsi="Arial"/>
                <w:sz w:val="12"/>
                <w:szCs w:val="12"/>
                <w:color w:val="auto"/>
              </w:rPr>
              <w:t>02/02/2022</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7.24%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L+600</w:t>
            </w:r>
          </w:p>
        </w:tc>
        <w:tc>
          <w:tcPr>
            <w:tcW w:w="680" w:type="dxa"/>
            <w:vAlign w:val="bottom"/>
          </w:tcPr>
          <w:p>
            <w:pPr>
              <w:jc w:val="right"/>
              <w:spacing w:after="0"/>
              <w:rPr>
                <w:sz w:val="20"/>
                <w:szCs w:val="20"/>
                <w:color w:val="auto"/>
              </w:rPr>
            </w:pPr>
            <w:r>
              <w:rPr>
                <w:rFonts w:ascii="Arial" w:cs="Arial" w:eastAsia="Arial" w:hAnsi="Arial"/>
                <w:sz w:val="12"/>
                <w:szCs w:val="12"/>
                <w:color w:val="auto"/>
              </w:rPr>
              <w:t>1,478,151</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1,478,151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1,478,151</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U.S. Well Services, LLC (Revolver) </w:t>
            </w:r>
            <w:r>
              <w:rPr>
                <w:rFonts w:ascii="Arial" w:cs="Arial" w:eastAsia="Arial" w:hAnsi="Arial"/>
                <w:sz w:val="9"/>
                <w:szCs w:val="9"/>
                <w:color w:val="auto"/>
              </w:rPr>
              <w:t>(8)</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02/02/2022</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714,270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4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First Lien Secured Debt</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62,630,606</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99"/>
              </w:rPr>
              <w:t>63,388,493</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Second Lien Secured Debt—1.5%</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EnviroSolutions Real Property Holdings, Inc. -</w:t>
            </w:r>
          </w:p>
        </w:tc>
        <w:tc>
          <w:tcPr>
            <w:tcW w:w="880" w:type="dxa"/>
            <w:vAlign w:val="bottom"/>
          </w:tcPr>
          <w:p>
            <w:pPr>
              <w:ind w:left="60"/>
              <w:spacing w:after="0"/>
              <w:rPr>
                <w:sz w:val="20"/>
                <w:szCs w:val="20"/>
                <w:color w:val="auto"/>
              </w:rPr>
            </w:pPr>
            <w:r>
              <w:rPr>
                <w:rFonts w:ascii="Arial" w:cs="Arial" w:eastAsia="Arial" w:hAnsi="Arial"/>
                <w:sz w:val="12"/>
                <w:szCs w:val="12"/>
                <w:color w:val="auto"/>
              </w:rPr>
              <w:t>12/23/2019</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9.34%</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tcPr>
          <w:p>
            <w:pPr>
              <w:jc w:val="right"/>
              <w:spacing w:after="0"/>
              <w:rPr>
                <w:sz w:val="20"/>
                <w:szCs w:val="20"/>
                <w:color w:val="auto"/>
              </w:rPr>
            </w:pPr>
            <w:r>
              <w:rPr>
                <w:rFonts w:ascii="Arial" w:cs="Arial" w:eastAsia="Arial" w:hAnsi="Arial"/>
                <w:sz w:val="12"/>
                <w:szCs w:val="12"/>
                <w:color w:val="auto"/>
              </w:rPr>
              <w:t>4,856,640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4,834,021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4,856,640</w:t>
            </w:r>
          </w:p>
        </w:tc>
        <w:tc>
          <w:tcPr>
            <w:tcW w:w="100" w:type="dxa"/>
            <w:vAlign w:val="bottom"/>
          </w:tcPr>
          <w:p>
            <w:pPr>
              <w:spacing w:after="0"/>
              <w:rPr>
                <w:sz w:val="12"/>
                <w:szCs w:val="12"/>
                <w:color w:val="auto"/>
              </w:rPr>
            </w:pPr>
          </w:p>
        </w:tc>
      </w:tr>
      <w:tr>
        <w:trPr>
          <w:trHeight w:val="141"/>
        </w:trPr>
        <w:tc>
          <w:tcPr>
            <w:tcW w:w="3060" w:type="dxa"/>
            <w:vAlign w:val="bottom"/>
          </w:tcPr>
          <w:p>
            <w:pPr>
              <w:ind w:left="100"/>
              <w:spacing w:after="0"/>
              <w:rPr>
                <w:sz w:val="20"/>
                <w:szCs w:val="20"/>
                <w:color w:val="auto"/>
              </w:rPr>
            </w:pPr>
            <w:r>
              <w:rPr>
                <w:rFonts w:ascii="Arial" w:cs="Arial" w:eastAsia="Arial" w:hAnsi="Arial"/>
                <w:sz w:val="12"/>
                <w:szCs w:val="12"/>
                <w:color w:val="auto"/>
              </w:rPr>
              <w:t>Tranche A</w:t>
            </w:r>
          </w:p>
        </w:tc>
        <w:tc>
          <w:tcPr>
            <w:tcW w:w="88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Real Property Holdings, Inc. -</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08/03/2020</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9.34%</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L+800</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4,661,312</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4,639,603</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4,661,312</w:t>
            </w:r>
          </w:p>
        </w:tc>
        <w:tc>
          <w:tcPr>
            <w:tcW w:w="100" w:type="dxa"/>
            <w:vAlign w:val="bottom"/>
            <w:shd w:val="clear" w:color="auto" w:fill="CCECFF"/>
          </w:tcPr>
          <w:p>
            <w:pPr>
              <w:spacing w:after="0"/>
              <w:rPr>
                <w:sz w:val="12"/>
                <w:szCs w:val="12"/>
                <w:color w:val="auto"/>
              </w:rPr>
            </w:pPr>
          </w:p>
        </w:tc>
      </w:tr>
      <w:tr>
        <w:trPr>
          <w:trHeight w:val="141"/>
        </w:trPr>
        <w:tc>
          <w:tcPr>
            <w:tcW w:w="3060" w:type="dxa"/>
            <w:vAlign w:val="bottom"/>
            <w:shd w:val="clear" w:color="auto" w:fill="CCECFF"/>
          </w:tcPr>
          <w:p>
            <w:pPr>
              <w:ind w:left="100"/>
              <w:spacing w:after="0"/>
              <w:rPr>
                <w:sz w:val="20"/>
                <w:szCs w:val="20"/>
                <w:color w:val="auto"/>
              </w:rPr>
            </w:pPr>
            <w:r>
              <w:rPr>
                <w:rFonts w:ascii="Arial" w:cs="Arial" w:eastAsia="Arial" w:hAnsi="Arial"/>
                <w:sz w:val="12"/>
                <w:szCs w:val="12"/>
                <w:color w:val="auto"/>
              </w:rPr>
              <w:t>Tranche B</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9.34%)</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Second Lien Secured Debt</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9,473,624</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9,517,952</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Subordinated Debt/Corporate Notes—8.0%</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55"/>
        </w:trPr>
        <w:tc>
          <w:tcPr>
            <w:tcW w:w="3060" w:type="dxa"/>
            <w:vAlign w:val="bottom"/>
          </w:tcPr>
          <w:p>
            <w:pPr>
              <w:spacing w:after="0"/>
              <w:rPr>
                <w:sz w:val="20"/>
                <w:szCs w:val="20"/>
                <w:color w:val="auto"/>
              </w:rPr>
            </w:pPr>
            <w:r>
              <w:rPr>
                <w:rFonts w:ascii="Arial" w:cs="Arial" w:eastAsia="Arial" w:hAnsi="Arial"/>
                <w:sz w:val="12"/>
                <w:szCs w:val="12"/>
                <w:color w:val="auto"/>
              </w:rPr>
              <w:t xml:space="preserve">American Gilsonite Company </w:t>
            </w:r>
            <w:r>
              <w:rPr>
                <w:rFonts w:ascii="Arial" w:cs="Arial" w:eastAsia="Arial" w:hAnsi="Arial"/>
                <w:sz w:val="9"/>
                <w:szCs w:val="9"/>
                <w:color w:val="auto"/>
              </w:rPr>
              <w:t>(5)</w:t>
            </w:r>
          </w:p>
        </w:tc>
        <w:tc>
          <w:tcPr>
            <w:tcW w:w="880" w:type="dxa"/>
            <w:vAlign w:val="bottom"/>
          </w:tcPr>
          <w:p>
            <w:pPr>
              <w:ind w:left="60"/>
              <w:spacing w:after="0"/>
              <w:rPr>
                <w:sz w:val="20"/>
                <w:szCs w:val="20"/>
                <w:color w:val="auto"/>
              </w:rPr>
            </w:pPr>
            <w:r>
              <w:rPr>
                <w:rFonts w:ascii="Arial" w:cs="Arial" w:eastAsia="Arial" w:hAnsi="Arial"/>
                <w:sz w:val="12"/>
                <w:szCs w:val="12"/>
                <w:color w:val="auto"/>
              </w:rPr>
              <w:t>12/31/2021</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Diversified Natural Resources,</w:t>
            </w:r>
          </w:p>
        </w:tc>
        <w:tc>
          <w:tcPr>
            <w:tcW w:w="960" w:type="dxa"/>
            <w:vAlign w:val="bottom"/>
            <w:gridSpan w:val="2"/>
          </w:tcPr>
          <w:p>
            <w:pPr>
              <w:jc w:val="right"/>
              <w:ind w:right="200"/>
              <w:spacing w:after="0"/>
              <w:rPr>
                <w:sz w:val="20"/>
                <w:szCs w:val="20"/>
                <w:color w:val="auto"/>
              </w:rPr>
            </w:pPr>
            <w:r>
              <w:rPr>
                <w:rFonts w:ascii="Arial" w:cs="Arial" w:eastAsia="Arial" w:hAnsi="Arial"/>
                <w:sz w:val="12"/>
                <w:szCs w:val="12"/>
                <w:color w:val="auto"/>
              </w:rPr>
              <w:t>17.00%</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9,727,948</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9,727,948</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10,603,464</w:t>
            </w:r>
          </w:p>
        </w:tc>
        <w:tc>
          <w:tcPr>
            <w:tcW w:w="100" w:type="dxa"/>
            <w:vAlign w:val="bottom"/>
          </w:tcPr>
          <w:p>
            <w:pPr>
              <w:spacing w:after="0"/>
              <w:rPr>
                <w:sz w:val="13"/>
                <w:szCs w:val="13"/>
                <w:color w:val="auto"/>
              </w:rPr>
            </w:pPr>
          </w:p>
        </w:tc>
      </w:tr>
      <w:tr>
        <w:trPr>
          <w:trHeight w:val="141"/>
        </w:trPr>
        <w:tc>
          <w:tcPr>
            <w:tcW w:w="30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7"/>
              </w:rPr>
              <w:t>Precious Metals and Minerals</w:t>
            </w:r>
          </w:p>
        </w:tc>
        <w:tc>
          <w:tcPr>
            <w:tcW w:w="960" w:type="dxa"/>
            <w:vAlign w:val="bottom"/>
            <w:gridSpan w:val="2"/>
          </w:tcPr>
          <w:p>
            <w:pPr>
              <w:jc w:val="right"/>
              <w:ind w:right="160"/>
              <w:spacing w:after="0"/>
              <w:rPr>
                <w:sz w:val="20"/>
                <w:szCs w:val="20"/>
                <w:color w:val="auto"/>
              </w:rPr>
            </w:pPr>
            <w:r>
              <w:rPr>
                <w:rFonts w:ascii="Arial" w:cs="Arial" w:eastAsia="Arial" w:hAnsi="Arial"/>
                <w:sz w:val="12"/>
                <w:szCs w:val="12"/>
                <w:color w:val="auto"/>
              </w:rPr>
              <w:t>(PIK 17.00%)</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LLC, Convertible Note </w:t>
            </w:r>
            <w:r>
              <w:rPr>
                <w:rFonts w:ascii="Arial" w:cs="Arial" w:eastAsia="Arial" w:hAnsi="Arial"/>
                <w:sz w:val="9"/>
                <w:szCs w:val="9"/>
                <w:color w:val="auto"/>
              </w:rPr>
              <w:t>(5)</w:t>
            </w:r>
          </w:p>
        </w:tc>
        <w:tc>
          <w:tcPr>
            <w:tcW w:w="880" w:type="dxa"/>
            <w:vAlign w:val="bottom"/>
            <w:shd w:val="clear" w:color="auto" w:fill="CCECFF"/>
          </w:tcPr>
          <w:p>
            <w:pPr>
              <w:ind w:left="60"/>
              <w:spacing w:after="0"/>
              <w:rPr>
                <w:sz w:val="20"/>
                <w:szCs w:val="20"/>
                <w:color w:val="auto"/>
              </w:rPr>
            </w:pPr>
            <w:r>
              <w:rPr>
                <w:rFonts w:ascii="Arial" w:cs="Arial" w:eastAsia="Arial" w:hAnsi="Arial"/>
                <w:sz w:val="12"/>
                <w:szCs w:val="12"/>
                <w:color w:val="auto"/>
              </w:rPr>
              <w:t>05/03/2021</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200"/>
              <w:spacing w:after="0"/>
              <w:rPr>
                <w:sz w:val="20"/>
                <w:szCs w:val="20"/>
                <w:color w:val="auto"/>
              </w:rPr>
            </w:pPr>
            <w:r>
              <w:rPr>
                <w:rFonts w:ascii="Arial" w:cs="Arial" w:eastAsia="Arial" w:hAnsi="Arial"/>
                <w:sz w:val="12"/>
                <w:szCs w:val="12"/>
                <w:color w:val="auto"/>
              </w:rPr>
              <w:t>12.50%</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28,611,214</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37,434,384</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41,486,260</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shd w:val="clear" w:color="auto" w:fill="CCECFF"/>
          </w:tcPr>
          <w:p>
            <w:pPr>
              <w:spacing w:after="0"/>
              <w:rPr>
                <w:sz w:val="12"/>
                <w:szCs w:val="12"/>
                <w:color w:val="auto"/>
              </w:rPr>
            </w:pP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960" w:type="dxa"/>
            <w:vAlign w:val="bottom"/>
            <w:gridSpan w:val="2"/>
            <w:shd w:val="clear" w:color="auto" w:fill="CCECFF"/>
          </w:tcPr>
          <w:p>
            <w:pPr>
              <w:jc w:val="right"/>
              <w:ind w:right="160"/>
              <w:spacing w:after="0"/>
              <w:rPr>
                <w:sz w:val="20"/>
                <w:szCs w:val="20"/>
                <w:color w:val="auto"/>
              </w:rPr>
            </w:pPr>
            <w:r>
              <w:rPr>
                <w:rFonts w:ascii="Arial" w:cs="Arial" w:eastAsia="Arial" w:hAnsi="Arial"/>
                <w:sz w:val="12"/>
                <w:szCs w:val="12"/>
                <w:color w:val="auto"/>
              </w:rPr>
              <w:t>(PIK 12.50%)</w:t>
            </w: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Subordinated Debt/Corporate Notes</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47,162,332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52,089,724</w:t>
            </w:r>
          </w:p>
        </w:tc>
        <w:tc>
          <w:tcPr>
            <w:tcW w:w="100" w:type="dxa"/>
            <w:vAlign w:val="bottom"/>
            <w:tcBorders>
              <w:bottom w:val="single" w:sz="8" w:color="CCECFF"/>
            </w:tcBorders>
          </w:tcPr>
          <w:p>
            <w:pPr>
              <w:spacing w:after="0"/>
              <w:rPr>
                <w:sz w:val="12"/>
                <w:szCs w:val="12"/>
                <w:color w:val="auto"/>
              </w:rPr>
            </w:pPr>
          </w:p>
        </w:tc>
      </w:tr>
      <w:tr>
        <w:trPr>
          <w:trHeight w:val="142"/>
        </w:trPr>
        <w:tc>
          <w:tcPr>
            <w:tcW w:w="3060" w:type="dxa"/>
            <w:vAlign w:val="bottom"/>
            <w:shd w:val="clear" w:color="auto" w:fill="CCECFF"/>
          </w:tcPr>
          <w:p>
            <w:pPr>
              <w:spacing w:after="0"/>
              <w:rPr>
                <w:sz w:val="20"/>
                <w:szCs w:val="20"/>
                <w:color w:val="auto"/>
              </w:rPr>
            </w:pPr>
            <w:r>
              <w:rPr>
                <w:rFonts w:ascii="Arial" w:cs="Arial" w:eastAsia="Arial" w:hAnsi="Arial"/>
                <w:sz w:val="12"/>
                <w:szCs w:val="12"/>
                <w:b w:val="1"/>
                <w:bCs w:val="1"/>
                <w:color w:val="auto"/>
                <w:w w:val="91"/>
              </w:rPr>
              <w:t xml:space="preserve">Common Equity/Partnership Interests/Warrants—10.0% </w:t>
            </w:r>
            <w:r>
              <w:rPr>
                <w:rFonts w:ascii="Arial" w:cs="Arial" w:eastAsia="Arial" w:hAnsi="Arial"/>
                <w:sz w:val="9"/>
                <w:szCs w:val="9"/>
                <w:b w:val="1"/>
                <w:bCs w:val="1"/>
                <w:color w:val="auto"/>
                <w:w w:val="91"/>
              </w:rPr>
              <w:t>(6)</w:t>
            </w:r>
          </w:p>
        </w:tc>
        <w:tc>
          <w:tcPr>
            <w:tcW w:w="880" w:type="dxa"/>
            <w:vAlign w:val="bottom"/>
            <w:shd w:val="clear" w:color="auto" w:fill="CCECFF"/>
          </w:tcPr>
          <w:p>
            <w:pPr>
              <w:spacing w:after="0"/>
              <w:rPr>
                <w:sz w:val="12"/>
                <w:szCs w:val="12"/>
                <w:color w:val="auto"/>
              </w:rPr>
            </w:pP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Affinion Group Holdings, Inc.</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859,496</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w w:val="99"/>
              </w:rPr>
              <w:t>30,503,493</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w w:val="99"/>
              </w:rPr>
              <w:t>19,648,795</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Affinion Group Holdings, Inc., Series C and Series D</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6"/>
              </w:rPr>
              <w:t>Consumer Products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37,181</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10,265,972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55,344</w:t>
            </w: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Pr>
          <w:p>
            <w:pPr>
              <w:spacing w:after="0"/>
              <w:rPr>
                <w:sz w:val="20"/>
                <w:szCs w:val="20"/>
                <w:color w:val="auto"/>
              </w:rPr>
            </w:pPr>
            <w:r>
              <w:rPr>
                <w:rFonts w:ascii="Arial" w:cs="Arial" w:eastAsia="Arial" w:hAnsi="Arial"/>
                <w:sz w:val="12"/>
                <w:szCs w:val="12"/>
                <w:color w:val="auto"/>
              </w:rPr>
              <w:t>American Gilsonite Company</w:t>
            </w:r>
          </w:p>
        </w:tc>
        <w:tc>
          <w:tcPr>
            <w:tcW w:w="880" w:type="dxa"/>
            <w:vAlign w:val="bottom"/>
          </w:tcPr>
          <w:p>
            <w:pPr>
              <w:spacing w:after="0"/>
              <w:rPr>
                <w:sz w:val="12"/>
                <w:szCs w:val="12"/>
                <w:color w:val="auto"/>
              </w:rPr>
            </w:pP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8"/>
              </w:rPr>
              <w:t>Diversified Natural Resources, Precious Metals and</w:t>
            </w: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1"/>
        </w:trPr>
        <w:tc>
          <w:tcPr>
            <w:tcW w:w="3060" w:type="dxa"/>
            <w:vAlign w:val="bottom"/>
          </w:tcPr>
          <w:p>
            <w:pPr>
              <w:spacing w:after="0"/>
              <w:rPr>
                <w:sz w:val="12"/>
                <w:szCs w:val="12"/>
                <w:color w:val="auto"/>
              </w:rPr>
            </w:pP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92"/>
              </w:rPr>
              <w:t>Minerals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25,400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5,465,627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8,620,806</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Corfin InvestCo, L.P.</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1,125,000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1,609,091</w:t>
            </w:r>
          </w:p>
        </w:tc>
        <w:tc>
          <w:tcPr>
            <w:tcW w:w="100" w:type="dxa"/>
            <w:vAlign w:val="bottom"/>
            <w:shd w:val="clear" w:color="auto" w:fill="CCECFF"/>
          </w:tcPr>
          <w:p>
            <w:pPr>
              <w:spacing w:after="0"/>
              <w:rPr>
                <w:sz w:val="12"/>
                <w:szCs w:val="12"/>
                <w:color w:val="auto"/>
              </w:rPr>
            </w:pPr>
          </w:p>
        </w:tc>
      </w:tr>
      <w:tr>
        <w:trPr>
          <w:trHeight w:val="149"/>
        </w:trPr>
        <w:tc>
          <w:tcPr>
            <w:tcW w:w="3060" w:type="dxa"/>
            <w:vAlign w:val="bottom"/>
          </w:tcPr>
          <w:p>
            <w:pPr>
              <w:spacing w:after="0"/>
              <w:rPr>
                <w:sz w:val="20"/>
                <w:szCs w:val="20"/>
                <w:color w:val="auto"/>
              </w:rPr>
            </w:pPr>
            <w:r>
              <w:rPr>
                <w:rFonts w:ascii="Arial" w:cs="Arial" w:eastAsia="Arial" w:hAnsi="Arial"/>
                <w:sz w:val="12"/>
                <w:szCs w:val="12"/>
                <w:color w:val="auto"/>
              </w:rPr>
              <w:t xml:space="preserve">Corfin InvestCo, L.P. </w:t>
            </w:r>
            <w:r>
              <w:rPr>
                <w:rFonts w:ascii="Arial" w:cs="Arial" w:eastAsia="Arial" w:hAnsi="Arial"/>
                <w:sz w:val="9"/>
                <w:szCs w:val="9"/>
                <w:color w:val="auto"/>
              </w:rPr>
              <w:t>(8)</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200"/>
              <w:spacing w:after="0"/>
              <w:rPr>
                <w:sz w:val="20"/>
                <w:szCs w:val="20"/>
                <w:color w:val="auto"/>
              </w:rPr>
            </w:pPr>
            <w:r>
              <w:rPr>
                <w:rFonts w:ascii="Arial" w:cs="Arial" w:eastAsia="Arial" w:hAnsi="Arial"/>
                <w:sz w:val="12"/>
                <w:szCs w:val="12"/>
                <w:color w:val="auto"/>
                <w:w w:val="85"/>
              </w:rPr>
              <w:t>Aerospace and Defense</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11,250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EnviroSolutions Holdings, Inc.</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Environmental Services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143,668</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11,960,702</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w w:val="99"/>
              </w:rPr>
              <w:t>15,718,184</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 xml:space="preserve">ETX Energy, LLC </w:t>
            </w:r>
            <w:r>
              <w:rPr>
                <w:rFonts w:ascii="Arial" w:cs="Arial" w:eastAsia="Arial" w:hAnsi="Arial"/>
                <w:sz w:val="9"/>
                <w:szCs w:val="9"/>
                <w:color w:val="auto"/>
              </w:rPr>
              <w:t>(10)</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113,610</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2,797,423</w:t>
            </w:r>
          </w:p>
        </w:tc>
        <w:tc>
          <w:tcPr>
            <w:tcW w:w="100" w:type="dxa"/>
            <w:vAlign w:val="bottom"/>
          </w:tcPr>
          <w:p>
            <w:pPr>
              <w:spacing w:after="0"/>
              <w:rPr>
                <w:sz w:val="12"/>
                <w:szCs w:val="12"/>
                <w:color w:val="auto"/>
              </w:rPr>
            </w:pPr>
          </w:p>
        </w:tc>
      </w:tr>
      <w:tr>
        <w:trPr>
          <w:trHeight w:val="149"/>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 xml:space="preserve">ETX Energy Management Company, LLC </w:t>
            </w:r>
            <w:r>
              <w:rPr>
                <w:rFonts w:ascii="Arial" w:cs="Arial" w:eastAsia="Arial" w:hAnsi="Arial"/>
                <w:sz w:val="9"/>
                <w:szCs w:val="9"/>
                <w:color w:val="auto"/>
              </w:rPr>
              <w:t>(10)</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119,603</w:t>
            </w:r>
          </w:p>
        </w:tc>
        <w:tc>
          <w:tcPr>
            <w:tcW w:w="3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64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147,249</w:t>
            </w:r>
          </w:p>
        </w:tc>
        <w:tc>
          <w:tcPr>
            <w:tcW w:w="100" w:type="dxa"/>
            <w:vAlign w:val="bottom"/>
            <w:shd w:val="clear" w:color="auto" w:fill="CCECFF"/>
          </w:tcPr>
          <w:p>
            <w:pPr>
              <w:spacing w:after="0"/>
              <w:rPr>
                <w:sz w:val="12"/>
                <w:szCs w:val="12"/>
                <w:color w:val="auto"/>
              </w:rPr>
            </w:pPr>
          </w:p>
        </w:tc>
      </w:tr>
      <w:tr>
        <w:trPr>
          <w:trHeight w:val="148"/>
        </w:trPr>
        <w:tc>
          <w:tcPr>
            <w:tcW w:w="3060" w:type="dxa"/>
            <w:vAlign w:val="bottom"/>
          </w:tcPr>
          <w:p>
            <w:pPr>
              <w:spacing w:after="0"/>
              <w:rPr>
                <w:sz w:val="20"/>
                <w:szCs w:val="20"/>
                <w:color w:val="auto"/>
              </w:rPr>
            </w:pPr>
            <w:r>
              <w:rPr>
                <w:rFonts w:ascii="Arial" w:cs="Arial" w:eastAsia="Arial" w:hAnsi="Arial"/>
                <w:sz w:val="12"/>
                <w:szCs w:val="12"/>
                <w:color w:val="auto"/>
              </w:rPr>
              <w:t>TRAK Acquisition Corp.</w:t>
            </w:r>
          </w:p>
        </w:tc>
        <w:tc>
          <w:tcPr>
            <w:tcW w:w="880" w:type="dxa"/>
            <w:vAlign w:val="bottom"/>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tcPr>
          <w:p>
            <w:pPr>
              <w:jc w:val="center"/>
              <w:ind w:right="180"/>
              <w:spacing w:after="0"/>
              <w:rPr>
                <w:sz w:val="20"/>
                <w:szCs w:val="20"/>
                <w:color w:val="auto"/>
              </w:rPr>
            </w:pPr>
            <w:r>
              <w:rPr>
                <w:rFonts w:ascii="Arial" w:cs="Arial" w:eastAsia="Arial" w:hAnsi="Arial"/>
                <w:sz w:val="12"/>
                <w:szCs w:val="12"/>
                <w:color w:val="auto"/>
                <w:w w:val="85"/>
              </w:rPr>
              <w:t>Business Services</w:t>
            </w:r>
          </w:p>
        </w:tc>
        <w:tc>
          <w:tcPr>
            <w:tcW w:w="960" w:type="dxa"/>
            <w:vAlign w:val="bottom"/>
            <w:gridSpan w:val="2"/>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tcPr>
          <w:p>
            <w:pPr>
              <w:jc w:val="right"/>
              <w:spacing w:after="0"/>
              <w:rPr>
                <w:sz w:val="20"/>
                <w:szCs w:val="20"/>
                <w:color w:val="auto"/>
              </w:rPr>
            </w:pPr>
            <w:r>
              <w:rPr>
                <w:rFonts w:ascii="Arial" w:cs="Arial" w:eastAsia="Arial" w:hAnsi="Arial"/>
                <w:sz w:val="12"/>
                <w:szCs w:val="12"/>
                <w:color w:val="auto"/>
              </w:rPr>
              <w:t>491,755</w:t>
            </w: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188,837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Arial" w:cs="Arial" w:eastAsia="Arial" w:hAnsi="Arial"/>
                <w:sz w:val="12"/>
                <w:szCs w:val="12"/>
                <w:color w:val="auto"/>
              </w:rPr>
              <w:t>5,972,967</w:t>
            </w:r>
          </w:p>
        </w:tc>
        <w:tc>
          <w:tcPr>
            <w:tcW w:w="100" w:type="dxa"/>
            <w:vAlign w:val="bottom"/>
          </w:tcPr>
          <w:p>
            <w:pPr>
              <w:spacing w:after="0"/>
              <w:rPr>
                <w:sz w:val="12"/>
                <w:szCs w:val="12"/>
                <w:color w:val="auto"/>
              </w:rPr>
            </w:pPr>
          </w:p>
        </w:tc>
      </w:tr>
      <w:tr>
        <w:trPr>
          <w:trHeight w:val="148"/>
        </w:trPr>
        <w:tc>
          <w:tcPr>
            <w:tcW w:w="3060" w:type="dxa"/>
            <w:vAlign w:val="bottom"/>
            <w:shd w:val="clear" w:color="auto" w:fill="CCECFF"/>
          </w:tcPr>
          <w:p>
            <w:pPr>
              <w:spacing w:after="0"/>
              <w:rPr>
                <w:sz w:val="20"/>
                <w:szCs w:val="20"/>
                <w:color w:val="auto"/>
              </w:rPr>
            </w:pPr>
            <w:r>
              <w:rPr>
                <w:rFonts w:ascii="Arial" w:cs="Arial" w:eastAsia="Arial" w:hAnsi="Arial"/>
                <w:sz w:val="12"/>
                <w:szCs w:val="12"/>
                <w:color w:val="auto"/>
              </w:rPr>
              <w:t>USWS Holdings, LLC - Class A and Class B</w:t>
            </w:r>
          </w:p>
        </w:tc>
        <w:tc>
          <w:tcPr>
            <w:tcW w:w="880" w:type="dxa"/>
            <w:vAlign w:val="bottom"/>
            <w:shd w:val="clear" w:color="auto" w:fill="CCECFF"/>
          </w:tcPr>
          <w:p>
            <w:pPr>
              <w:ind w:left="320"/>
              <w:spacing w:after="0"/>
              <w:rPr>
                <w:sz w:val="20"/>
                <w:szCs w:val="20"/>
                <w:color w:val="auto"/>
              </w:rPr>
            </w:pPr>
            <w:r>
              <w:rPr>
                <w:rFonts w:ascii="Arial" w:cs="Arial" w:eastAsia="Arial" w:hAnsi="Arial"/>
                <w:sz w:val="12"/>
                <w:szCs w:val="12"/>
                <w:color w:val="auto"/>
              </w:rPr>
              <w:t>—</w:t>
            </w:r>
          </w:p>
        </w:tc>
        <w:tc>
          <w:tcPr>
            <w:tcW w:w="2700" w:type="dxa"/>
            <w:vAlign w:val="bottom"/>
            <w:gridSpan w:val="2"/>
            <w:shd w:val="clear" w:color="auto" w:fill="CCECFF"/>
          </w:tcPr>
          <w:p>
            <w:pPr>
              <w:jc w:val="center"/>
              <w:ind w:right="180"/>
              <w:spacing w:after="0"/>
              <w:rPr>
                <w:sz w:val="20"/>
                <w:szCs w:val="20"/>
                <w:color w:val="auto"/>
              </w:rPr>
            </w:pPr>
            <w:r>
              <w:rPr>
                <w:rFonts w:ascii="Arial" w:cs="Arial" w:eastAsia="Arial" w:hAnsi="Arial"/>
                <w:sz w:val="12"/>
                <w:szCs w:val="12"/>
                <w:color w:val="auto"/>
                <w:w w:val="88"/>
              </w:rPr>
              <w:t>Oil and Gas</w:t>
            </w:r>
          </w:p>
        </w:tc>
        <w:tc>
          <w:tcPr>
            <w:tcW w:w="960" w:type="dxa"/>
            <w:vAlign w:val="bottom"/>
            <w:gridSpan w:val="2"/>
            <w:shd w:val="clear" w:color="auto" w:fill="CCECFF"/>
          </w:tcPr>
          <w:p>
            <w:pPr>
              <w:jc w:val="right"/>
              <w:ind w:right="30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240"/>
              <w:spacing w:after="0"/>
              <w:rPr>
                <w:sz w:val="20"/>
                <w:szCs w:val="20"/>
                <w:color w:val="auto"/>
              </w:rPr>
            </w:pPr>
            <w:r>
              <w:rPr>
                <w:rFonts w:ascii="Arial" w:cs="Arial" w:eastAsia="Arial" w:hAnsi="Arial"/>
                <w:sz w:val="12"/>
                <w:szCs w:val="12"/>
                <w:color w:val="auto"/>
              </w:rPr>
              <w:t>—</w:t>
            </w:r>
          </w:p>
        </w:tc>
        <w:tc>
          <w:tcPr>
            <w:tcW w:w="68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8,190,817</w:t>
            </w: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7,023,750</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99"/>
              </w:rPr>
              <w:t>10,108,949</w:t>
            </w:r>
          </w:p>
        </w:tc>
        <w:tc>
          <w:tcPr>
            <w:tcW w:w="100" w:type="dxa"/>
            <w:vAlign w:val="bottom"/>
            <w:shd w:val="clear" w:color="auto" w:fill="CCECFF"/>
          </w:tcPr>
          <w:p>
            <w:pPr>
              <w:spacing w:after="0"/>
              <w:rPr>
                <w:sz w:val="12"/>
                <w:szCs w:val="12"/>
                <w:color w:val="auto"/>
              </w:rPr>
            </w:pPr>
          </w:p>
        </w:tc>
      </w:tr>
      <w:tr>
        <w:trPr>
          <w:trHeight w:val="142"/>
        </w:trPr>
        <w:tc>
          <w:tcPr>
            <w:tcW w:w="306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Equity/Partnership Interests/Warrants</w:t>
            </w:r>
          </w:p>
        </w:tc>
        <w:tc>
          <w:tcPr>
            <w:tcW w:w="880" w:type="dxa"/>
            <w:vAlign w:val="bottom"/>
            <w:tcBorders>
              <w:bottom w:val="single" w:sz="8" w:color="CCECFF"/>
            </w:tcBorders>
          </w:tcPr>
          <w:p>
            <w:pPr>
              <w:spacing w:after="0"/>
              <w:rPr>
                <w:sz w:val="12"/>
                <w:szCs w:val="12"/>
                <w:color w:val="auto"/>
              </w:rPr>
            </w:pPr>
          </w:p>
        </w:tc>
        <w:tc>
          <w:tcPr>
            <w:tcW w:w="2580" w:type="dxa"/>
            <w:vAlign w:val="bottom"/>
            <w:tcBorders>
              <w:bottom w:val="single" w:sz="8" w:color="CCECFF"/>
            </w:tcBorders>
          </w:tcPr>
          <w:p>
            <w:pPr>
              <w:spacing w:after="0"/>
              <w:rPr>
                <w:sz w:val="12"/>
                <w:szCs w:val="12"/>
                <w:color w:val="auto"/>
              </w:rPr>
            </w:pPr>
          </w:p>
        </w:tc>
        <w:tc>
          <w:tcPr>
            <w:tcW w:w="12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280" w:type="dxa"/>
            <w:vAlign w:val="bottom"/>
            <w:tcBorders>
              <w:bottom w:val="single" w:sz="8" w:color="CCECFF"/>
            </w:tcBorders>
          </w:tcPr>
          <w:p>
            <w:pPr>
              <w:spacing w:after="0"/>
              <w:rPr>
                <w:sz w:val="12"/>
                <w:szCs w:val="12"/>
                <w:color w:val="auto"/>
              </w:rPr>
            </w:pPr>
          </w:p>
        </w:tc>
        <w:tc>
          <w:tcPr>
            <w:tcW w:w="660" w:type="dxa"/>
            <w:vAlign w:val="bottom"/>
            <w:tcBorders>
              <w:bottom w:val="single" w:sz="8" w:color="CCECFF"/>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680" w:type="dxa"/>
            <w:vAlign w:val="bottom"/>
            <w:tcBorders>
              <w:bottom w:val="single" w:sz="8" w:color="CCECFF"/>
            </w:tcBorders>
          </w:tcPr>
          <w:p>
            <w:pPr>
              <w:spacing w:after="0"/>
              <w:rPr>
                <w:sz w:val="12"/>
                <w:szCs w:val="12"/>
                <w:color w:val="auto"/>
              </w:rPr>
            </w:pPr>
          </w:p>
        </w:tc>
        <w:tc>
          <w:tcPr>
            <w:tcW w:w="30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66,533,381</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99"/>
              </w:rPr>
              <w:t>64,678,808</w:t>
            </w:r>
          </w:p>
        </w:tc>
        <w:tc>
          <w:tcPr>
            <w:tcW w:w="100" w:type="dxa"/>
            <w:vAlign w:val="bottom"/>
            <w:tcBorders>
              <w:bottom w:val="single" w:sz="8" w:color="CCECFF"/>
            </w:tcBorders>
          </w:tcPr>
          <w:p>
            <w:pPr>
              <w:spacing w:after="0"/>
              <w:rPr>
                <w:sz w:val="12"/>
                <w:szCs w:val="12"/>
                <w:color w:val="auto"/>
              </w:rPr>
            </w:pPr>
          </w:p>
        </w:tc>
      </w:tr>
      <w:tr>
        <w:trPr>
          <w:trHeight w:val="142"/>
        </w:trPr>
        <w:tc>
          <w:tcPr>
            <w:tcW w:w="39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Non-Controlled, Affiliated Portfolio Companies</w:t>
            </w:r>
          </w:p>
        </w:tc>
        <w:tc>
          <w:tcPr>
            <w:tcW w:w="258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28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680" w:type="dxa"/>
            <w:vAlign w:val="bottom"/>
            <w:shd w:val="clear" w:color="auto" w:fill="CCECFF"/>
          </w:tcPr>
          <w:p>
            <w:pPr>
              <w:spacing w:after="0"/>
              <w:rPr>
                <w:sz w:val="12"/>
                <w:szCs w:val="12"/>
                <w:color w:val="auto"/>
              </w:rPr>
            </w:pPr>
          </w:p>
        </w:tc>
        <w:tc>
          <w:tcPr>
            <w:tcW w:w="30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185,799,943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6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w w:val="89"/>
              </w:rPr>
              <w:t>189,674,977</w:t>
            </w:r>
          </w:p>
        </w:tc>
        <w:tc>
          <w:tcPr>
            <w:tcW w:w="100" w:type="dxa"/>
            <w:vAlign w:val="bottom"/>
            <w:shd w:val="clear" w:color="auto" w:fill="CCECFF"/>
          </w:tcPr>
          <w:p>
            <w:pPr>
              <w:spacing w:after="0"/>
              <w:rPr>
                <w:sz w:val="12"/>
                <w:szCs w:val="12"/>
                <w:color w:val="auto"/>
              </w:rPr>
            </w:pPr>
          </w:p>
        </w:tc>
      </w:tr>
    </w:tbl>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SCHEDULE OF INVESTMENTS – (Continued)</w:t>
      </w: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9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82"/>
              </w:rPr>
              <w:t>Basis Point</w:t>
            </w: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3"/>
              </w:rPr>
              <w:t>Spread</w:t>
            </w: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9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Maturity /</w:t>
            </w:r>
          </w:p>
        </w:tc>
        <w:tc>
          <w:tcPr>
            <w:tcW w:w="1980" w:type="dxa"/>
            <w:vAlign w:val="bottom"/>
          </w:tcPr>
          <w:p>
            <w:pPr>
              <w:spacing w:after="0"/>
              <w:rPr>
                <w:sz w:val="11"/>
                <w:szCs w:val="11"/>
                <w:color w:val="auto"/>
              </w:rPr>
            </w:pPr>
          </w:p>
        </w:tc>
        <w:tc>
          <w:tcPr>
            <w:tcW w:w="126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Current</w:t>
            </w:r>
          </w:p>
        </w:tc>
        <w:tc>
          <w:tcPr>
            <w:tcW w:w="900" w:type="dxa"/>
            <w:vAlign w:val="bottom"/>
            <w:gridSpan w:val="2"/>
          </w:tcPr>
          <w:p>
            <w:pPr>
              <w:jc w:val="center"/>
              <w:spacing w:after="0" w:line="135" w:lineRule="exact"/>
              <w:rPr>
                <w:sz w:val="20"/>
                <w:szCs w:val="20"/>
                <w:color w:val="auto"/>
              </w:rPr>
            </w:pPr>
            <w:r>
              <w:rPr>
                <w:rFonts w:ascii="Arial" w:cs="Arial" w:eastAsia="Arial" w:hAnsi="Arial"/>
                <w:sz w:val="12"/>
                <w:szCs w:val="12"/>
                <w:b w:val="1"/>
                <w:bCs w:val="1"/>
                <w:color w:val="auto"/>
                <w:w w:val="87"/>
              </w:rPr>
              <w:t>Above</w:t>
            </w:r>
          </w:p>
        </w:tc>
        <w:tc>
          <w:tcPr>
            <w:tcW w:w="800" w:type="dxa"/>
            <w:vAlign w:val="bottom"/>
          </w:tcPr>
          <w:p>
            <w:pPr>
              <w:jc w:val="right"/>
              <w:ind w:right="162"/>
              <w:spacing w:after="0" w:line="135" w:lineRule="exact"/>
              <w:rPr>
                <w:sz w:val="20"/>
                <w:szCs w:val="20"/>
                <w:color w:val="auto"/>
              </w:rPr>
            </w:pPr>
            <w:r>
              <w:rPr>
                <w:rFonts w:ascii="Arial" w:cs="Arial" w:eastAsia="Arial" w:hAnsi="Arial"/>
                <w:sz w:val="12"/>
                <w:szCs w:val="12"/>
                <w:b w:val="1"/>
                <w:bCs w:val="1"/>
                <w:color w:val="auto"/>
              </w:rPr>
              <w:t>Par /</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940" w:type="dxa"/>
            <w:vAlign w:val="bottom"/>
          </w:tcPr>
          <w:p>
            <w:pPr>
              <w:spacing w:after="0"/>
              <w:rPr>
                <w:sz w:val="20"/>
                <w:szCs w:val="20"/>
                <w:color w:val="auto"/>
              </w:rPr>
            </w:pPr>
            <w:r>
              <w:rPr>
                <w:rFonts w:ascii="Arial" w:cs="Arial" w:eastAsia="Arial" w:hAnsi="Arial"/>
                <w:sz w:val="12"/>
                <w:szCs w:val="12"/>
                <w:b w:val="1"/>
                <w:bCs w:val="1"/>
                <w:color w:val="auto"/>
              </w:rPr>
              <w:t>Issuer Name</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Expiration</w:t>
            </w:r>
          </w:p>
        </w:tc>
        <w:tc>
          <w:tcPr>
            <w:tcW w:w="1980" w:type="dxa"/>
            <w:vAlign w:val="bottom"/>
          </w:tcPr>
          <w:p>
            <w:pPr>
              <w:jc w:val="center"/>
              <w:spacing w:after="0"/>
              <w:rPr>
                <w:sz w:val="20"/>
                <w:szCs w:val="20"/>
                <w:color w:val="auto"/>
              </w:rPr>
            </w:pPr>
            <w:r>
              <w:rPr>
                <w:rFonts w:ascii="Arial" w:cs="Arial" w:eastAsia="Arial" w:hAnsi="Arial"/>
                <w:sz w:val="12"/>
                <w:szCs w:val="12"/>
                <w:b w:val="1"/>
                <w:bCs w:val="1"/>
                <w:color w:val="auto"/>
                <w:w w:val="92"/>
              </w:rPr>
              <w:t>Industry</w:t>
            </w:r>
          </w:p>
        </w:tc>
        <w:tc>
          <w:tcPr>
            <w:tcW w:w="1260" w:type="dxa"/>
            <w:vAlign w:val="bottom"/>
            <w:gridSpan w:val="2"/>
          </w:tcPr>
          <w:p>
            <w:pPr>
              <w:ind w:left="560"/>
              <w:spacing w:after="0"/>
              <w:rPr>
                <w:sz w:val="20"/>
                <w:szCs w:val="20"/>
                <w:color w:val="auto"/>
              </w:rPr>
            </w:pPr>
            <w:r>
              <w:rPr>
                <w:rFonts w:ascii="Arial" w:cs="Arial" w:eastAsia="Arial" w:hAnsi="Arial"/>
                <w:sz w:val="12"/>
                <w:szCs w:val="12"/>
                <w:b w:val="1"/>
                <w:bCs w:val="1"/>
                <w:color w:val="auto"/>
              </w:rPr>
              <w:t>Coupon</w:t>
            </w:r>
          </w:p>
        </w:tc>
        <w:tc>
          <w:tcPr>
            <w:tcW w:w="9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1"/>
              </w:rPr>
              <w:t xml:space="preserve">Index </w:t>
            </w:r>
            <w:r>
              <w:rPr>
                <w:rFonts w:ascii="Arial" w:cs="Arial" w:eastAsia="Arial" w:hAnsi="Arial"/>
                <w:sz w:val="9"/>
                <w:szCs w:val="9"/>
                <w:b w:val="1"/>
                <w:bCs w:val="1"/>
                <w:color w:val="auto"/>
                <w:w w:val="91"/>
              </w:rPr>
              <w:t>(4)</w:t>
            </w:r>
          </w:p>
        </w:tc>
        <w:tc>
          <w:tcPr>
            <w:tcW w:w="800" w:type="dxa"/>
            <w:vAlign w:val="bottom"/>
          </w:tcPr>
          <w:p>
            <w:pPr>
              <w:jc w:val="right"/>
              <w:ind w:right="122"/>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222"/>
              <w:spacing w:after="0"/>
              <w:rPr>
                <w:sz w:val="20"/>
                <w:szCs w:val="20"/>
                <w:color w:val="auto"/>
              </w:rPr>
            </w:pPr>
            <w:r>
              <w:rPr>
                <w:rFonts w:ascii="Arial" w:cs="Arial" w:eastAsia="Arial" w:hAnsi="Arial"/>
                <w:sz w:val="12"/>
                <w:szCs w:val="12"/>
                <w:b w:val="1"/>
                <w:bCs w:val="1"/>
                <w:color w:val="auto"/>
              </w:rPr>
              <w:t>Cost</w:t>
            </w:r>
          </w:p>
        </w:tc>
        <w:tc>
          <w:tcPr>
            <w:tcW w:w="240" w:type="dxa"/>
            <w:vAlign w:val="bottom"/>
          </w:tcPr>
          <w:p>
            <w:pPr>
              <w:spacing w:after="0"/>
              <w:rPr>
                <w:sz w:val="12"/>
                <w:szCs w:val="12"/>
                <w:color w:val="auto"/>
              </w:rPr>
            </w:pPr>
          </w:p>
        </w:tc>
        <w:tc>
          <w:tcPr>
            <w:tcW w:w="900" w:type="dxa"/>
            <w:vAlign w:val="bottom"/>
            <w:gridSpan w:val="3"/>
          </w:tcPr>
          <w:p>
            <w:pPr>
              <w:jc w:val="right"/>
              <w:ind w:right="180"/>
              <w:spacing w:after="0"/>
              <w:rPr>
                <w:sz w:val="20"/>
                <w:szCs w:val="20"/>
                <w:color w:val="auto"/>
              </w:rPr>
            </w:pPr>
            <w:r>
              <w:rPr>
                <w:rFonts w:ascii="Arial" w:cs="Arial" w:eastAsia="Arial" w:hAnsi="Arial"/>
                <w:sz w:val="12"/>
                <w:szCs w:val="12"/>
                <w:b w:val="1"/>
                <w:bCs w:val="1"/>
                <w:color w:val="auto"/>
                <w:w w:val="97"/>
              </w:rPr>
              <w:t xml:space="preserve">Fair Value </w:t>
            </w:r>
            <w:r>
              <w:rPr>
                <w:rFonts w:ascii="Arial" w:cs="Arial" w:eastAsia="Arial" w:hAnsi="Arial"/>
                <w:sz w:val="9"/>
                <w:szCs w:val="9"/>
                <w:b w:val="1"/>
                <w:bCs w:val="1"/>
                <w:color w:val="auto"/>
                <w:w w:val="97"/>
              </w:rPr>
              <w:t>(3)</w:t>
            </w:r>
          </w:p>
        </w:tc>
        <w:tc>
          <w:tcPr>
            <w:tcW w:w="0" w:type="dxa"/>
            <w:vAlign w:val="bottom"/>
          </w:tcPr>
          <w:p>
            <w:pPr>
              <w:spacing w:after="0"/>
              <w:rPr>
                <w:sz w:val="1"/>
                <w:szCs w:val="1"/>
                <w:color w:val="auto"/>
              </w:rPr>
            </w:pPr>
          </w:p>
        </w:tc>
      </w:tr>
      <w:tr>
        <w:trPr>
          <w:trHeight w:val="142"/>
        </w:trPr>
        <w:tc>
          <w:tcPr>
            <w:tcW w:w="4140" w:type="dxa"/>
            <w:vAlign w:val="bottom"/>
            <w:tcBorders>
              <w:top w:val="single" w:sz="8" w:color="auto"/>
            </w:tcBorders>
            <w:gridSpan w:val="2"/>
            <w:shd w:val="clear" w:color="auto" w:fill="CCECFF"/>
          </w:tcPr>
          <w:p>
            <w:pPr>
              <w:spacing w:after="0"/>
              <w:rPr>
                <w:sz w:val="20"/>
                <w:szCs w:val="20"/>
                <w:color w:val="auto"/>
              </w:rPr>
            </w:pPr>
            <w:r>
              <w:rPr>
                <w:rFonts w:ascii="Arial" w:cs="Arial" w:eastAsia="Arial" w:hAnsi="Arial"/>
                <w:sz w:val="12"/>
                <w:szCs w:val="12"/>
                <w:b w:val="1"/>
                <w:bCs w:val="1"/>
                <w:color w:val="auto"/>
              </w:rPr>
              <w:t xml:space="preserve">Investments in Controlled, Affiliated Portfolio Companies—17.8% </w:t>
            </w:r>
            <w:r>
              <w:rPr>
                <w:rFonts w:ascii="Arial" w:cs="Arial" w:eastAsia="Arial" w:hAnsi="Arial"/>
                <w:sz w:val="9"/>
                <w:szCs w:val="9"/>
                <w:b w:val="1"/>
                <w:bCs w:val="1"/>
                <w:color w:val="auto"/>
              </w:rPr>
              <w:t>(1), (2)</w:t>
            </w:r>
          </w:p>
        </w:tc>
        <w:tc>
          <w:tcPr>
            <w:tcW w:w="1980" w:type="dxa"/>
            <w:vAlign w:val="bottom"/>
            <w:tcBorders>
              <w:top w:val="single" w:sz="8" w:color="auto"/>
            </w:tcBorders>
            <w:shd w:val="clear" w:color="auto" w:fill="CCECFF"/>
          </w:tcPr>
          <w:p>
            <w:pPr>
              <w:spacing w:after="0"/>
              <w:rPr>
                <w:sz w:val="12"/>
                <w:szCs w:val="12"/>
                <w:color w:val="auto"/>
              </w:rPr>
            </w:pPr>
          </w:p>
        </w:tc>
        <w:tc>
          <w:tcPr>
            <w:tcW w:w="1100" w:type="dxa"/>
            <w:vAlign w:val="bottom"/>
            <w:tcBorders>
              <w:top w:val="single" w:sz="8" w:color="auto"/>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auto"/>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tcBorders>
            <w:shd w:val="clear" w:color="auto" w:fill="CCECFF"/>
          </w:tcPr>
          <w:p>
            <w:pPr>
              <w:spacing w:after="0"/>
              <w:rPr>
                <w:sz w:val="12"/>
                <w:szCs w:val="12"/>
                <w:color w:val="auto"/>
              </w:rPr>
            </w:pPr>
          </w:p>
        </w:tc>
        <w:tc>
          <w:tcPr>
            <w:tcW w:w="700" w:type="dxa"/>
            <w:vAlign w:val="bottom"/>
            <w:tcBorders>
              <w:top w:val="single" w:sz="8" w:color="auto"/>
            </w:tcBorders>
            <w:shd w:val="clear" w:color="auto" w:fill="CCECFF"/>
          </w:tcPr>
          <w:p>
            <w:pPr>
              <w:spacing w:after="0"/>
              <w:rPr>
                <w:sz w:val="12"/>
                <w:szCs w:val="12"/>
                <w:color w:val="auto"/>
              </w:rPr>
            </w:pP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tcBorders>
            <w:shd w:val="clear" w:color="auto" w:fill="CCECFF"/>
          </w:tcPr>
          <w:p>
            <w:pPr>
              <w:spacing w:after="0"/>
              <w:rPr>
                <w:sz w:val="12"/>
                <w:szCs w:val="12"/>
                <w:color w:val="auto"/>
              </w:rPr>
            </w:pPr>
          </w:p>
        </w:tc>
        <w:tc>
          <w:tcPr>
            <w:tcW w:w="720" w:type="dxa"/>
            <w:vAlign w:val="bottom"/>
            <w:tcBorders>
              <w:top w:val="single" w:sz="8" w:color="auto"/>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b w:val="1"/>
                <w:bCs w:val="1"/>
                <w:color w:val="auto"/>
              </w:rPr>
              <w:t>First Lien Secured Debt—9.5%</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RAM Energy Holdings LLC</w:t>
            </w:r>
          </w:p>
        </w:tc>
        <w:tc>
          <w:tcPr>
            <w:tcW w:w="1200" w:type="dxa"/>
            <w:vAlign w:val="bottom"/>
            <w:shd w:val="clear" w:color="auto" w:fill="CCECFF"/>
          </w:tcPr>
          <w:p>
            <w:pPr>
              <w:ind w:left="120"/>
              <w:spacing w:after="0"/>
              <w:rPr>
                <w:sz w:val="20"/>
                <w:szCs w:val="20"/>
                <w:color w:val="auto"/>
              </w:rPr>
            </w:pPr>
            <w:r>
              <w:rPr>
                <w:rFonts w:ascii="Arial" w:cs="Arial" w:eastAsia="Arial" w:hAnsi="Arial"/>
                <w:sz w:val="12"/>
                <w:szCs w:val="12"/>
                <w:color w:val="auto"/>
              </w:rPr>
              <w:t>07/01/2022</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0"/>
              </w:rPr>
              <w:t>Energy and Utilities</w:t>
            </w:r>
          </w:p>
        </w:tc>
        <w:tc>
          <w:tcPr>
            <w:tcW w:w="1260" w:type="dxa"/>
            <w:vAlign w:val="bottom"/>
            <w:gridSpan w:val="2"/>
            <w:shd w:val="clear" w:color="auto" w:fill="CCECFF"/>
          </w:tcPr>
          <w:p>
            <w:pPr>
              <w:jc w:val="right"/>
              <w:ind w:right="60"/>
              <w:spacing w:after="0"/>
              <w:rPr>
                <w:sz w:val="20"/>
                <w:szCs w:val="20"/>
                <w:color w:val="auto"/>
              </w:rPr>
            </w:pPr>
            <w:r>
              <w:rPr>
                <w:rFonts w:ascii="Arial" w:cs="Arial" w:eastAsia="Arial" w:hAnsi="Arial"/>
                <w:sz w:val="12"/>
                <w:szCs w:val="12"/>
                <w:color w:val="auto"/>
              </w:rPr>
              <w:t>8.00%</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35,000,000</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940" w:type="dxa"/>
            <w:vAlign w:val="bottom"/>
            <w:shd w:val="clear" w:color="auto" w:fill="CCECFF"/>
          </w:tcPr>
          <w:p>
            <w:pPr>
              <w:spacing w:after="0"/>
              <w:rPr>
                <w:sz w:val="12"/>
                <w:szCs w:val="12"/>
                <w:color w:val="auto"/>
              </w:rPr>
            </w:pP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260" w:type="dxa"/>
            <w:vAlign w:val="bottom"/>
            <w:gridSpan w:val="2"/>
            <w:shd w:val="clear" w:color="auto" w:fill="CCECFF"/>
          </w:tcPr>
          <w:p>
            <w:pPr>
              <w:ind w:left="620"/>
              <w:spacing w:after="0"/>
              <w:rPr>
                <w:sz w:val="20"/>
                <w:szCs w:val="20"/>
                <w:color w:val="auto"/>
              </w:rPr>
            </w:pPr>
            <w:r>
              <w:rPr>
                <w:rFonts w:ascii="Arial" w:cs="Arial" w:eastAsia="Arial" w:hAnsi="Arial"/>
                <w:sz w:val="12"/>
                <w:szCs w:val="12"/>
                <w:color w:val="auto"/>
                <w:w w:val="95"/>
              </w:rPr>
              <w:t>(PIK 4.00%)</w:t>
            </w: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LLC</w:t>
            </w:r>
          </w:p>
        </w:tc>
        <w:tc>
          <w:tcPr>
            <w:tcW w:w="1200" w:type="dxa"/>
            <w:vAlign w:val="bottom"/>
          </w:tcPr>
          <w:p>
            <w:pPr>
              <w:ind w:left="120"/>
              <w:spacing w:after="0"/>
              <w:rPr>
                <w:sz w:val="20"/>
                <w:szCs w:val="20"/>
                <w:color w:val="auto"/>
              </w:rPr>
            </w:pPr>
            <w:r>
              <w:rPr>
                <w:rFonts w:ascii="Arial" w:cs="Arial" w:eastAsia="Arial" w:hAnsi="Arial"/>
                <w:sz w:val="12"/>
                <w:szCs w:val="12"/>
                <w:color w:val="auto"/>
              </w:rPr>
              <w:t>12/31/2018</w:t>
            </w: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10.30%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L+900</w:t>
            </w:r>
          </w:p>
        </w:tc>
        <w:tc>
          <w:tcPr>
            <w:tcW w:w="800" w:type="dxa"/>
            <w:vAlign w:val="bottom"/>
          </w:tcPr>
          <w:p>
            <w:pPr>
              <w:jc w:val="right"/>
              <w:spacing w:after="0"/>
              <w:rPr>
                <w:sz w:val="20"/>
                <w:szCs w:val="20"/>
                <w:color w:val="auto"/>
              </w:rPr>
            </w:pPr>
            <w:r>
              <w:rPr>
                <w:rFonts w:ascii="Arial" w:cs="Arial" w:eastAsia="Arial" w:hAnsi="Arial"/>
                <w:sz w:val="12"/>
                <w:szCs w:val="12"/>
                <w:color w:val="auto"/>
              </w:rPr>
              <w:t>29,386,130</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28,233,485</w:t>
            </w: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26,198,854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12"/>
                <w:szCs w:val="12"/>
                <w:color w:val="auto"/>
              </w:rPr>
            </w:pP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260" w:type="dxa"/>
            <w:vAlign w:val="bottom"/>
            <w:tcBorders>
              <w:bottom w:val="single" w:sz="8" w:color="CCECFF"/>
            </w:tcBorders>
            <w:gridSpan w:val="2"/>
          </w:tcPr>
          <w:p>
            <w:pPr>
              <w:ind w:left="560"/>
              <w:spacing w:after="0"/>
              <w:rPr>
                <w:sz w:val="20"/>
                <w:szCs w:val="20"/>
                <w:color w:val="auto"/>
              </w:rPr>
            </w:pPr>
            <w:r>
              <w:rPr>
                <w:rFonts w:ascii="Arial" w:cs="Arial" w:eastAsia="Arial" w:hAnsi="Arial"/>
                <w:sz w:val="12"/>
                <w:szCs w:val="12"/>
                <w:color w:val="auto"/>
                <w:w w:val="95"/>
              </w:rPr>
              <w:t>(PIK 10.30%)</w:t>
            </w: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First Lien Secured Debt</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63,233,485</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61,198,854</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Preferred Equity—2.5%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14,318,325</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16,117,208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1980" w:type="dxa"/>
            <w:vAlign w:val="bottom"/>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tcPr>
          <w:p>
            <w:pPr>
              <w:jc w:val="right"/>
              <w:ind w:right="60"/>
              <w:spacing w:after="0"/>
              <w:rPr>
                <w:sz w:val="20"/>
                <w:szCs w:val="20"/>
                <w:color w:val="auto"/>
              </w:rPr>
            </w:pPr>
            <w:r>
              <w:rPr>
                <w:rFonts w:ascii="Arial" w:cs="Arial" w:eastAsia="Arial" w:hAnsi="Arial"/>
                <w:sz w:val="12"/>
                <w:szCs w:val="12"/>
                <w:color w:val="auto"/>
              </w:rPr>
              <w:t>15.00%</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516,204</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19,331,027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top w:val="single" w:sz="8" w:color="CCECFF"/>
            </w:tcBorders>
            <w:shd w:val="clear" w:color="auto" w:fill="CCECFF"/>
          </w:tcPr>
          <w:p>
            <w:pPr>
              <w:spacing w:after="0"/>
              <w:rPr>
                <w:sz w:val="20"/>
                <w:szCs w:val="20"/>
                <w:color w:val="auto"/>
              </w:rPr>
            </w:pPr>
            <w:r>
              <w:rPr>
                <w:rFonts w:ascii="Arial" w:cs="Arial" w:eastAsia="Arial" w:hAnsi="Arial"/>
                <w:sz w:val="12"/>
                <w:szCs w:val="12"/>
                <w:b w:val="1"/>
                <w:bCs w:val="1"/>
                <w:color w:val="auto"/>
              </w:rPr>
              <w:t>Total Preferred Equity</w:t>
            </w:r>
          </w:p>
        </w:tc>
        <w:tc>
          <w:tcPr>
            <w:tcW w:w="1200" w:type="dxa"/>
            <w:vAlign w:val="bottom"/>
            <w:tcBorders>
              <w:top w:val="single" w:sz="8" w:color="CCECFF"/>
            </w:tcBorders>
            <w:shd w:val="clear" w:color="auto" w:fill="CCECFF"/>
          </w:tcPr>
          <w:p>
            <w:pPr>
              <w:spacing w:after="0"/>
              <w:rPr>
                <w:sz w:val="12"/>
                <w:szCs w:val="12"/>
                <w:color w:val="auto"/>
              </w:rPr>
            </w:pPr>
          </w:p>
        </w:tc>
        <w:tc>
          <w:tcPr>
            <w:tcW w:w="1980" w:type="dxa"/>
            <w:vAlign w:val="bottom"/>
            <w:tcBorders>
              <w:top w:val="single" w:sz="8" w:color="CCECFF"/>
            </w:tcBorders>
            <w:shd w:val="clear" w:color="auto" w:fill="CCECFF"/>
          </w:tcPr>
          <w:p>
            <w:pPr>
              <w:spacing w:after="0"/>
              <w:rPr>
                <w:sz w:val="12"/>
                <w:szCs w:val="12"/>
                <w:color w:val="auto"/>
              </w:rPr>
            </w:pPr>
          </w:p>
        </w:tc>
        <w:tc>
          <w:tcPr>
            <w:tcW w:w="1100" w:type="dxa"/>
            <w:vAlign w:val="bottom"/>
            <w:tcBorders>
              <w:top w:val="single" w:sz="8" w:color="CCECFF"/>
            </w:tcBorders>
            <w:shd w:val="clear" w:color="auto" w:fill="CCECFF"/>
          </w:tcPr>
          <w:p>
            <w:pPr>
              <w:spacing w:after="0"/>
              <w:rPr>
                <w:sz w:val="12"/>
                <w:szCs w:val="12"/>
                <w:color w:val="auto"/>
              </w:rPr>
            </w:pPr>
          </w:p>
        </w:tc>
        <w:tc>
          <w:tcPr>
            <w:tcW w:w="16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CCECFF"/>
            </w:tcBorders>
            <w:shd w:val="clear" w:color="auto" w:fill="CCECFF"/>
          </w:tcPr>
          <w:p>
            <w:pPr>
              <w:spacing w:after="0"/>
              <w:rPr>
                <w:sz w:val="12"/>
                <w:szCs w:val="12"/>
                <w:color w:val="auto"/>
              </w:rPr>
            </w:pPr>
          </w:p>
        </w:tc>
        <w:tc>
          <w:tcPr>
            <w:tcW w:w="800" w:type="dxa"/>
            <w:vAlign w:val="bottom"/>
            <w:tcBorders>
              <w:top w:val="single" w:sz="8" w:color="CCECFF"/>
            </w:tcBorders>
            <w:shd w:val="clear" w:color="auto" w:fill="CCECFF"/>
          </w:tcPr>
          <w:p>
            <w:pPr>
              <w:spacing w:after="0"/>
              <w:rPr>
                <w:sz w:val="12"/>
                <w:szCs w:val="12"/>
                <w:color w:val="auto"/>
              </w:rPr>
            </w:pPr>
          </w:p>
        </w:tc>
        <w:tc>
          <w:tcPr>
            <w:tcW w:w="220" w:type="dxa"/>
            <w:vAlign w:val="bottom"/>
            <w:tcBorders>
              <w:top w:val="single" w:sz="8" w:color="CCECFF"/>
            </w:tcBorders>
            <w:shd w:val="clear" w:color="auto" w:fill="CCECFF"/>
          </w:tcPr>
          <w:p>
            <w:pPr>
              <w:spacing w:after="0"/>
              <w:rPr>
                <w:sz w:val="12"/>
                <w:szCs w:val="12"/>
                <w:color w:val="auto"/>
              </w:rPr>
            </w:pPr>
          </w:p>
        </w:tc>
        <w:tc>
          <w:tcPr>
            <w:tcW w:w="100" w:type="dxa"/>
            <w:vAlign w:val="bottom"/>
            <w:tcBorders>
              <w:top w:val="single" w:sz="8" w:color="auto"/>
              <w:bottom w:val="single" w:sz="8" w:color="auto"/>
            </w:tcBorders>
            <w:shd w:val="clear" w:color="auto" w:fill="CCECFF"/>
          </w:tcPr>
          <w:p>
            <w:pPr>
              <w:spacing w:after="0"/>
              <w:rPr>
                <w:sz w:val="12"/>
                <w:szCs w:val="12"/>
                <w:color w:val="auto"/>
              </w:rPr>
            </w:pPr>
          </w:p>
        </w:tc>
        <w:tc>
          <w:tcPr>
            <w:tcW w:w="70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33,649,352</w:t>
            </w:r>
          </w:p>
        </w:tc>
        <w:tc>
          <w:tcPr>
            <w:tcW w:w="240" w:type="dxa"/>
            <w:vAlign w:val="bottom"/>
            <w:tcBorders>
              <w:top w:val="single" w:sz="8" w:color="CCECFF"/>
            </w:tcBorders>
            <w:shd w:val="clear" w:color="auto" w:fill="CCECFF"/>
          </w:tcPr>
          <w:p>
            <w:pPr>
              <w:spacing w:after="0"/>
              <w:rPr>
                <w:sz w:val="12"/>
                <w:szCs w:val="12"/>
                <w:color w:val="auto"/>
              </w:rPr>
            </w:pPr>
          </w:p>
        </w:tc>
        <w:tc>
          <w:tcPr>
            <w:tcW w:w="80" w:type="dxa"/>
            <w:vAlign w:val="bottom"/>
            <w:tcBorders>
              <w:top w:val="single" w:sz="8" w:color="auto"/>
              <w:bottom w:val="single" w:sz="8" w:color="auto"/>
            </w:tcBorders>
            <w:shd w:val="clear" w:color="auto" w:fill="CCECFF"/>
          </w:tcPr>
          <w:p>
            <w:pPr>
              <w:spacing w:after="0"/>
              <w:rPr>
                <w:sz w:val="12"/>
                <w:szCs w:val="12"/>
                <w:color w:val="auto"/>
              </w:rPr>
            </w:pPr>
          </w:p>
        </w:tc>
        <w:tc>
          <w:tcPr>
            <w:tcW w:w="720" w:type="dxa"/>
            <w:vAlign w:val="bottom"/>
            <w:tcBorders>
              <w:top w:val="single" w:sz="8" w:color="auto"/>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16,117,208</w:t>
            </w:r>
          </w:p>
        </w:tc>
        <w:tc>
          <w:tcPr>
            <w:tcW w:w="100" w:type="dxa"/>
            <w:vAlign w:val="bottom"/>
            <w:tcBorders>
              <w:top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Pr>
          <w:p>
            <w:pPr>
              <w:spacing w:after="0"/>
              <w:rPr>
                <w:sz w:val="20"/>
                <w:szCs w:val="20"/>
                <w:color w:val="auto"/>
              </w:rPr>
            </w:pPr>
            <w:r>
              <w:rPr>
                <w:rFonts w:ascii="Arial" w:cs="Arial" w:eastAsia="Arial" w:hAnsi="Arial"/>
                <w:sz w:val="12"/>
                <w:szCs w:val="12"/>
                <w:b w:val="1"/>
                <w:bCs w:val="1"/>
                <w:color w:val="auto"/>
              </w:rPr>
              <w:t xml:space="preserve">Common Equity—5.8% </w:t>
            </w:r>
            <w:r>
              <w:rPr>
                <w:rFonts w:ascii="Arial" w:cs="Arial" w:eastAsia="Arial" w:hAnsi="Arial"/>
                <w:sz w:val="9"/>
                <w:szCs w:val="9"/>
                <w:b w:val="1"/>
                <w:bCs w:val="1"/>
                <w:color w:val="auto"/>
              </w:rPr>
              <w:t>(6)</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MidOcean JF Holdings Corp.</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3"/>
              </w:rPr>
              <w:t>Distribution</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65,933</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24,761,831</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828,349</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RAM Energy Holdings LLC</w:t>
            </w:r>
          </w:p>
        </w:tc>
        <w:tc>
          <w:tcPr>
            <w:tcW w:w="1200" w:type="dxa"/>
            <w:vAlign w:val="bottom"/>
          </w:tcPr>
          <w:p>
            <w:pPr>
              <w:ind w:left="380"/>
              <w:spacing w:after="0"/>
              <w:rPr>
                <w:sz w:val="20"/>
                <w:szCs w:val="20"/>
                <w:color w:val="auto"/>
              </w:rPr>
            </w:pPr>
            <w:r>
              <w:rPr>
                <w:rFonts w:ascii="Arial" w:cs="Arial" w:eastAsia="Arial" w:hAnsi="Arial"/>
                <w:sz w:val="12"/>
                <w:szCs w:val="12"/>
                <w:color w:val="auto"/>
              </w:rPr>
              <w:t>—</w:t>
            </w:r>
          </w:p>
        </w:tc>
        <w:tc>
          <w:tcPr>
            <w:tcW w:w="1980" w:type="dxa"/>
            <w:vAlign w:val="bottom"/>
          </w:tcPr>
          <w:p>
            <w:pPr>
              <w:jc w:val="center"/>
              <w:spacing w:after="0"/>
              <w:rPr>
                <w:sz w:val="20"/>
                <w:szCs w:val="20"/>
                <w:color w:val="auto"/>
              </w:rPr>
            </w:pPr>
            <w:r>
              <w:rPr>
                <w:rFonts w:ascii="Arial" w:cs="Arial" w:eastAsia="Arial" w:hAnsi="Arial"/>
                <w:sz w:val="12"/>
                <w:szCs w:val="12"/>
                <w:color w:val="auto"/>
                <w:w w:val="90"/>
              </w:rPr>
              <w:t>Energy and Utilities</w:t>
            </w:r>
          </w:p>
        </w:tc>
        <w:tc>
          <w:tcPr>
            <w:tcW w:w="1260" w:type="dxa"/>
            <w:vAlign w:val="bottom"/>
            <w:gridSpan w:val="2"/>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jc w:val="right"/>
              <w:spacing w:after="0"/>
              <w:rPr>
                <w:sz w:val="20"/>
                <w:szCs w:val="20"/>
                <w:color w:val="auto"/>
              </w:rPr>
            </w:pPr>
            <w:r>
              <w:rPr>
                <w:rFonts w:ascii="Arial" w:cs="Arial" w:eastAsia="Arial" w:hAnsi="Arial"/>
                <w:sz w:val="12"/>
                <w:szCs w:val="12"/>
                <w:color w:val="auto"/>
              </w:rPr>
              <w:t>84,747</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76,264,739</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36,406,572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Superior Digital Displays Holdings, Inc.</w:t>
            </w:r>
          </w:p>
        </w:tc>
        <w:tc>
          <w:tcPr>
            <w:tcW w:w="1200" w:type="dxa"/>
            <w:vAlign w:val="bottom"/>
            <w:shd w:val="clear" w:color="auto" w:fill="CCECFF"/>
          </w:tcPr>
          <w:p>
            <w:pPr>
              <w:ind w:left="380"/>
              <w:spacing w:after="0"/>
              <w:rPr>
                <w:sz w:val="20"/>
                <w:szCs w:val="20"/>
                <w:color w:val="auto"/>
              </w:rPr>
            </w:pPr>
            <w:r>
              <w:rPr>
                <w:rFonts w:ascii="Arial" w:cs="Arial" w:eastAsia="Arial" w:hAnsi="Arial"/>
                <w:sz w:val="12"/>
                <w:szCs w:val="12"/>
                <w:color w:val="auto"/>
              </w:rPr>
              <w:t>—</w:t>
            </w:r>
          </w:p>
        </w:tc>
        <w:tc>
          <w:tcPr>
            <w:tcW w:w="1980" w:type="dxa"/>
            <w:vAlign w:val="bottom"/>
            <w:shd w:val="clear" w:color="auto" w:fill="CCECFF"/>
          </w:tcPr>
          <w:p>
            <w:pPr>
              <w:jc w:val="center"/>
              <w:spacing w:after="0"/>
              <w:rPr>
                <w:sz w:val="20"/>
                <w:szCs w:val="20"/>
                <w:color w:val="auto"/>
              </w:rPr>
            </w:pPr>
            <w:r>
              <w:rPr>
                <w:rFonts w:ascii="Arial" w:cs="Arial" w:eastAsia="Arial" w:hAnsi="Arial"/>
                <w:sz w:val="12"/>
                <w:szCs w:val="12"/>
                <w:color w:val="auto"/>
                <w:w w:val="91"/>
              </w:rPr>
              <w:t>Media</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2"/>
                <w:szCs w:val="12"/>
                <w:color w:val="auto"/>
              </w:rPr>
              <w:t>—</w:t>
            </w: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11,100</w:t>
            </w: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rPr>
              <w:t>2,211,000</w:t>
            </w: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820" w:type="dxa"/>
            <w:vAlign w:val="bottom"/>
            <w:gridSpan w:val="2"/>
            <w:shd w:val="clear" w:color="auto" w:fill="CCECFF"/>
          </w:tcPr>
          <w:p>
            <w:pPr>
              <w:jc w:val="right"/>
              <w:ind w:right="120"/>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Common Equity</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103,237,570</w:t>
            </w:r>
          </w:p>
        </w:tc>
        <w:tc>
          <w:tcPr>
            <w:tcW w:w="240" w:type="dxa"/>
            <w:vAlign w:val="bottom"/>
            <w:tcBorders>
              <w:bottom w:val="single" w:sz="8" w:color="CCEC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37,234,921</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140" w:type="dxa"/>
            <w:vAlign w:val="bottom"/>
            <w:gridSpan w:val="2"/>
            <w:shd w:val="clear" w:color="auto" w:fill="CCECFF"/>
          </w:tcPr>
          <w:p>
            <w:pPr>
              <w:spacing w:after="0"/>
              <w:rPr>
                <w:sz w:val="20"/>
                <w:szCs w:val="20"/>
                <w:color w:val="auto"/>
              </w:rPr>
            </w:pPr>
            <w:r>
              <w:rPr>
                <w:rFonts w:ascii="Arial" w:cs="Arial" w:eastAsia="Arial" w:hAnsi="Arial"/>
                <w:sz w:val="12"/>
                <w:szCs w:val="12"/>
                <w:b w:val="1"/>
                <w:bCs w:val="1"/>
                <w:color w:val="auto"/>
              </w:rPr>
              <w:t>Total Investments in Controlled, Affiliated Portfolio Companies</w:t>
            </w: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200,120,407</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114,550,983</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Investments—178.4%</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1,210,026,672</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8"/>
              </w:rPr>
              <w:t>1,153,577,508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Cash and Cash Equivalents—5.9%</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24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7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Pr>
          <w:p>
            <w:pPr>
              <w:spacing w:after="0"/>
              <w:rPr>
                <w:sz w:val="20"/>
                <w:szCs w:val="20"/>
                <w:color w:val="auto"/>
              </w:rPr>
            </w:pPr>
            <w:r>
              <w:rPr>
                <w:rFonts w:ascii="Arial" w:cs="Arial" w:eastAsia="Arial" w:hAnsi="Arial"/>
                <w:sz w:val="12"/>
                <w:szCs w:val="12"/>
                <w:color w:val="auto"/>
              </w:rPr>
              <w:t>BlackRock Federal FD Institutional 30</w:t>
            </w:r>
          </w:p>
        </w:tc>
        <w:tc>
          <w:tcPr>
            <w:tcW w:w="120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2"/>
                <w:szCs w:val="12"/>
                <w:color w:val="auto"/>
              </w:rPr>
              <w:t>20,490,740</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20,490,740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color w:val="auto"/>
              </w:rPr>
              <w:t>BNY Mellon Cash Reserve and Cash</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tcBorders>
              <w:bottom w:val="single" w:sz="8" w:color="auto"/>
            </w:tcBorders>
            <w:shd w:val="clear" w:color="auto" w:fill="CCECFF"/>
          </w:tcPr>
          <w:p>
            <w:pPr>
              <w:spacing w:after="0"/>
              <w:rPr>
                <w:sz w:val="12"/>
                <w:szCs w:val="12"/>
                <w:color w:val="auto"/>
              </w:rPr>
            </w:pPr>
          </w:p>
        </w:tc>
        <w:tc>
          <w:tcPr>
            <w:tcW w:w="7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17,691,633</w:t>
            </w:r>
          </w:p>
        </w:tc>
        <w:tc>
          <w:tcPr>
            <w:tcW w:w="240" w:type="dxa"/>
            <w:vAlign w:val="bottom"/>
            <w:shd w:val="clear" w:color="auto" w:fill="CCECFF"/>
          </w:tcPr>
          <w:p>
            <w:pPr>
              <w:spacing w:after="0"/>
              <w:rPr>
                <w:sz w:val="12"/>
                <w:szCs w:val="12"/>
                <w:color w:val="auto"/>
              </w:rPr>
            </w:pPr>
          </w:p>
        </w:tc>
        <w:tc>
          <w:tcPr>
            <w:tcW w:w="80" w:type="dxa"/>
            <w:vAlign w:val="bottom"/>
            <w:tcBorders>
              <w:bottom w:val="single" w:sz="8" w:color="auto"/>
            </w:tcBorders>
            <w:shd w:val="clear" w:color="auto" w:fill="CCECFF"/>
          </w:tcPr>
          <w:p>
            <w:pPr>
              <w:spacing w:after="0"/>
              <w:rPr>
                <w:sz w:val="12"/>
                <w:szCs w:val="12"/>
                <w:color w:val="auto"/>
              </w:rPr>
            </w:pPr>
          </w:p>
        </w:tc>
        <w:tc>
          <w:tcPr>
            <w:tcW w:w="7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2"/>
                <w:szCs w:val="12"/>
                <w:color w:val="auto"/>
              </w:rPr>
              <w:t>17,711,328</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tcBorders>
              <w:bottom w:val="single" w:sz="8" w:color="CCECFF"/>
            </w:tcBorders>
          </w:tcPr>
          <w:p>
            <w:pPr>
              <w:spacing w:after="0"/>
              <w:rPr>
                <w:sz w:val="20"/>
                <w:szCs w:val="20"/>
                <w:color w:val="auto"/>
              </w:rPr>
            </w:pPr>
            <w:r>
              <w:rPr>
                <w:rFonts w:ascii="Arial" w:cs="Arial" w:eastAsia="Arial" w:hAnsi="Arial"/>
                <w:sz w:val="12"/>
                <w:szCs w:val="12"/>
                <w:b w:val="1"/>
                <w:bCs w:val="1"/>
                <w:color w:val="auto"/>
              </w:rPr>
              <w:t>Total Cash and Cash Equivalents</w:t>
            </w:r>
          </w:p>
        </w:tc>
        <w:tc>
          <w:tcPr>
            <w:tcW w:w="1200" w:type="dxa"/>
            <w:vAlign w:val="bottom"/>
            <w:tcBorders>
              <w:bottom w:val="single" w:sz="8" w:color="CCECFF"/>
            </w:tcBorders>
          </w:tcPr>
          <w:p>
            <w:pPr>
              <w:spacing w:after="0"/>
              <w:rPr>
                <w:sz w:val="12"/>
                <w:szCs w:val="12"/>
                <w:color w:val="auto"/>
              </w:rPr>
            </w:pPr>
          </w:p>
        </w:tc>
        <w:tc>
          <w:tcPr>
            <w:tcW w:w="1980" w:type="dxa"/>
            <w:vAlign w:val="bottom"/>
            <w:tcBorders>
              <w:bottom w:val="single" w:sz="8" w:color="CCECFF"/>
            </w:tcBorders>
          </w:tcPr>
          <w:p>
            <w:pPr>
              <w:spacing w:after="0"/>
              <w:rPr>
                <w:sz w:val="12"/>
                <w:szCs w:val="12"/>
                <w:color w:val="auto"/>
              </w:rPr>
            </w:pPr>
          </w:p>
        </w:tc>
        <w:tc>
          <w:tcPr>
            <w:tcW w:w="1100" w:type="dxa"/>
            <w:vAlign w:val="bottom"/>
            <w:tcBorders>
              <w:bottom w:val="single" w:sz="8" w:color="CCECFF"/>
            </w:tcBorders>
          </w:tcPr>
          <w:p>
            <w:pPr>
              <w:spacing w:after="0"/>
              <w:rPr>
                <w:sz w:val="12"/>
                <w:szCs w:val="12"/>
                <w:color w:val="auto"/>
              </w:rPr>
            </w:pPr>
          </w:p>
        </w:tc>
        <w:tc>
          <w:tcPr>
            <w:tcW w:w="16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100" w:type="dxa"/>
            <w:vAlign w:val="bottom"/>
            <w:tcBorders>
              <w:bottom w:val="single" w:sz="8" w:color="CCECFF"/>
            </w:tcBorders>
          </w:tcPr>
          <w:p>
            <w:pPr>
              <w:spacing w:after="0"/>
              <w:rPr>
                <w:sz w:val="12"/>
                <w:szCs w:val="12"/>
                <w:color w:val="auto"/>
              </w:rPr>
            </w:pPr>
          </w:p>
        </w:tc>
        <w:tc>
          <w:tcPr>
            <w:tcW w:w="800" w:type="dxa"/>
            <w:vAlign w:val="bottom"/>
            <w:tcBorders>
              <w:bottom w:val="single" w:sz="8" w:color="CCECFF"/>
            </w:tcBorders>
          </w:tcPr>
          <w:p>
            <w:pPr>
              <w:spacing w:after="0"/>
              <w:rPr>
                <w:sz w:val="12"/>
                <w:szCs w:val="12"/>
                <w:color w:val="auto"/>
              </w:rPr>
            </w:pPr>
          </w:p>
        </w:tc>
        <w:tc>
          <w:tcPr>
            <w:tcW w:w="220" w:type="dxa"/>
            <w:vAlign w:val="bottom"/>
            <w:tcBorders>
              <w:bottom w:val="single" w:sz="8" w:color="CCEC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38,182,373</w:t>
            </w:r>
          </w:p>
        </w:tc>
        <w:tc>
          <w:tcPr>
            <w:tcW w:w="240" w:type="dxa"/>
            <w:vAlign w:val="bottom"/>
            <w:tcBorders>
              <w:bottom w:val="single" w:sz="8" w:color="CCEC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38,202,068</w:t>
            </w:r>
          </w:p>
        </w:tc>
        <w:tc>
          <w:tcPr>
            <w:tcW w:w="100" w:type="dxa"/>
            <w:vAlign w:val="bottom"/>
            <w:tcBorders>
              <w:bottom w:val="single" w:sz="8" w:color="CCEC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Total Investments and Cash Equivalents—184.3%</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jc w:val="right"/>
              <w:spacing w:after="0"/>
              <w:rPr>
                <w:sz w:val="20"/>
                <w:szCs w:val="20"/>
                <w:color w:val="auto"/>
              </w:rPr>
            </w:pPr>
            <w:r>
              <w:rPr>
                <w:rFonts w:ascii="Arial" w:cs="Arial" w:eastAsia="Arial" w:hAnsi="Arial"/>
                <w:sz w:val="9"/>
                <w:szCs w:val="9"/>
                <w:color w:val="auto"/>
                <w:w w:val="78"/>
              </w:rPr>
              <w:t>$</w:t>
            </w:r>
          </w:p>
        </w:tc>
        <w:tc>
          <w:tcPr>
            <w:tcW w:w="70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1,248,209,045</w:t>
            </w: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w w:val="88"/>
              </w:rPr>
              <w:t>1,191,779,576</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bottom w:val="single" w:sz="8" w:color="CCECFF"/>
            </w:tcBorders>
            <w:vMerge w:val="restart"/>
          </w:tcPr>
          <w:p>
            <w:pPr>
              <w:spacing w:after="0"/>
              <w:rPr>
                <w:sz w:val="20"/>
                <w:szCs w:val="20"/>
                <w:color w:val="auto"/>
              </w:rPr>
            </w:pPr>
            <w:r>
              <w:rPr>
                <w:rFonts w:ascii="Arial" w:cs="Arial" w:eastAsia="Arial" w:hAnsi="Arial"/>
                <w:sz w:val="12"/>
                <w:szCs w:val="12"/>
                <w:b w:val="1"/>
                <w:bCs w:val="1"/>
                <w:color w:val="auto"/>
              </w:rPr>
              <w:t>Liabilities in Excess of Other Assets—(84.3%)</w:t>
            </w:r>
          </w:p>
        </w:tc>
        <w:tc>
          <w:tcPr>
            <w:tcW w:w="1200" w:type="dxa"/>
            <w:vAlign w:val="bottom"/>
            <w:tcBorders>
              <w:top w:val="single" w:sz="8" w:color="CCECFF"/>
            </w:tcBorders>
          </w:tcPr>
          <w:p>
            <w:pPr>
              <w:spacing w:after="0" w:line="20" w:lineRule="exact"/>
              <w:rPr>
                <w:sz w:val="1"/>
                <w:szCs w:val="1"/>
                <w:color w:val="auto"/>
              </w:rPr>
            </w:pPr>
          </w:p>
        </w:tc>
        <w:tc>
          <w:tcPr>
            <w:tcW w:w="198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940" w:type="dxa"/>
            <w:vAlign w:val="bottom"/>
            <w:vMerge w:val="continue"/>
          </w:tcPr>
          <w:p>
            <w:pPr>
              <w:spacing w:after="0"/>
              <w:rPr>
                <w:sz w:val="11"/>
                <w:szCs w:val="11"/>
                <w:color w:val="auto"/>
              </w:rPr>
            </w:pPr>
          </w:p>
        </w:tc>
        <w:tc>
          <w:tcPr>
            <w:tcW w:w="120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gridSpan w:val="2"/>
          </w:tcPr>
          <w:p>
            <w:pPr>
              <w:jc w:val="right"/>
              <w:ind w:right="60"/>
              <w:spacing w:after="0" w:line="129" w:lineRule="exact"/>
              <w:rPr>
                <w:sz w:val="20"/>
                <w:szCs w:val="20"/>
                <w:color w:val="auto"/>
              </w:rPr>
            </w:pPr>
            <w:r>
              <w:rPr>
                <w:rFonts w:ascii="Arial" w:cs="Arial" w:eastAsia="Arial" w:hAnsi="Arial"/>
                <w:sz w:val="12"/>
                <w:szCs w:val="12"/>
                <w:color w:val="auto"/>
                <w:w w:val="98"/>
              </w:rPr>
              <w:t>(544,971,105)</w:t>
            </w:r>
          </w:p>
        </w:tc>
        <w:tc>
          <w:tcPr>
            <w:tcW w:w="0" w:type="dxa"/>
            <w:vAlign w:val="bottom"/>
          </w:tcPr>
          <w:p>
            <w:pPr>
              <w:spacing w:after="0"/>
              <w:rPr>
                <w:sz w:val="1"/>
                <w:szCs w:val="1"/>
                <w:color w:val="auto"/>
              </w:rPr>
            </w:pPr>
          </w:p>
        </w:tc>
      </w:tr>
      <w:tr>
        <w:trPr>
          <w:trHeight w:val="148"/>
        </w:trPr>
        <w:tc>
          <w:tcPr>
            <w:tcW w:w="2940" w:type="dxa"/>
            <w:vAlign w:val="bottom"/>
            <w:shd w:val="clear" w:color="auto" w:fill="CCECFF"/>
          </w:tcPr>
          <w:p>
            <w:pPr>
              <w:spacing w:after="0"/>
              <w:rPr>
                <w:sz w:val="20"/>
                <w:szCs w:val="20"/>
                <w:color w:val="auto"/>
              </w:rPr>
            </w:pPr>
            <w:r>
              <w:rPr>
                <w:rFonts w:ascii="Arial" w:cs="Arial" w:eastAsia="Arial" w:hAnsi="Arial"/>
                <w:sz w:val="12"/>
                <w:szCs w:val="12"/>
                <w:b w:val="1"/>
                <w:bCs w:val="1"/>
                <w:color w:val="auto"/>
              </w:rPr>
              <w:t>Net Assets—100.0%</w:t>
            </w:r>
          </w:p>
        </w:tc>
        <w:tc>
          <w:tcPr>
            <w:tcW w:w="1200" w:type="dxa"/>
            <w:vAlign w:val="bottom"/>
            <w:shd w:val="clear" w:color="auto" w:fill="CCECFF"/>
          </w:tcPr>
          <w:p>
            <w:pPr>
              <w:spacing w:after="0"/>
              <w:rPr>
                <w:sz w:val="12"/>
                <w:szCs w:val="12"/>
                <w:color w:val="auto"/>
              </w:rPr>
            </w:pPr>
          </w:p>
        </w:tc>
        <w:tc>
          <w:tcPr>
            <w:tcW w:w="1980" w:type="dxa"/>
            <w:vAlign w:val="bottom"/>
            <w:shd w:val="clear" w:color="auto" w:fill="CCECFF"/>
          </w:tcPr>
          <w:p>
            <w:pPr>
              <w:spacing w:after="0"/>
              <w:rPr>
                <w:sz w:val="12"/>
                <w:szCs w:val="12"/>
                <w:color w:val="auto"/>
              </w:rPr>
            </w:pPr>
          </w:p>
        </w:tc>
        <w:tc>
          <w:tcPr>
            <w:tcW w:w="1100" w:type="dxa"/>
            <w:vAlign w:val="bottom"/>
            <w:shd w:val="clear" w:color="auto" w:fill="CCECFF"/>
          </w:tcPr>
          <w:p>
            <w:pPr>
              <w:spacing w:after="0"/>
              <w:rPr>
                <w:sz w:val="12"/>
                <w:szCs w:val="12"/>
                <w:color w:val="auto"/>
              </w:rPr>
            </w:pPr>
          </w:p>
        </w:tc>
        <w:tc>
          <w:tcPr>
            <w:tcW w:w="16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700" w:type="dxa"/>
            <w:vAlign w:val="bottom"/>
            <w:shd w:val="clear" w:color="auto" w:fill="CCECFF"/>
          </w:tcPr>
          <w:p>
            <w:pPr>
              <w:spacing w:after="0"/>
              <w:rPr>
                <w:sz w:val="12"/>
                <w:szCs w:val="12"/>
                <w:color w:val="auto"/>
              </w:rPr>
            </w:pPr>
          </w:p>
        </w:tc>
        <w:tc>
          <w:tcPr>
            <w:tcW w:w="320" w:type="dxa"/>
            <w:vAlign w:val="bottom"/>
            <w:gridSpan w:val="2"/>
            <w:shd w:val="clear" w:color="auto" w:fill="CCECFF"/>
          </w:tcPr>
          <w:p>
            <w:pPr>
              <w:jc w:val="right"/>
              <w:spacing w:after="0"/>
              <w:rPr>
                <w:sz w:val="20"/>
                <w:szCs w:val="20"/>
                <w:color w:val="auto"/>
              </w:rPr>
            </w:pPr>
            <w:r>
              <w:rPr>
                <w:rFonts w:ascii="Arial" w:cs="Arial" w:eastAsia="Arial" w:hAnsi="Arial"/>
                <w:sz w:val="12"/>
                <w:szCs w:val="12"/>
                <w:color w:val="auto"/>
              </w:rPr>
              <w:t>$</w:t>
            </w:r>
          </w:p>
        </w:tc>
        <w:tc>
          <w:tcPr>
            <w:tcW w:w="720" w:type="dxa"/>
            <w:vAlign w:val="bottom"/>
            <w:shd w:val="clear" w:color="auto" w:fill="CCECFF"/>
          </w:tcPr>
          <w:p>
            <w:pPr>
              <w:jc w:val="right"/>
              <w:spacing w:after="0"/>
              <w:rPr>
                <w:sz w:val="20"/>
                <w:szCs w:val="20"/>
                <w:color w:val="auto"/>
              </w:rPr>
            </w:pPr>
            <w:r>
              <w:rPr>
                <w:rFonts w:ascii="Arial" w:cs="Arial" w:eastAsia="Arial" w:hAnsi="Arial"/>
                <w:sz w:val="12"/>
                <w:szCs w:val="12"/>
                <w:color w:val="auto"/>
              </w:rPr>
              <w:t>646,808,471</w:t>
            </w: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40" w:type="dxa"/>
            <w:vAlign w:val="bottom"/>
            <w:tcBorders>
              <w:top w:val="single" w:sz="8" w:color="CCECFF"/>
            </w:tcBorders>
          </w:tcPr>
          <w:p>
            <w:pPr>
              <w:spacing w:after="0" w:line="20" w:lineRule="exact"/>
              <w:rPr>
                <w:sz w:val="1"/>
                <w:szCs w:val="1"/>
                <w:color w:val="auto"/>
              </w:rPr>
            </w:pPr>
          </w:p>
        </w:tc>
        <w:tc>
          <w:tcPr>
            <w:tcW w:w="1200" w:type="dxa"/>
            <w:vAlign w:val="bottom"/>
            <w:tcBorders>
              <w:top w:val="single" w:sz="8" w:color="CCECFF"/>
            </w:tcBorders>
          </w:tcPr>
          <w:p>
            <w:pPr>
              <w:spacing w:after="0" w:line="20" w:lineRule="exact"/>
              <w:rPr>
                <w:sz w:val="1"/>
                <w:szCs w:val="1"/>
                <w:color w:val="auto"/>
              </w:rPr>
            </w:pPr>
          </w:p>
        </w:tc>
        <w:tc>
          <w:tcPr>
            <w:tcW w:w="1980" w:type="dxa"/>
            <w:vAlign w:val="bottom"/>
            <w:tcBorders>
              <w:top w:val="single" w:sz="8" w:color="CCECFF"/>
            </w:tcBorders>
          </w:tcPr>
          <w:p>
            <w:pPr>
              <w:spacing w:after="0" w:line="20" w:lineRule="exact"/>
              <w:rPr>
                <w:sz w:val="1"/>
                <w:szCs w:val="1"/>
                <w:color w:val="auto"/>
              </w:rPr>
            </w:pPr>
          </w:p>
        </w:tc>
        <w:tc>
          <w:tcPr>
            <w:tcW w:w="1100" w:type="dxa"/>
            <w:vAlign w:val="bottom"/>
            <w:tcBorders>
              <w:top w:val="single" w:sz="8" w:color="CCECFF"/>
            </w:tcBorders>
          </w:tcPr>
          <w:p>
            <w:pPr>
              <w:spacing w:after="0" w:line="20" w:lineRule="exact"/>
              <w:rPr>
                <w:sz w:val="1"/>
                <w:szCs w:val="1"/>
                <w:color w:val="auto"/>
              </w:rPr>
            </w:pPr>
          </w:p>
        </w:tc>
        <w:tc>
          <w:tcPr>
            <w:tcW w:w="16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800" w:type="dxa"/>
            <w:vAlign w:val="bottom"/>
            <w:tcBorders>
              <w:top w:val="single" w:sz="8" w:color="CCECFF"/>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700" w:type="dxa"/>
            <w:vAlign w:val="bottom"/>
            <w:tcBorders>
              <w:top w:val="single" w:sz="8" w:color="CCECFF"/>
            </w:tcBorders>
          </w:tcPr>
          <w:p>
            <w:pPr>
              <w:spacing w:after="0" w:line="20" w:lineRule="exact"/>
              <w:rPr>
                <w:sz w:val="1"/>
                <w:szCs w:val="1"/>
                <w:color w:val="auto"/>
              </w:rPr>
            </w:pPr>
          </w:p>
        </w:tc>
        <w:tc>
          <w:tcPr>
            <w:tcW w:w="24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13455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30" w:lineRule="exact"/>
        <w:rPr>
          <w:sz w:val="20"/>
          <w:szCs w:val="20"/>
          <w:color w:val="auto"/>
        </w:rPr>
      </w:pPr>
    </w:p>
    <w:p>
      <w:pPr>
        <w:ind w:left="380" w:hanging="372"/>
        <w:spacing w:after="0" w:line="243"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based on the level of control that we maintain in a particular portfolio company. As defined in the 1940 Act, a company is generally presumed to be “non-controlled” when we own 25% or less of the portfolio company’s voting securities and “controlled” when we own more than 25% of the portfolio company’s voting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provisions of the 1940 Act classify investments further based on the level of ownership that we maintain in a particular portfolio company. As defined in the 1940 Act, a company is generally deemed as “non-affiliated” when we own less than 5% of a portfolio company’s voting securities and “affiliated” when we own 5% or more of a portfolio company’s voting securities (See Note 6).</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Valued based on our accounting policy (See Note 2).</w:t>
      </w:r>
    </w:p>
    <w:p>
      <w:pPr>
        <w:ind w:left="380" w:right="16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Represents floating rate instruments that accrue interest at a predetermined spread relative to an index, typically the applicable LIBOR or “L,” or Prime rate, or “P.” All securities are subject to a LIBOR or Prime rate floor where a spread is provided, unless noted. The spread provided includes PIK interest and other fee rates, if any.</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Security is exempt from registration under Rule 144A promulgated under the Securities Act. The security may be resold in transactions that are exempt from registration, normally to qualified institutional buyers.</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Non-income producing securities.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Coupon is not subject to a LIBOR or Prime rate floor.</w:t>
      </w:r>
    </w:p>
    <w:p>
      <w:pPr>
        <w:ind w:left="380" w:hanging="372"/>
        <w:spacing w:after="0"/>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Represents the purchase of a security with delayed settlement or a revolving line of credit that is currently an unfunded investment. This security does not earn a basis point spread above an index while it is unfunded.</w:t>
      </w:r>
    </w:p>
    <w:p>
      <w:pPr>
        <w:spacing w:after="0" w:line="8" w:lineRule="exact"/>
        <w:rPr>
          <w:rFonts w:ascii="Arial" w:cs="Arial" w:eastAsia="Arial" w:hAnsi="Arial"/>
          <w:sz w:val="11"/>
          <w:szCs w:val="11"/>
          <w:color w:val="auto"/>
        </w:rPr>
      </w:pP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Non-U.S. company or principal place of business outside the United States.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Investment is held through our Taxable Subsidiaries (See Note 1).</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Par amount is denominated in British Pounds (£) or in Euros (€) as denoted.</w:t>
      </w:r>
    </w:p>
    <w:p>
      <w:pPr>
        <w:ind w:left="380" w:right="20" w:hanging="372"/>
        <w:spacing w:after="0" w:line="256" w:lineRule="auto"/>
        <w:tabs>
          <w:tab w:leader="none" w:pos="380" w:val="left"/>
        </w:tabs>
        <w:numPr>
          <w:ilvl w:val="0"/>
          <w:numId w:val="4"/>
        </w:numPr>
        <w:rPr>
          <w:rFonts w:ascii="Arial" w:cs="Arial" w:eastAsia="Arial" w:hAnsi="Arial"/>
          <w:sz w:val="11"/>
          <w:szCs w:val="11"/>
          <w:color w:val="auto"/>
        </w:rPr>
      </w:pPr>
      <w:r>
        <w:rPr>
          <w:rFonts w:ascii="Arial" w:cs="Arial" w:eastAsia="Arial" w:hAnsi="Arial"/>
          <w:sz w:val="11"/>
          <w:szCs w:val="11"/>
          <w:color w:val="auto"/>
        </w:rPr>
        <w:t>The investment is treated as a non-qualifying asset under Section 55(a) of the 1940 Act. Under the 1940 Act, we may not acquire any non-qualifying asset unless, at the time the acquisition is made, qualifying assets represent at least 70% of our total assets. As of September 30, 2017, qualifying assets represent 83% of the Company’s total assets and non-qualifying assets represent 17% of the Company’s total assets.</w:t>
      </w:r>
    </w:p>
    <w:p>
      <w:pPr>
        <w:ind w:left="380" w:hanging="372"/>
        <w:spacing w:after="0" w:line="234" w:lineRule="auto"/>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The security was not valued using significant unobservable inputs. The value of all other securities was determined using significant unobservable inputs (See Note 5).</w:t>
      </w:r>
    </w:p>
    <w:p>
      <w:pPr>
        <w:ind w:left="380" w:hanging="372"/>
        <w:spacing w:after="0"/>
        <w:tabs>
          <w:tab w:leader="none" w:pos="380" w:val="left"/>
        </w:tabs>
        <w:numPr>
          <w:ilvl w:val="0"/>
          <w:numId w:val="4"/>
        </w:numPr>
        <w:rPr>
          <w:rFonts w:ascii="Arial" w:cs="Arial" w:eastAsia="Arial" w:hAnsi="Arial"/>
          <w:sz w:val="12"/>
          <w:szCs w:val="12"/>
          <w:color w:val="auto"/>
        </w:rPr>
      </w:pPr>
      <w:r>
        <w:rPr>
          <w:rFonts w:ascii="Arial" w:cs="Arial" w:eastAsia="Arial" w:hAnsi="Arial"/>
          <w:sz w:val="12"/>
          <w:szCs w:val="12"/>
          <w:color w:val="auto"/>
        </w:rPr>
        <w:t>Share amount is 70,443,882,243.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SEE NOTES TO CONSOLIDATED FINANCIAL STATEMENTS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3" w:name="page14"/>
    <w:bookmarkEnd w:id="13"/>
    <w:p>
      <w:pPr>
        <w:jc w:val="center"/>
        <w:ind w:right="60"/>
        <w:spacing w:after="0"/>
        <w:rPr>
          <w:sz w:val="20"/>
          <w:szCs w:val="20"/>
          <w:color w:val="auto"/>
        </w:rPr>
      </w:pPr>
      <w:r>
        <w:rPr>
          <w:rFonts w:ascii="Arial" w:cs="Arial" w:eastAsia="Arial" w:hAnsi="Arial"/>
          <w:sz w:val="14"/>
          <w:szCs w:val="14"/>
          <w:b w:val="1"/>
          <w:bCs w:val="1"/>
          <w:color w:val="auto"/>
        </w:rPr>
        <w:t>PENNANTPARK INVESTMENT CORPORATION AND SUBSIDIARIES</w:t>
      </w:r>
    </w:p>
    <w:p>
      <w:pPr>
        <w:jc w:val="center"/>
        <w:ind w:right="60"/>
        <w:spacing w:after="0" w:line="226" w:lineRule="auto"/>
        <w:rPr>
          <w:sz w:val="20"/>
          <w:szCs w:val="20"/>
          <w:color w:val="auto"/>
        </w:rPr>
      </w:pPr>
      <w:r>
        <w:rPr>
          <w:rFonts w:ascii="Arial" w:cs="Arial" w:eastAsia="Arial" w:hAnsi="Arial"/>
          <w:sz w:val="14"/>
          <w:szCs w:val="14"/>
          <w:b w:val="1"/>
          <w:bCs w:val="1"/>
          <w:color w:val="auto"/>
        </w:rPr>
        <w:t>NOTES TO CONSOLIDATED FINANCIAL STATEMENTS</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 ORGANIZATION</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3"/>
          <w:szCs w:val="13"/>
          <w:color w:val="auto"/>
        </w:rPr>
        <w:t>PennantPark Investment Corporation was organized as a Maryland corporation in January 2007. We are a closed-end, externally managed, non-diversified investment company that has elected to be treated as a BDC under the 1940 Act. PennantPark Investment’s objective is to generate both current income and capital appreciation while seeking to preserve capital through debt and equity investments. We invest primarily in U.S. middle-market companies in the form of first lien secured debt, second lien secured debt and subordinated debt and, to a lesser extent, equity investments. On April 24, 2007, we closed our initial public offering and our common stock trades on the NASDAQ Global Select Market under the symbol “PNNT.”</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3"/>
          <w:szCs w:val="13"/>
          <w:color w:val="auto"/>
        </w:rPr>
        <w:t>We have entered into an investment management agreement, or the Investment Management Agreement, with the Investment Adviser, an external adviser that manages our day-to-day operations. PennantPark Investment, through the Investment Adviser, manages day-to-day operations of and provides investment advisory services to each of our SBIC Funds under separate investment management agreements. We have also entered into an administration agreement, or the Administration Agreement, with the Administrator, which provides the administrative services necessary for us to operate. PennantPark Investment, through the Administrator, also provides similar services to each of our SBIC Funds under a separate administration agreement. See Note 3.</w:t>
      </w:r>
    </w:p>
    <w:p>
      <w:pPr>
        <w:spacing w:after="0" w:line="107" w:lineRule="exact"/>
        <w:rPr>
          <w:sz w:val="20"/>
          <w:szCs w:val="20"/>
          <w:color w:val="auto"/>
        </w:rPr>
      </w:pPr>
    </w:p>
    <w:p>
      <w:pPr>
        <w:ind w:right="220" w:firstLine="456"/>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200" w:firstLine="456"/>
        <w:spacing w:after="0" w:line="253" w:lineRule="auto"/>
        <w:rPr>
          <w:sz w:val="20"/>
          <w:szCs w:val="20"/>
          <w:color w:val="auto"/>
        </w:rPr>
      </w:pPr>
      <w:r>
        <w:rPr>
          <w:rFonts w:ascii="Arial" w:cs="Arial" w:eastAsia="Arial" w:hAnsi="Arial"/>
          <w:sz w:val="14"/>
          <w:szCs w:val="14"/>
          <w:color w:val="auto"/>
        </w:rPr>
        <w:t>We have formed and expect to continue to form certain Taxable Subsidiaries, which are subject to tax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 SIGNIFICANT ACCOUNTING POLICIES</w:t>
      </w:r>
    </w:p>
    <w:p>
      <w:pPr>
        <w:spacing w:after="0" w:line="140" w:lineRule="exact"/>
        <w:rPr>
          <w:sz w:val="20"/>
          <w:szCs w:val="20"/>
          <w:color w:val="auto"/>
        </w:rPr>
      </w:pPr>
    </w:p>
    <w:p>
      <w:pPr>
        <w:ind w:right="40" w:firstLine="468"/>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U.S. generally accepted accounting principles, or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the Financial Accounting Standards Board, or FASB, Accounting Standards Codification, as amended, or ASC, serve as a single source of accounting literature. Subsequent events are evaluated and disclosed as appropriate for events occurring through the date the Consolidated Financial Statements are issued.</w:t>
      </w:r>
    </w:p>
    <w:p>
      <w:pPr>
        <w:spacing w:after="0" w:line="111" w:lineRule="exact"/>
        <w:rPr>
          <w:sz w:val="20"/>
          <w:szCs w:val="20"/>
          <w:color w:val="auto"/>
        </w:rPr>
      </w:pPr>
    </w:p>
    <w:p>
      <w:pPr>
        <w:jc w:val="both"/>
        <w:ind w:right="100" w:firstLine="456"/>
        <w:spacing w:after="0" w:line="238" w:lineRule="auto"/>
        <w:rPr>
          <w:sz w:val="20"/>
          <w:szCs w:val="20"/>
          <w:color w:val="auto"/>
        </w:rPr>
      </w:pPr>
      <w:r>
        <w:rPr>
          <w:rFonts w:ascii="Arial" w:cs="Arial" w:eastAsia="Arial" w:hAnsi="Arial"/>
          <w:sz w:val="14"/>
          <w:szCs w:val="14"/>
          <w:color w:val="auto"/>
        </w:rPr>
        <w:t>Our Consolidated Financial Statements are prepared in accordance with GAAP, consistent with ASC Topic 946, Financial Services – Investment Companies, and pursuant to the requirements for reporting on Form 10-K/Q and Articles 6, 10 and 12 of Regulation S-X, as appropriate. In accordance with Article 6-09 of Regulation S-X, we have provided a Consolidated Statement of Changes in Net Assets in lieu of a Consolidated Statement of Changes in Stockholders’ Equity.</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significant accounting policies consistently applied are as follows:</w:t>
      </w:r>
    </w:p>
    <w:p>
      <w:pPr>
        <w:spacing w:after="0" w:line="136" w:lineRule="exact"/>
        <w:rPr>
          <w:sz w:val="20"/>
          <w:szCs w:val="20"/>
          <w:color w:val="auto"/>
        </w:rPr>
      </w:pPr>
    </w:p>
    <w:p>
      <w:pPr>
        <w:ind w:left="1080" w:hanging="824"/>
        <w:spacing w:after="0"/>
        <w:tabs>
          <w:tab w:leader="none" w:pos="1080" w:val="left"/>
        </w:tabs>
        <w:numPr>
          <w:ilvl w:val="0"/>
          <w:numId w:val="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120" w:firstLine="452"/>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our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 See Note 5.</w:t>
      </w:r>
    </w:p>
    <w:p>
      <w:pPr>
        <w:spacing w:after="0" w:line="111" w:lineRule="exact"/>
        <w:rPr>
          <w:sz w:val="20"/>
          <w:szCs w:val="20"/>
          <w:color w:val="auto"/>
        </w:rPr>
      </w:pPr>
    </w:p>
    <w:p>
      <w:pPr>
        <w:ind w:right="400" w:firstLine="444"/>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980" w:right="220" w:hanging="432"/>
        <w:spacing w:after="0" w:line="253"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980" w:hanging="432"/>
        <w:spacing w:after="0"/>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ind w:left="980" w:right="120" w:hanging="432"/>
        <w:spacing w:after="0" w:line="264" w:lineRule="auto"/>
        <w:tabs>
          <w:tab w:leader="none" w:pos="980" w:val="left"/>
        </w:tabs>
        <w:numPr>
          <w:ilvl w:val="0"/>
          <w:numId w:val="6"/>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980" w:right="260" w:hanging="432"/>
        <w:spacing w:after="0" w:line="238"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the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980" w:right="240" w:hanging="432"/>
        <w:spacing w:after="0" w:line="253" w:lineRule="auto"/>
        <w:tabs>
          <w:tab w:leader="none" w:pos="980" w:val="left"/>
        </w:tabs>
        <w:numPr>
          <w:ilvl w:val="0"/>
          <w:numId w:val="6"/>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680" w:firstLine="452"/>
        <w:spacing w:after="0" w:line="290" w:lineRule="auto"/>
        <w:rPr>
          <w:sz w:val="20"/>
          <w:szCs w:val="20"/>
          <w:color w:val="auto"/>
        </w:rPr>
      </w:pPr>
      <w:r>
        <w:rPr>
          <w:rFonts w:ascii="Arial" w:cs="Arial" w:eastAsia="Arial" w:hAnsi="Arial"/>
          <w:sz w:val="13"/>
          <w:szCs w:val="13"/>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14" w:name="page15"/>
    <w:bookmarkEnd w:id="14"/>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99"/>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99"/>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jc w:val="both"/>
        <w:ind w:right="220"/>
        <w:spacing w:after="0" w:line="238" w:lineRule="auto"/>
        <w:rPr>
          <w:sz w:val="20"/>
          <w:szCs w:val="20"/>
          <w:color w:val="auto"/>
        </w:rPr>
      </w:pPr>
      <w:r>
        <w:rPr>
          <w:rFonts w:ascii="Arial" w:cs="Arial" w:eastAsia="Arial" w:hAnsi="Arial"/>
          <w:sz w:val="14"/>
          <w:szCs w:val="14"/>
          <w:color w:val="auto"/>
        </w:rPr>
        <w:t>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115" w:lineRule="exact"/>
        <w:rPr>
          <w:sz w:val="20"/>
          <w:szCs w:val="20"/>
          <w:color w:val="auto"/>
        </w:rPr>
      </w:pPr>
    </w:p>
    <w:p>
      <w:pPr>
        <w:ind w:left="1080" w:hanging="824"/>
        <w:spacing w:after="0"/>
        <w:tabs>
          <w:tab w:leader="none" w:pos="1080" w:val="left"/>
        </w:tabs>
        <w:numPr>
          <w:ilvl w:val="0"/>
          <w:numId w:val="7"/>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Security Transactions, Revenue Recognition, and Realized/Unrealized Gains or Losses</w:t>
      </w:r>
    </w:p>
    <w:p>
      <w:pPr>
        <w:spacing w:after="0" w:line="136" w:lineRule="exact"/>
        <w:rPr>
          <w:sz w:val="20"/>
          <w:szCs w:val="20"/>
          <w:color w:val="auto"/>
        </w:rPr>
      </w:pPr>
    </w:p>
    <w:p>
      <w:pPr>
        <w:ind w:right="20" w:firstLine="452"/>
        <w:spacing w:after="0" w:line="255" w:lineRule="auto"/>
        <w:rPr>
          <w:sz w:val="20"/>
          <w:szCs w:val="20"/>
          <w:color w:val="auto"/>
        </w:rPr>
      </w:pPr>
      <w:r>
        <w:rPr>
          <w:rFonts w:ascii="Arial" w:cs="Arial" w:eastAsia="Arial" w:hAnsi="Arial"/>
          <w:sz w:val="13"/>
          <w:szCs w:val="13"/>
          <w:color w:val="auto"/>
        </w:rPr>
        <w:t>Security transactions are recorded on a trade-date basis. 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prepayment penalties. Net change in unrealized appreciation or depreciation reflects, as applicable, the change in the fair values of our portfolio investments, our Credit Facility, the 2019 Notes and, prior to their redemption, the 2025 Notes during the reporting period, including any reversal of previously recorded unrealized appreciation or depreciation, when gains or losses are realized.</w:t>
      </w:r>
    </w:p>
    <w:p>
      <w:pPr>
        <w:spacing w:after="0" w:line="107" w:lineRule="exact"/>
        <w:rPr>
          <w:sz w:val="20"/>
          <w:szCs w:val="20"/>
          <w:color w:val="auto"/>
        </w:rPr>
      </w:pPr>
    </w:p>
    <w:p>
      <w:pPr>
        <w:ind w:right="120" w:firstLine="452"/>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original issue discount, or OID, market discount or premium and deferred financing costs on liabilities, which we do not fair value, are capitalized and then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11" w:lineRule="exact"/>
        <w:rPr>
          <w:sz w:val="20"/>
          <w:szCs w:val="20"/>
          <w:color w:val="auto"/>
        </w:rPr>
      </w:pPr>
    </w:p>
    <w:p>
      <w:pPr>
        <w:ind w:right="300" w:firstLine="454"/>
        <w:spacing w:after="0" w:line="296" w:lineRule="auto"/>
        <w:rPr>
          <w:sz w:val="20"/>
          <w:szCs w:val="20"/>
          <w:color w:val="auto"/>
        </w:rPr>
      </w:pPr>
      <w:r>
        <w:rPr>
          <w:rFonts w:ascii="Arial" w:cs="Arial" w:eastAsia="Arial" w:hAnsi="Arial"/>
          <w:sz w:val="12"/>
          <w:szCs w:val="12"/>
          <w:color w:val="auto"/>
        </w:rPr>
        <w:t>Loans are placed on non-accrual status when principal or interest payments are past due 30 days or more and/or there is reasonable doubt that principal or interest will be collected. Accrued interest is generally reversed when a loan is placed on non-accrual status. Interest payments received on non-accrual loans may be recognized as income or applied to principal depending upon management’s judgment. Non-accrual loans are restored to accrual status when past due principal and interest is paid and, in management’s judgment, are likely to remain current.</w:t>
      </w:r>
    </w:p>
    <w:p>
      <w:pPr>
        <w:spacing w:after="0" w:line="83" w:lineRule="exact"/>
        <w:rPr>
          <w:sz w:val="20"/>
          <w:szCs w:val="20"/>
          <w:color w:val="auto"/>
        </w:rPr>
      </w:pPr>
    </w:p>
    <w:p>
      <w:pPr>
        <w:ind w:left="1060" w:hanging="804"/>
        <w:spacing w:after="0"/>
        <w:tabs>
          <w:tab w:leader="none" w:pos="1060" w:val="left"/>
        </w:tabs>
        <w:numPr>
          <w:ilvl w:val="0"/>
          <w:numId w:val="8"/>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Income Taxes</w:t>
      </w:r>
    </w:p>
    <w:p>
      <w:pPr>
        <w:spacing w:after="0" w:line="136" w:lineRule="exact"/>
        <w:rPr>
          <w:sz w:val="20"/>
          <w:szCs w:val="20"/>
          <w:color w:val="auto"/>
        </w:rPr>
      </w:pPr>
    </w:p>
    <w:p>
      <w:pPr>
        <w:ind w:firstLine="452"/>
        <w:spacing w:after="0" w:line="271" w:lineRule="auto"/>
        <w:rPr>
          <w:sz w:val="20"/>
          <w:szCs w:val="20"/>
          <w:color w:val="auto"/>
        </w:rPr>
      </w:pPr>
      <w:r>
        <w:rPr>
          <w:rFonts w:ascii="Arial" w:cs="Arial" w:eastAsia="Arial" w:hAnsi="Arial"/>
          <w:sz w:val="12"/>
          <w:szCs w:val="12"/>
          <w:color w:val="auto"/>
        </w:rPr>
        <w:t>We have complied with the requirements of Subchapter M of the Code and have qualified to be treated as a RIC for federal income tax purposes. In this regard, we account for income taxes using the asset and liability method prescribed by ASC Topic 740, Income Taxes, or ASC 740. Under this method, income taxes are provided for amounts currently payable and for amounts deferred as tax assets and liabilities based on differences between the financial statement carrying amounts and the tax basis of existing assets and liabilities. Based upon our qualification and election to be treated as a RIC, we do not anticipate incurring any material federal income taxes. However, we may choose to retain a portion of our calendar year income, which may result in the imposition of an excise tax. Additionally, certain of the Company’s consolidated subsidiaries are subject to U.S. federal and state income taxes. For both the three and nine months ended June 30, 2018, we did not record a provision for taxes. For the three and nine months ended June 30, 2017, we recorded a provision for taxes of $0.4 million ($0.1 million of excise tax and $0.3 million of U.S. federal and state income taxes related to Taxable Subsidiaries) and $1.3 million ($0.4 million of excise tax and $0.9 million of U.S. federal and state income taxes related to Taxable Subsidiaries), respectively.</w:t>
      </w:r>
    </w:p>
    <w:p>
      <w:pPr>
        <w:spacing w:after="0" w:line="97" w:lineRule="exact"/>
        <w:rPr>
          <w:sz w:val="20"/>
          <w:szCs w:val="20"/>
          <w:color w:val="auto"/>
        </w:rPr>
      </w:pPr>
    </w:p>
    <w:p>
      <w:pPr>
        <w:ind w:right="80" w:firstLine="438"/>
        <w:spacing w:after="0" w:line="248" w:lineRule="auto"/>
        <w:rPr>
          <w:sz w:val="20"/>
          <w:szCs w:val="20"/>
          <w:color w:val="auto"/>
        </w:rPr>
      </w:pPr>
      <w:r>
        <w:rPr>
          <w:rFonts w:ascii="Arial" w:cs="Arial" w:eastAsia="Arial" w:hAnsi="Arial"/>
          <w:sz w:val="13"/>
          <w:szCs w:val="13"/>
          <w:color w:val="auto"/>
        </w:rPr>
        <w:t>We recognize the effect of a tax position in our Consolidated Financial Statements in accordance with ASC 740 when it is more likely than not, based on the technical merits, that the position will be sustained upon examination by the applicable tax authority. Tax positions not considered to satisfy the “more-likely-than-not” threshold would be recorded as a tax expense or benefit. Penalties or interest, if applicable, that may be assessed relating to income taxes would be classified as other operating expenses in the financial statements. As of June 30, 2018, there were no tax accruals relating to uncertain tax positions and no amounts accrued for any related interest or penalties with respect to the periods presented herein. The Company’s determinations regarding ASC 740 may be subject to review and adjustment at a later date based upon factors including, but not limited to, an on-going analysis of tax laws, regulations and interpretations thereof. Although the Company files both federal and state income tax returns, the Company’s major tax jurisdiction is federal.</w:t>
      </w:r>
    </w:p>
    <w:p>
      <w:pPr>
        <w:spacing w:after="0" w:line="140" w:lineRule="exact"/>
        <w:rPr>
          <w:sz w:val="20"/>
          <w:szCs w:val="20"/>
          <w:color w:val="auto"/>
        </w:rPr>
      </w:pPr>
    </w:p>
    <w:p>
      <w:pPr>
        <w:jc w:val="both"/>
        <w:ind w:right="320" w:firstLine="452"/>
        <w:spacing w:after="0" w:line="264" w:lineRule="auto"/>
        <w:rPr>
          <w:sz w:val="20"/>
          <w:szCs w:val="20"/>
          <w:color w:val="auto"/>
        </w:rPr>
      </w:pPr>
      <w:r>
        <w:rPr>
          <w:rFonts w:ascii="Arial" w:cs="Arial" w:eastAsia="Arial" w:hAnsi="Arial"/>
          <w:sz w:val="13"/>
          <w:szCs w:val="13"/>
          <w:color w:val="auto"/>
        </w:rPr>
        <w:t>Because federal income tax regulations differ from GAAP, distributions in accordance with tax regulations may differ from net investment income and net realized gains recognized for financial reporting purposes. Differences between tax regulations and GAAP may be permanent or temporary. Permanent differences are reclassified among capital accounts in the Consolidated Financial Statements to reflect their tax character. Temporary differences arise when certain items of income, expense, gain or loss are recognized at some time in the future.</w:t>
      </w:r>
    </w:p>
    <w:p>
      <w:pPr>
        <w:spacing w:after="0" w:line="101" w:lineRule="exact"/>
        <w:rPr>
          <w:sz w:val="20"/>
          <w:szCs w:val="20"/>
          <w:color w:val="auto"/>
        </w:rPr>
      </w:pPr>
    </w:p>
    <w:p>
      <w:pPr>
        <w:ind w:left="1080" w:hanging="824"/>
        <w:spacing w:after="0"/>
        <w:tabs>
          <w:tab w:leader="none" w:pos="1080" w:val="left"/>
        </w:tabs>
        <w:numPr>
          <w:ilvl w:val="0"/>
          <w:numId w:val="9"/>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Distributions and Capital Transactions</w:t>
      </w:r>
    </w:p>
    <w:p>
      <w:pPr>
        <w:spacing w:after="0" w:line="136" w:lineRule="exact"/>
        <w:rPr>
          <w:sz w:val="20"/>
          <w:szCs w:val="20"/>
          <w:color w:val="auto"/>
        </w:rPr>
      </w:pPr>
    </w:p>
    <w:p>
      <w:pPr>
        <w:ind w:right="320" w:firstLine="452"/>
        <w:spacing w:after="0" w:line="238" w:lineRule="auto"/>
        <w:rPr>
          <w:sz w:val="20"/>
          <w:szCs w:val="20"/>
          <w:color w:val="auto"/>
        </w:rPr>
      </w:pPr>
      <w:r>
        <w:rPr>
          <w:rFonts w:ascii="Arial" w:cs="Arial" w:eastAsia="Arial" w:hAnsi="Arial"/>
          <w:sz w:val="14"/>
          <w:szCs w:val="14"/>
          <w:color w:val="auto"/>
        </w:rPr>
        <w:t>Distributions to common stockholders are recorded on the ex-dividend date. The amount to be paid, if any, as a distribution is determined by the board of directors each quarter and is generally based upon the earnings estimated by management. Net realized capital gains, if any, are distributed at least annually. The tax attributes for distributions will generally include ordinary income and capital gains, but may also include certain tax-qualified dividends and/or a return of capital.</w:t>
      </w:r>
    </w:p>
    <w:p>
      <w:pPr>
        <w:spacing w:after="0" w:line="115" w:lineRule="exact"/>
        <w:rPr>
          <w:sz w:val="20"/>
          <w:szCs w:val="20"/>
          <w:color w:val="auto"/>
        </w:rPr>
      </w:pPr>
    </w:p>
    <w:p>
      <w:pPr>
        <w:ind w:right="140" w:firstLine="434"/>
        <w:spacing w:after="0" w:line="253" w:lineRule="auto"/>
        <w:rPr>
          <w:sz w:val="20"/>
          <w:szCs w:val="20"/>
          <w:color w:val="auto"/>
        </w:rPr>
      </w:pPr>
      <w:r>
        <w:rPr>
          <w:rFonts w:ascii="Arial" w:cs="Arial" w:eastAsia="Arial" w:hAnsi="Arial"/>
          <w:sz w:val="14"/>
          <w:szCs w:val="14"/>
          <w:color w:val="auto"/>
        </w:rPr>
        <w:t>Capital transactions, in connection with our dividend reinvestment plan or through offerings of our common stock, are recorded when issued and offering costs are charged as a reduction of capital upon issuance of our common stock.</w:t>
      </w:r>
    </w:p>
    <w:p>
      <w:pPr>
        <w:spacing w:after="0" w:line="106" w:lineRule="exact"/>
        <w:rPr>
          <w:sz w:val="20"/>
          <w:szCs w:val="20"/>
          <w:color w:val="auto"/>
        </w:rPr>
      </w:pPr>
    </w:p>
    <w:p>
      <w:pPr>
        <w:ind w:left="1060" w:hanging="804"/>
        <w:spacing w:after="0"/>
        <w:tabs>
          <w:tab w:leader="none" w:pos="1060" w:val="left"/>
        </w:tabs>
        <w:numPr>
          <w:ilvl w:val="0"/>
          <w:numId w:val="10"/>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jc w:val="both"/>
        <w:ind w:right="120" w:firstLine="45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values of investments and liabilities held. Such fluctuations are included with the net realized and unrealized gain or loss from investments and liabilities.</w:t>
      </w:r>
    </w:p>
    <w:p>
      <w:pPr>
        <w:spacing w:after="0" w:line="200" w:lineRule="exact"/>
        <w:rPr>
          <w:sz w:val="20"/>
          <w:szCs w:val="20"/>
          <w:color w:val="auto"/>
        </w:rPr>
      </w:pPr>
    </w:p>
    <w:p>
      <w:pPr>
        <w:spacing w:after="0" w:line="280" w:lineRule="exact"/>
        <w:rPr>
          <w:sz w:val="20"/>
          <w:szCs w:val="20"/>
          <w:color w:val="auto"/>
        </w:rPr>
      </w:pPr>
    </w:p>
    <w:p>
      <w:pPr>
        <w:jc w:val="center"/>
        <w:ind w:right="-15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118" w:right="479" w:bottom="1440" w:gutter="0" w:footer="0" w:header="0"/>
        </w:sectPr>
      </w:pPr>
    </w:p>
    <w:bookmarkStart w:id="15" w:name="page16"/>
    <w:bookmarkEnd w:id="15"/>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40"/>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180" w:firstLine="452"/>
        <w:spacing w:after="0" w:line="238" w:lineRule="auto"/>
        <w:rPr>
          <w:sz w:val="20"/>
          <w:szCs w:val="20"/>
          <w:color w:val="auto"/>
        </w:rPr>
      </w:pPr>
      <w:r>
        <w:rPr>
          <w:rFonts w:ascii="Arial" w:cs="Arial" w:eastAsia="Arial" w:hAnsi="Arial"/>
          <w:sz w:val="14"/>
          <w:szCs w:val="14"/>
          <w:color w:val="auto"/>
        </w:rPr>
        <w:t>Foreign security and currency translations may involve certain considerations and risks not typically associated with investing in U.S. companies and U.S. government securities. These risks include, but are not limited to, currency fluctuations and revaluations and future adverse political, social and economic developments, which could cause investments in foreign markets to be less liquid and prices to be more volatile than those of comparable U.S. companies or U.S. government securities.</w:t>
      </w:r>
    </w:p>
    <w:p>
      <w:pPr>
        <w:spacing w:after="0" w:line="115" w:lineRule="exact"/>
        <w:rPr>
          <w:sz w:val="20"/>
          <w:szCs w:val="20"/>
          <w:color w:val="auto"/>
        </w:rPr>
      </w:pPr>
    </w:p>
    <w:p>
      <w:pPr>
        <w:ind w:left="1040" w:hanging="784"/>
        <w:spacing w:after="0"/>
        <w:tabs>
          <w:tab w:leader="none" w:pos="1040" w:val="left"/>
        </w:tabs>
        <w:numPr>
          <w:ilvl w:val="0"/>
          <w:numId w:val="12"/>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Consolidation</w:t>
      </w:r>
    </w:p>
    <w:p>
      <w:pPr>
        <w:spacing w:after="0" w:line="136" w:lineRule="exact"/>
        <w:rPr>
          <w:sz w:val="20"/>
          <w:szCs w:val="20"/>
          <w:color w:val="auto"/>
        </w:rPr>
      </w:pPr>
    </w:p>
    <w:p>
      <w:pPr>
        <w:jc w:val="both"/>
        <w:ind w:right="420" w:firstLine="452"/>
        <w:spacing w:after="0" w:line="238" w:lineRule="auto"/>
        <w:rPr>
          <w:sz w:val="20"/>
          <w:szCs w:val="20"/>
          <w:color w:val="auto"/>
        </w:rPr>
      </w:pPr>
      <w:r>
        <w:rPr>
          <w:rFonts w:ascii="Arial" w:cs="Arial" w:eastAsia="Arial" w:hAnsi="Arial"/>
          <w:sz w:val="14"/>
          <w:szCs w:val="14"/>
          <w:color w:val="auto"/>
        </w:rPr>
        <w:t>As permitted under Regulation S-X and as explained by ASC paragraph 946-810-45-3, PennantPark Investment will generally not consolidate its investment in a company other than an investment company subsidiary or a controlled operating company whose business consists of providing services to us. Accordingly, we have consolidated the results of our SBIC Funds and our Taxable Subsidiaries in our Consolidated Financial Statements.</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 Recent Accounting Pronouncements</w:t>
      </w:r>
    </w:p>
    <w:p>
      <w:pPr>
        <w:spacing w:after="0" w:line="163" w:lineRule="exact"/>
        <w:rPr>
          <w:sz w:val="20"/>
          <w:szCs w:val="20"/>
          <w:color w:val="auto"/>
        </w:rPr>
      </w:pPr>
    </w:p>
    <w:p>
      <w:pPr>
        <w:ind w:right="18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this guidance early, but not before the original effective date (i.e., interim periods within annual periods beginning after December 15, 2016). The Company has evaluated this guidance and determined it will not have a material impact on its financial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3. AGREEMENTS AND RELATED PARTY TRANSACTIONS</w:t>
      </w:r>
    </w:p>
    <w:p>
      <w:pPr>
        <w:spacing w:after="0" w:line="140" w:lineRule="exact"/>
        <w:rPr>
          <w:sz w:val="20"/>
          <w:szCs w:val="20"/>
          <w:color w:val="auto"/>
        </w:rPr>
      </w:pPr>
    </w:p>
    <w:p>
      <w:pPr>
        <w:ind w:right="80" w:firstLine="452"/>
        <w:spacing w:after="0" w:line="229" w:lineRule="auto"/>
        <w:rPr>
          <w:sz w:val="20"/>
          <w:szCs w:val="20"/>
          <w:color w:val="auto"/>
        </w:rPr>
      </w:pPr>
      <w:r>
        <w:rPr>
          <w:rFonts w:ascii="Arial" w:cs="Arial" w:eastAsia="Arial" w:hAnsi="Arial"/>
          <w:sz w:val="14"/>
          <w:szCs w:val="14"/>
          <w:color w:val="auto"/>
        </w:rPr>
        <w:t>Under the Investment Management Agreement, as amended and restated on February 6, 2018, we implemented the previously announced permanent reductions in base management and incentive fees, effective January 1, 2018. The Investment Management Agreement with the Investment Adviser was reapproved by our board of directors, including a majority of our directors who are not interested persons of us or the Investment Adviser, in February 2018. Under the Investment Management Agreement, the Investment Adviser, subject to the overall supervision of our board of directors, manages the day-to-day operations of and provides investment advisory services to us. Our SBIC Funds’ investment management agreements do not affect the management or incentive fees that we pay to the Investment Adviser on a consolidated basis. For providing these services, the Investment Adviser receives a fee from us, consisting of two components— a base management fee and an incentive fee or, collectively, Management Fees.</w:t>
      </w:r>
    </w:p>
    <w:p>
      <w:pPr>
        <w:spacing w:after="0" w:line="118" w:lineRule="exact"/>
        <w:rPr>
          <w:sz w:val="20"/>
          <w:szCs w:val="20"/>
          <w:color w:val="auto"/>
        </w:rPr>
      </w:pPr>
    </w:p>
    <w:p>
      <w:pPr>
        <w:ind w:right="120" w:firstLine="452"/>
        <w:spacing w:after="0" w:line="266" w:lineRule="auto"/>
        <w:rPr>
          <w:sz w:val="20"/>
          <w:szCs w:val="20"/>
          <w:color w:val="auto"/>
        </w:rPr>
      </w:pPr>
      <w:r>
        <w:rPr>
          <w:rFonts w:ascii="Arial" w:cs="Arial" w:eastAsia="Arial" w:hAnsi="Arial"/>
          <w:sz w:val="12"/>
          <w:szCs w:val="12"/>
          <w:color w:val="auto"/>
        </w:rPr>
        <w:t>Effective January 1, 2018, the base management fee is calculated at an annual rate of 1.50% of our “average adjusted gross assets,” which equals our gross assets (net of U.S. Treasury Bills, temporary draws under any credit facility, cash and cash equivalents, repurchase agreements or other balance sheet transactions undertaken at the end of a fiscal quarter for purposes of preserving investment flexibility for the next quarter and unfunded commitments, if any) and is payable quarterly in arrears. The base management fee is calculated based on the average adjusted gross assets at the end of the two most recently completed calendar quarters, and appropriately adjusted for any share issuances or repurchases during the current calendar quarter. For example, if we sold shares on the 45th day of a quarter and did not use the proceeds from the sale to repay outstanding indebtedness, our gross assets for such quarter would give effect to the net proceeds of the issuance for only 45 days of the quarter during which the additional shares were outstanding. For periods prior to January 1, 2018, the base management fee was calculated at an annual rate of 2.00% of our “average adjusted gross assets.” From December 31, 2015 through December 31, 2017, the Investment Adviser voluntarily agreed, in consultation with the board of directors, to irrevocably waive 16% of base management fees, correlated to our 16% energy exposure (oil &amp; gas and energy &amp; utilities industries) at cost as of December 31, 2015. For the three and nine months ended June 30, 2018, the Investment Adviser earned a base management fee of $3.8 million and $12.5 million (after a waiver of $0.9 million), respectively, from us. For the three and nine months ended June 30, 2017, the Investment Adviser earned a base management fee of $4.9 million (after a waiver of $0.9 million) and $15.5 million (after a waiver of $3.0 million), respectively, from us.</w:t>
      </w:r>
    </w:p>
    <w:p>
      <w:pPr>
        <w:spacing w:after="0" w:line="104"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incentive fee has two parts, as follows:</w:t>
      </w:r>
    </w:p>
    <w:p>
      <w:pPr>
        <w:spacing w:after="0" w:line="136" w:lineRule="exact"/>
        <w:rPr>
          <w:sz w:val="20"/>
          <w:szCs w:val="20"/>
          <w:color w:val="auto"/>
        </w:rPr>
      </w:pPr>
    </w:p>
    <w:p>
      <w:pPr>
        <w:ind w:firstLine="438"/>
        <w:spacing w:after="0" w:line="262" w:lineRule="auto"/>
        <w:rPr>
          <w:sz w:val="20"/>
          <w:szCs w:val="20"/>
          <w:color w:val="auto"/>
        </w:rPr>
      </w:pPr>
      <w:r>
        <w:rPr>
          <w:rFonts w:ascii="Arial" w:cs="Arial" w:eastAsia="Arial" w:hAnsi="Arial"/>
          <w:sz w:val="12"/>
          <w:szCs w:val="12"/>
          <w:color w:val="auto"/>
        </w:rPr>
        <w:t>One part is calculated and payable quarterly in arrears based on our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amendment, commitment, origination, prepayment penalties, structuring, diligence and consulting fees or other fees received from portfolio companies, accrued during the calendar quarter, minus our operating expenses for the quarter (including the base management fee, any expenses payable under the Administration Agreement and any interest expense or amendment fees under any credit facility and distribution paid on any issued and outstanding preferred stock, but excluding the incentive fee). Pre-Incentive Fee Net Investment Income includes, in the case of investments with a deferred interest feature (such as OID, debt instruments with PIK interest and zero coupon securities), accrued income not yet received in cash. Pre-Incentive Fee Net Investment Income does not include any realized capital gains, computed net of all realized capital losses or unrealized capital appreciation or depreciation. Pre-Incentive Fee Net Investment Income, expressed as a percentage of the value of our net assets at the end of the immediately preceding calendar quarter, is compared to the hurdle rate of 1.75% per quarter (7.00% annualized). Effective January 1, 2018, we pay the Investment Adviser an incentive fee with respect to our Pre-Incentive Fee Net Investment Income in each calendar quarter as follows: (1) no incentive fee in any calendar quarter in which our Pre-Incentive Fee Net Investment Income does not exceed the hurdle rate of 1.75%, (2) 100% of our Pre-Incentive Fee Net Investment Income with respect to that portion of such Pre-Incentive Fee Net Investment Income, if any, that exceeds the hurdle rate but is less than 2.1212% in any calendar quarter (8.4848% annualized), and (3) 17.5% of the amount of our Pre-Incentive Fee Net Investment Income, if any, that exceeds 2.1212% in any calendar quarter. These calculations are pro-rated for any share issuances or repurchases during the relevant quarter, if applicable. For periods prior to January 1, 2018, we paid the Investment Adviser an incentive fee with respect to our Pre-Incentive Fee Net Investment Income in each calendar quarter as follows: (1) no incentive fee in any calendar quarter in which our Pre-Incentive Fee Net Investment Income did not exceed the hurdle rate of 1.75%, (2) 100% of our Pre-Incentive Fee Net Investment Income with respect to that portion of such Pre-Incentive Fee Net Investment Income, if any, that exceeded the hurdle rate but was less than 2.1875% in any calendar quarter (8.75% annualized), and (3) 20% of the amount of our Pre-Incentive Fee Net Investment Income, if any, that exceeded 2.1875% in any calendar quarter. From December 31, 2015 through December 31, 2017, the Investment Adviser voluntarily agreed, in consultation with the board of directors, to irrevocably waive 16% of incentive fees, correlated to our 16% energy cost exposure (oil &amp; gas and energy &amp; utilities industries) at cost as of December 31, 2015. For the three and nine months ended June 30, 2018, the Investment Adviser earned $2.5 million and $8.0 million (after a waiver of $0.5 million), respectively, in incentive fees on net investment income from us. For the three and nine months ended June 30, 2017, the Investment Adviser earned $1.1 million (after a waiver of $0.2 million) and $7.0 million (after a waiver of $1.3 million), respectively, in incentive fees on net investment income from us.</w:t>
      </w:r>
    </w:p>
    <w:p>
      <w:pPr>
        <w:spacing w:after="0" w:line="135" w:lineRule="exact"/>
        <w:rPr>
          <w:sz w:val="20"/>
          <w:szCs w:val="20"/>
          <w:color w:val="auto"/>
        </w:rPr>
      </w:pPr>
    </w:p>
    <w:p>
      <w:pPr>
        <w:ind w:right="40" w:firstLine="438"/>
        <w:spacing w:after="0" w:line="283" w:lineRule="auto"/>
        <w:rPr>
          <w:sz w:val="20"/>
          <w:szCs w:val="20"/>
          <w:color w:val="auto"/>
        </w:rPr>
      </w:pPr>
      <w:r>
        <w:rPr>
          <w:rFonts w:ascii="Arial" w:cs="Arial" w:eastAsia="Arial" w:hAnsi="Arial"/>
          <w:sz w:val="12"/>
          <w:szCs w:val="12"/>
          <w:color w:val="auto"/>
        </w:rPr>
        <w:t>The second part of the incentive fee is determined and payable in arrears as of the end of each calendar year (or upon termination of the Investment Management Agreement, as of the termination date) and, effective January 1, 2018, equals 17.5% of our realized capital gains (20.0% for periods prior to January 1, 2018), if any, on a cumulative basis from inception through the end of each calendar year, computed net of all realized capital losses and unrealized capital depreciation on a cumulative basis, less the aggregate amount of any previously paid capital gain incentive fees. For each of the three and nine months ended June 30, 2018 and 2017, the Investment Adviser did not accrue an incentive fee on capital gains as calculated under the Investment Management Agreement (as described above).</w:t>
      </w:r>
    </w:p>
    <w:p>
      <w:pPr>
        <w:spacing w:after="0" w:line="132" w:lineRule="exact"/>
        <w:rPr>
          <w:sz w:val="20"/>
          <w:szCs w:val="20"/>
          <w:color w:val="auto"/>
        </w:rPr>
      </w:pPr>
    </w:p>
    <w:p>
      <w:pPr>
        <w:ind w:right="180" w:firstLine="432"/>
        <w:spacing w:after="0" w:line="238" w:lineRule="auto"/>
        <w:rPr>
          <w:sz w:val="20"/>
          <w:szCs w:val="20"/>
          <w:color w:val="auto"/>
        </w:rPr>
      </w:pPr>
      <w:r>
        <w:rPr>
          <w:rFonts w:ascii="Arial" w:cs="Arial" w:eastAsia="Arial" w:hAnsi="Arial"/>
          <w:sz w:val="14"/>
          <w:szCs w:val="14"/>
          <w:color w:val="auto"/>
        </w:rPr>
        <w:t>Under GAAP, we are required to accrue a capital gains incentive fee based upon net realized capital gains and net unrealized capital appreciation and depreciation on investments held at the end of each period. In calculating the capital gains incentive fee accrual, we considered the cumulative aggregate unrealized capital appreciation in the calculation, as a capital gains incentive fee would be payable if such unrealized capital appreciation were realized, even though such unrealized capital appreciation is not</w:t>
      </w: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ind w:right="180"/>
        <w:spacing w:after="0" w:line="231" w:lineRule="auto"/>
        <w:rPr>
          <w:sz w:val="20"/>
          <w:szCs w:val="20"/>
          <w:color w:val="auto"/>
        </w:rPr>
      </w:pPr>
      <w:r>
        <w:rPr>
          <w:rFonts w:ascii="Arial" w:cs="Arial" w:eastAsia="Arial" w:hAnsi="Arial"/>
          <w:sz w:val="14"/>
          <w:szCs w:val="14"/>
          <w:color w:val="auto"/>
        </w:rPr>
        <w:t>permitted to be considered in calculating the fee actually payable under the Investment Management Agreement. This accrual is calculated using the aggregate cumulative realized capital gains and losses and cumulative unrealized capital appreciation or depreciation. If such amount is positive at the end of a period, then we record a capital gains incentive fee equal to 17.5% of such amount (20.0% for periods prior to January 1, 2018), less the aggregate amount of actual capital gains related to incentive fees paid in all prior years. If such amount is negative, then there is no accrual for such year. There can be no assurance that such unrealized capital appreciation will be realized in the future. For each of the three and nine months ended June 30, 2018 and 2017, the Investment Adviser did not accrue an incentive fee on capital gains as calculated under GAAP.</w:t>
      </w:r>
    </w:p>
    <w:p>
      <w:pPr>
        <w:spacing w:after="0" w:line="116" w:lineRule="exact"/>
        <w:rPr>
          <w:sz w:val="20"/>
          <w:szCs w:val="20"/>
          <w:color w:val="auto"/>
        </w:rPr>
      </w:pPr>
    </w:p>
    <w:p>
      <w:pPr>
        <w:ind w:right="240" w:firstLine="434"/>
        <w:spacing w:after="0" w:line="244" w:lineRule="auto"/>
        <w:rPr>
          <w:sz w:val="20"/>
          <w:szCs w:val="20"/>
          <w:color w:val="auto"/>
        </w:rPr>
      </w:pPr>
      <w:r>
        <w:rPr>
          <w:rFonts w:ascii="Arial" w:cs="Arial" w:eastAsia="Arial" w:hAnsi="Arial"/>
          <w:sz w:val="13"/>
          <w:szCs w:val="13"/>
          <w:color w:val="auto"/>
        </w:rPr>
        <w:t>The Administration Agreement with the Administrator was reapproved by our board of directors, including a majority of our directors who are not interested persons of us, in February 2018. Under the Administration Agreement, the Administrator provides administrative services and office facilities to us. The Administrator provides similar services to our SBIC Funds under each of their administration agreements with PennantPark Investment. For providing these services, facilities and personnel, we have agreed to reimburse the Administrator for its allocable portion of overhead and other expenses incurred by the Administrator in performing its obligations under the Administration Agreement, including rent and our allocable portion of the costs of compensation and related expenses of our Chief Compliance Officer, Chief Financial Officer and their respective staffs. The Administrator also offers, on our behalf, significant managerial assistance to portfolio companies to which we are required to offer such assistance. Reimbursement for certain of these costs is included in administrative services expenses in the Consolidated Statements of Operations. For the three and nine months ended June 30, 2018, we reimbursed the Investment Adviser approximately $0.5 million and $1.5 million, respectively, including expenses the Investment Adviser incurred on behalf of the Administrator, for services described above. For the three and nine months ended June 30, 2017, we reimbursed the Investment Adviser approximately $0.4 million and $2.1 million, respectively, including expenses the Investment Adviser incurred on behalf of the Administrator, for services described above.</w:t>
      </w:r>
    </w:p>
    <w:p>
      <w:pPr>
        <w:spacing w:after="0" w:line="117" w:lineRule="exact"/>
        <w:rPr>
          <w:sz w:val="20"/>
          <w:szCs w:val="20"/>
          <w:color w:val="auto"/>
        </w:rPr>
      </w:pPr>
    </w:p>
    <w:p>
      <w:pPr>
        <w:ind w:right="100" w:firstLine="438"/>
        <w:spacing w:after="0" w:line="264" w:lineRule="auto"/>
        <w:rPr>
          <w:sz w:val="20"/>
          <w:szCs w:val="20"/>
          <w:color w:val="auto"/>
        </w:rPr>
      </w:pPr>
      <w:r>
        <w:rPr>
          <w:rFonts w:ascii="Arial" w:cs="Arial" w:eastAsia="Arial" w:hAnsi="Arial"/>
          <w:sz w:val="13"/>
          <w:szCs w:val="13"/>
          <w:color w:val="auto"/>
        </w:rPr>
        <w:t>During the three and nine months ended June 30, 2018, there were no transactions with any affiliated fund managed by our Investment Adviser. During the three and nine months ended June 30, 2017, the Company purchased zero and $5.0 million, respectively, from and sold zero and $45.6 million in total investments, respectively, to affiliated funds managed by our Investment Adviser in accordance with, and pursuant to procedures adopted under, Rule 17a-7 under the 1940 Act. Realized gains on those sales amounted to zero and $1.1 million, respectively</w:t>
      </w:r>
      <w:r>
        <w:rPr>
          <w:rFonts w:ascii="Arial" w:cs="Arial" w:eastAsia="Arial" w:hAnsi="Arial"/>
          <w:sz w:val="12"/>
          <w:szCs w:val="12"/>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4. INVESTMENTS</w:t>
      </w:r>
    </w:p>
    <w:p>
      <w:pPr>
        <w:spacing w:after="0" w:line="140" w:lineRule="exact"/>
        <w:rPr>
          <w:sz w:val="20"/>
          <w:szCs w:val="20"/>
          <w:color w:val="auto"/>
        </w:rPr>
      </w:pPr>
    </w:p>
    <w:p>
      <w:pPr>
        <w:jc w:val="both"/>
        <w:ind w:right="380" w:firstLine="434"/>
        <w:spacing w:after="0" w:line="296" w:lineRule="auto"/>
        <w:rPr>
          <w:sz w:val="20"/>
          <w:szCs w:val="20"/>
          <w:color w:val="auto"/>
        </w:rPr>
      </w:pPr>
      <w:r>
        <w:rPr>
          <w:rFonts w:ascii="Arial" w:cs="Arial" w:eastAsia="Arial" w:hAnsi="Arial"/>
          <w:sz w:val="12"/>
          <w:szCs w:val="12"/>
          <w:color w:val="auto"/>
        </w:rPr>
        <w:t>Purchases of investments, including PIK interest, for the three and nine months ended June 30, 2018 totaled $190.2 million and $433.0 million, respectively. For the same periods in the prior year, purchases of investments, including PIK interest, totaled $94.9 million and $395.9 million, respectively. Sales and repayments of investments for the three and nine months ended June 30, 2018 totaled $117.7 million and $556.4 million, respectively. For the same periods in the prior year, sales and repayments of investments totaled $199.1 million and $465.4 million, respectively.</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Investments and cash and cash equivalents consisted of the following: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Investment Classification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 2018</w:t>
            </w:r>
          </w:p>
        </w:tc>
        <w:tc>
          <w:tcPr>
            <w:tcW w:w="11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0" w:type="dxa"/>
            <w:vAlign w:val="bottom"/>
            <w:gridSpan w:val="5"/>
          </w:tcPr>
          <w:p>
            <w:pPr>
              <w:ind w:left="660"/>
              <w:spacing w:after="0"/>
              <w:rPr>
                <w:sz w:val="20"/>
                <w:szCs w:val="20"/>
                <w:color w:val="auto"/>
              </w:rPr>
            </w:pPr>
            <w:r>
              <w:rPr>
                <w:rFonts w:ascii="Arial" w:cs="Arial" w:eastAsia="Arial" w:hAnsi="Arial"/>
                <w:sz w:val="14"/>
                <w:szCs w:val="14"/>
                <w:b w:val="1"/>
                <w:bCs w:val="1"/>
                <w:color w:val="auto"/>
              </w:rPr>
              <w:t>September 30, 2017</w:t>
            </w:r>
          </w:p>
        </w:tc>
        <w:tc>
          <w:tcPr>
            <w:tcW w:w="0" w:type="dxa"/>
            <w:vAlign w:val="bottom"/>
          </w:tcPr>
          <w:p>
            <w:pPr>
              <w:spacing w:after="0"/>
              <w:rPr>
                <w:sz w:val="1"/>
                <w:szCs w:val="1"/>
                <w:color w:val="auto"/>
              </w:rPr>
            </w:pPr>
          </w:p>
        </w:tc>
      </w:tr>
      <w:tr>
        <w:trPr>
          <w:trHeight w:val="156"/>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34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gridSpan w:val="2"/>
          </w:tcPr>
          <w:p>
            <w:pPr>
              <w:ind w:left="260"/>
              <w:spacing w:after="0" w:line="155" w:lineRule="exact"/>
              <w:rPr>
                <w:sz w:val="20"/>
                <w:szCs w:val="20"/>
                <w:color w:val="auto"/>
              </w:rPr>
            </w:pPr>
            <w:r>
              <w:rPr>
                <w:rFonts w:ascii="Arial" w:cs="Arial" w:eastAsia="Arial" w:hAnsi="Arial"/>
                <w:sz w:val="14"/>
                <w:szCs w:val="14"/>
                <w:b w:val="1"/>
                <w:bCs w:val="1"/>
                <w:color w:val="auto"/>
              </w:rPr>
              <w:t>Cost</w:t>
            </w:r>
          </w:p>
        </w:tc>
        <w:tc>
          <w:tcPr>
            <w:tcW w:w="2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348"/>
              <w:spacing w:after="0" w:line="155" w:lineRule="exact"/>
              <w:rPr>
                <w:sz w:val="20"/>
                <w:szCs w:val="20"/>
                <w:color w:val="auto"/>
              </w:rPr>
            </w:pPr>
            <w:r>
              <w:rPr>
                <w:rFonts w:ascii="Arial" w:cs="Arial" w:eastAsia="Arial" w:hAnsi="Arial"/>
                <w:sz w:val="14"/>
                <w:szCs w:val="14"/>
                <w:b w:val="1"/>
                <w:bCs w:val="1"/>
                <w:color w:val="auto"/>
              </w:rPr>
              <w:t>Fair Value</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445,739,450</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442,488,489</w:t>
            </w:r>
          </w:p>
        </w:tc>
        <w:tc>
          <w:tcPr>
            <w:tcW w:w="260" w:type="dxa"/>
            <w:vAlign w:val="bottom"/>
            <w:tcBorders>
              <w:top w:val="single" w:sz="8" w:color="CCECFF"/>
            </w:tcBorders>
            <w:shd w:val="clear" w:color="auto" w:fill="CCECFF"/>
          </w:tcPr>
          <w:p>
            <w:pPr>
              <w:spacing w:after="0"/>
              <w:rPr>
                <w:sz w:val="13"/>
                <w:szCs w:val="13"/>
                <w:color w:val="auto"/>
              </w:rPr>
            </w:pPr>
          </w:p>
        </w:tc>
        <w:tc>
          <w:tcPr>
            <w:tcW w:w="340" w:type="dxa"/>
            <w:vAlign w:val="bottom"/>
            <w:tcBorders>
              <w:top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465,235,137</w:t>
            </w:r>
          </w:p>
        </w:tc>
        <w:tc>
          <w:tcPr>
            <w:tcW w:w="2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466,076,352</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Second lien</w:t>
            </w: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384,235,373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391,479,420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389,336,314</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399,544,383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34,272,557</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33,840,084</w:t>
            </w:r>
          </w:p>
        </w:tc>
        <w:tc>
          <w:tcPr>
            <w:tcW w:w="26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1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116,596,887</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120,707,763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Equity</w:t>
            </w:r>
          </w:p>
        </w:tc>
        <w:tc>
          <w:tcPr>
            <w:tcW w:w="1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267,052,507</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156,936,843</w:t>
            </w:r>
          </w:p>
        </w:tc>
        <w:tc>
          <w:tcPr>
            <w:tcW w:w="260" w:type="dxa"/>
            <w:vAlign w:val="bottom"/>
            <w:tcBorders>
              <w:bottom w:val="single" w:sz="8" w:color="CCEC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238,858,334</w:t>
            </w:r>
          </w:p>
        </w:tc>
        <w:tc>
          <w:tcPr>
            <w:tcW w:w="260" w:type="dxa"/>
            <w:vAlign w:val="bottom"/>
            <w:tcBorders>
              <w:bottom w:val="single" w:sz="8" w:color="CCEC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167,249,010</w:t>
            </w:r>
          </w:p>
        </w:tc>
        <w:tc>
          <w:tcPr>
            <w:tcW w:w="12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1,131,299,887</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1,024,744,836</w:t>
            </w:r>
          </w:p>
        </w:tc>
        <w:tc>
          <w:tcPr>
            <w:tcW w:w="260" w:type="dxa"/>
            <w:vAlign w:val="bottom"/>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spacing w:after="0"/>
              <w:rPr>
                <w:sz w:val="13"/>
                <w:szCs w:val="13"/>
                <w:color w:val="auto"/>
              </w:rPr>
            </w:pP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1,210,026,672</w:t>
            </w:r>
          </w:p>
        </w:tc>
        <w:tc>
          <w:tcPr>
            <w:tcW w:w="260" w:type="dxa"/>
            <w:vAlign w:val="bottom"/>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spacing w:after="0"/>
              <w:rPr>
                <w:sz w:val="13"/>
                <w:szCs w:val="13"/>
                <w:color w:val="auto"/>
              </w:rPr>
            </w:pP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1,153,577,508</w:t>
            </w:r>
          </w:p>
        </w:tc>
        <w:tc>
          <w:tcPr>
            <w:tcW w:w="12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Cash and cash equivalents</w:t>
            </w:r>
          </w:p>
        </w:tc>
        <w:tc>
          <w:tcPr>
            <w:tcW w:w="1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107,125,512</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107,091,091</w:t>
            </w:r>
          </w:p>
        </w:tc>
        <w:tc>
          <w:tcPr>
            <w:tcW w:w="260" w:type="dxa"/>
            <w:vAlign w:val="bottom"/>
            <w:tcBorders>
              <w:bottom w:val="single" w:sz="8" w:color="CCEC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38,182,373</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38,202,068</w:t>
            </w:r>
          </w:p>
        </w:tc>
        <w:tc>
          <w:tcPr>
            <w:tcW w:w="12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1,238,425,399</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1,131,835,927</w:t>
            </w:r>
          </w:p>
        </w:tc>
        <w:tc>
          <w:tcPr>
            <w:tcW w:w="260" w:type="dxa"/>
            <w:vAlign w:val="bottom"/>
            <w:tcBorders>
              <w:bottom w:val="single" w:sz="8" w:color="CCECFF"/>
            </w:tcBorders>
            <w:shd w:val="clear" w:color="auto" w:fill="CCECFF"/>
          </w:tcPr>
          <w:p>
            <w:pPr>
              <w:spacing w:after="0"/>
              <w:rPr>
                <w:sz w:val="13"/>
                <w:szCs w:val="13"/>
                <w:color w:val="auto"/>
              </w:rPr>
            </w:pPr>
          </w:p>
        </w:tc>
        <w:tc>
          <w:tcPr>
            <w:tcW w:w="340" w:type="dxa"/>
            <w:vAlign w:val="bottom"/>
            <w:tcBorders>
              <w:bottom w:val="single" w:sz="8" w:color="auto"/>
            </w:tcBorders>
            <w:shd w:val="clear" w:color="auto" w:fill="CCECFF"/>
          </w:tcPr>
          <w:p>
            <w:pPr>
              <w:jc w:val="right"/>
              <w:ind w:right="18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1,248,209,045</w:t>
            </w:r>
          </w:p>
        </w:tc>
        <w:tc>
          <w:tcPr>
            <w:tcW w:w="260" w:type="dxa"/>
            <w:vAlign w:val="bottom"/>
            <w:tcBorders>
              <w:bottom w:val="single" w:sz="8" w:color="CCECFF"/>
            </w:tcBorders>
            <w:shd w:val="clear" w:color="auto" w:fill="CCECFF"/>
          </w:tcPr>
          <w:p>
            <w:pPr>
              <w:spacing w:after="0"/>
              <w:rPr>
                <w:sz w:val="13"/>
                <w:szCs w:val="13"/>
                <w:color w:val="auto"/>
              </w:rPr>
            </w:pPr>
          </w:p>
        </w:tc>
        <w:tc>
          <w:tcPr>
            <w:tcW w:w="240" w:type="dxa"/>
            <w:vAlign w:val="bottom"/>
            <w:tcBorders>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1,191,779,576</w:t>
            </w: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right="860" w:firstLine="413"/>
        <w:spacing w:after="0" w:line="253" w:lineRule="auto"/>
        <w:rPr>
          <w:sz w:val="20"/>
          <w:szCs w:val="20"/>
          <w:color w:val="auto"/>
        </w:rPr>
      </w:pPr>
      <w:r>
        <w:rPr>
          <w:rFonts w:ascii="Arial" w:cs="Arial" w:eastAsia="Arial" w:hAnsi="Arial"/>
          <w:sz w:val="14"/>
          <w:szCs w:val="14"/>
          <w:color w:val="auto"/>
        </w:rPr>
        <w:t>The table below describes investments by industry classification and enumerates the percentage, by fair value, of the total portfolio assets (excluding cash and cash equivalents) in such industries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5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Industry Classification</w:t>
            </w:r>
          </w:p>
        </w:tc>
        <w:tc>
          <w:tcPr>
            <w:tcW w:w="1660" w:type="dxa"/>
            <w:vAlign w:val="bottom"/>
            <w:tcBorders>
              <w:bottom w:val="single" w:sz="8" w:color="auto"/>
            </w:tcBorders>
          </w:tcPr>
          <w:p>
            <w:pPr>
              <w:spacing w:after="0"/>
              <w:rPr>
                <w:sz w:val="14"/>
                <w:szCs w:val="14"/>
                <w:color w:val="auto"/>
              </w:rPr>
            </w:pPr>
          </w:p>
        </w:tc>
        <w:tc>
          <w:tcPr>
            <w:tcW w:w="24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June 30, 2018</w:t>
            </w:r>
          </w:p>
        </w:tc>
        <w:tc>
          <w:tcPr>
            <w:tcW w:w="380" w:type="dxa"/>
            <w:vAlign w:val="bottom"/>
            <w:tcBorders>
              <w:bottom w:val="single" w:sz="8" w:color="CCECFF"/>
            </w:tcBorders>
          </w:tcPr>
          <w:p>
            <w:pPr>
              <w:spacing w:after="0"/>
              <w:rPr>
                <w:sz w:val="14"/>
                <w:szCs w:val="14"/>
                <w:color w:val="auto"/>
              </w:rPr>
            </w:pPr>
          </w:p>
        </w:tc>
        <w:tc>
          <w:tcPr>
            <w:tcW w:w="214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September 30, 2017</w:t>
            </w:r>
          </w:p>
        </w:tc>
        <w:tc>
          <w:tcPr>
            <w:tcW w:w="140" w:type="dxa"/>
            <w:vAlign w:val="bottom"/>
            <w:tcBorders>
              <w:bottom w:val="single" w:sz="8" w:color="CCECFF"/>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Healthcare, Education and Childcare</w:t>
            </w:r>
          </w:p>
        </w:tc>
        <w:tc>
          <w:tcPr>
            <w:tcW w:w="166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2520" w:type="dxa"/>
            <w:vAlign w:val="bottom"/>
            <w:gridSpan w:val="2"/>
            <w:shd w:val="clear" w:color="auto" w:fill="CCECFF"/>
          </w:tcPr>
          <w:p>
            <w:pPr>
              <w:jc w:val="right"/>
              <w:ind w:right="260"/>
              <w:spacing w:after="0" w:line="155" w:lineRule="exact"/>
              <w:rPr>
                <w:sz w:val="20"/>
                <w:szCs w:val="20"/>
                <w:color w:val="auto"/>
              </w:rPr>
            </w:pPr>
            <w:r>
              <w:rPr>
                <w:rFonts w:ascii="Arial" w:cs="Arial" w:eastAsia="Arial" w:hAnsi="Arial"/>
                <w:sz w:val="14"/>
                <w:szCs w:val="14"/>
                <w:color w:val="auto"/>
              </w:rPr>
              <w:t>15%</w:t>
            </w:r>
          </w:p>
        </w:tc>
        <w:tc>
          <w:tcPr>
            <w:tcW w:w="228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Energy and Utilities</w:t>
            </w:r>
          </w:p>
        </w:tc>
        <w:tc>
          <w:tcPr>
            <w:tcW w:w="4040" w:type="dxa"/>
            <w:vAlign w:val="bottom"/>
            <w:gridSpan w:val="3"/>
          </w:tcPr>
          <w:p>
            <w:pPr>
              <w:jc w:val="right"/>
              <w:spacing w:after="0"/>
              <w:rPr>
                <w:sz w:val="20"/>
                <w:szCs w:val="20"/>
                <w:color w:val="auto"/>
              </w:rPr>
            </w:pPr>
            <w:r>
              <w:rPr>
                <w:rFonts w:ascii="Arial" w:cs="Arial" w:eastAsia="Arial" w:hAnsi="Arial"/>
                <w:sz w:val="14"/>
                <w:szCs w:val="14"/>
                <w:color w:val="auto"/>
              </w:rPr>
              <w:t>8</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Hotels, Motels, Inns and Gaming</w:t>
            </w:r>
          </w:p>
        </w:tc>
        <w:tc>
          <w:tcPr>
            <w:tcW w:w="404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8</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Consumer Products</w:t>
            </w:r>
          </w:p>
        </w:tc>
        <w:tc>
          <w:tcPr>
            <w:tcW w:w="4040" w:type="dxa"/>
            <w:vAlign w:val="bottom"/>
            <w:gridSpan w:val="3"/>
          </w:tcPr>
          <w:p>
            <w:pPr>
              <w:jc w:val="right"/>
              <w:spacing w:after="0"/>
              <w:rPr>
                <w:sz w:val="20"/>
                <w:szCs w:val="20"/>
                <w:color w:val="auto"/>
              </w:rPr>
            </w:pPr>
            <w:r>
              <w:rPr>
                <w:rFonts w:ascii="Arial" w:cs="Arial" w:eastAsia="Arial" w:hAnsi="Arial"/>
                <w:sz w:val="14"/>
                <w:szCs w:val="14"/>
                <w:color w:val="auto"/>
              </w:rPr>
              <w:t>7</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Financial Services</w:t>
            </w:r>
          </w:p>
        </w:tc>
        <w:tc>
          <w:tcPr>
            <w:tcW w:w="404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Oil and Gas</w:t>
            </w:r>
          </w:p>
        </w:tc>
        <w:tc>
          <w:tcPr>
            <w:tcW w:w="4040" w:type="dxa"/>
            <w:vAlign w:val="bottom"/>
            <w:gridSpan w:val="3"/>
          </w:tcPr>
          <w:p>
            <w:pPr>
              <w:jc w:val="right"/>
              <w:spacing w:after="0"/>
              <w:rPr>
                <w:sz w:val="20"/>
                <w:szCs w:val="20"/>
                <w:color w:val="auto"/>
              </w:rPr>
            </w:pPr>
            <w:r>
              <w:rPr>
                <w:rFonts w:ascii="Arial" w:cs="Arial" w:eastAsia="Arial" w:hAnsi="Arial"/>
                <w:sz w:val="14"/>
                <w:szCs w:val="14"/>
                <w:color w:val="auto"/>
              </w:rPr>
              <w:t>6</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Printing and Publishing</w:t>
            </w:r>
          </w:p>
        </w:tc>
        <w:tc>
          <w:tcPr>
            <w:tcW w:w="404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6</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Business Services</w:t>
            </w:r>
          </w:p>
        </w:tc>
        <w:tc>
          <w:tcPr>
            <w:tcW w:w="4040" w:type="dxa"/>
            <w:vAlign w:val="bottom"/>
            <w:gridSpan w:val="3"/>
          </w:tcPr>
          <w:p>
            <w:pPr>
              <w:jc w:val="right"/>
              <w:spacing w:after="0"/>
              <w:rPr>
                <w:sz w:val="20"/>
                <w:szCs w:val="20"/>
                <w:color w:val="auto"/>
              </w:rPr>
            </w:pPr>
            <w:r>
              <w:rPr>
                <w:rFonts w:ascii="Arial" w:cs="Arial" w:eastAsia="Arial" w:hAnsi="Arial"/>
                <w:sz w:val="14"/>
                <w:szCs w:val="14"/>
                <w:color w:val="auto"/>
              </w:rPr>
              <w:t>5</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Distribution</w:t>
            </w:r>
          </w:p>
        </w:tc>
        <w:tc>
          <w:tcPr>
            <w:tcW w:w="404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Environmental Services</w:t>
            </w:r>
          </w:p>
        </w:tc>
        <w:tc>
          <w:tcPr>
            <w:tcW w:w="4040" w:type="dxa"/>
            <w:vAlign w:val="bottom"/>
            <w:gridSpan w:val="3"/>
          </w:tcPr>
          <w:p>
            <w:pPr>
              <w:jc w:val="right"/>
              <w:spacing w:after="0"/>
              <w:rPr>
                <w:sz w:val="20"/>
                <w:szCs w:val="20"/>
                <w:color w:val="auto"/>
              </w:rPr>
            </w:pPr>
            <w:r>
              <w:rPr>
                <w:rFonts w:ascii="Arial" w:cs="Arial" w:eastAsia="Arial" w:hAnsi="Arial"/>
                <w:sz w:val="14"/>
                <w:szCs w:val="14"/>
                <w:color w:val="auto"/>
              </w:rPr>
              <w:t>4</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Media</w:t>
            </w:r>
          </w:p>
        </w:tc>
        <w:tc>
          <w:tcPr>
            <w:tcW w:w="404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Auto Sector</w:t>
            </w:r>
          </w:p>
        </w:tc>
        <w:tc>
          <w:tcPr>
            <w:tcW w:w="404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2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Beverage, Food and Tobacco</w:t>
            </w:r>
          </w:p>
        </w:tc>
        <w:tc>
          <w:tcPr>
            <w:tcW w:w="404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Manufacturing / Basic Industries</w:t>
            </w:r>
          </w:p>
        </w:tc>
        <w:tc>
          <w:tcPr>
            <w:tcW w:w="4040" w:type="dxa"/>
            <w:vAlign w:val="bottom"/>
            <w:gridSpan w:val="3"/>
          </w:tcPr>
          <w:p>
            <w:pPr>
              <w:jc w:val="right"/>
              <w:spacing w:after="0"/>
              <w:rPr>
                <w:sz w:val="20"/>
                <w:szCs w:val="20"/>
                <w:color w:val="auto"/>
              </w:rPr>
            </w:pPr>
            <w:r>
              <w:rPr>
                <w:rFonts w:ascii="Arial" w:cs="Arial" w:eastAsia="Arial" w:hAnsi="Arial"/>
                <w:sz w:val="14"/>
                <w:szCs w:val="14"/>
                <w:color w:val="auto"/>
              </w:rPr>
              <w:t>3</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Personal, Food and Miscellaneous Services</w:t>
            </w:r>
          </w:p>
        </w:tc>
        <w:tc>
          <w:tcPr>
            <w:tcW w:w="404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3</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Aerospace and Defense</w:t>
            </w:r>
          </w:p>
        </w:tc>
        <w:tc>
          <w:tcPr>
            <w:tcW w:w="404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Building Materials</w:t>
            </w:r>
          </w:p>
        </w:tc>
        <w:tc>
          <w:tcPr>
            <w:tcW w:w="404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Buildings and Real Estate</w:t>
            </w:r>
          </w:p>
        </w:tc>
        <w:tc>
          <w:tcPr>
            <w:tcW w:w="4040" w:type="dxa"/>
            <w:vAlign w:val="bottom"/>
            <w:gridSpan w:val="3"/>
          </w:tcPr>
          <w:p>
            <w:pPr>
              <w:jc w:val="right"/>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Other Media</w:t>
            </w:r>
          </w:p>
        </w:tc>
        <w:tc>
          <w:tcPr>
            <w:tcW w:w="4040" w:type="dxa"/>
            <w:vAlign w:val="bottom"/>
            <w:gridSpan w:val="3"/>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380" w:type="dxa"/>
            <w:vAlign w:val="bottom"/>
            <w:shd w:val="clear" w:color="auto" w:fill="CCECFF"/>
          </w:tcPr>
          <w:p>
            <w:pPr>
              <w:spacing w:after="0"/>
              <w:rPr>
                <w:sz w:val="14"/>
                <w:szCs w:val="14"/>
                <w:color w:val="auto"/>
              </w:rPr>
            </w:pP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Telecommunications</w:t>
            </w:r>
          </w:p>
        </w:tc>
        <w:tc>
          <w:tcPr>
            <w:tcW w:w="4040" w:type="dxa"/>
            <w:vAlign w:val="bottom"/>
            <w:gridSpan w:val="3"/>
          </w:tcPr>
          <w:p>
            <w:pPr>
              <w:jc w:val="right"/>
              <w:spacing w:after="0"/>
              <w:rPr>
                <w:sz w:val="20"/>
                <w:szCs w:val="20"/>
                <w:color w:val="auto"/>
              </w:rPr>
            </w:pPr>
            <w:r>
              <w:rPr>
                <w:rFonts w:ascii="Arial" w:cs="Arial" w:eastAsia="Arial" w:hAnsi="Arial"/>
                <w:sz w:val="14"/>
                <w:szCs w:val="14"/>
                <w:color w:val="auto"/>
              </w:rPr>
              <w:t>1</w:t>
            </w:r>
          </w:p>
        </w:tc>
        <w:tc>
          <w:tcPr>
            <w:tcW w:w="380" w:type="dxa"/>
            <w:vAlign w:val="bottom"/>
          </w:tcPr>
          <w:p>
            <w:pPr>
              <w:spacing w:after="0"/>
              <w:rPr>
                <w:sz w:val="14"/>
                <w:szCs w:val="14"/>
                <w:color w:val="auto"/>
              </w:rPr>
            </w:pPr>
          </w:p>
        </w:tc>
        <w:tc>
          <w:tcPr>
            <w:tcW w:w="214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Electronics</w:t>
            </w:r>
          </w:p>
        </w:tc>
        <w:tc>
          <w:tcPr>
            <w:tcW w:w="16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2520" w:type="dxa"/>
            <w:vAlign w:val="bottom"/>
            <w:gridSpan w:val="2"/>
            <w:shd w:val="clear" w:color="auto" w:fill="CCECFF"/>
          </w:tcPr>
          <w:p>
            <w:pPr>
              <w:jc w:val="right"/>
              <w:ind w:right="400"/>
              <w:spacing w:after="0"/>
              <w:rPr>
                <w:sz w:val="20"/>
                <w:szCs w:val="20"/>
                <w:color w:val="auto"/>
              </w:rPr>
            </w:pPr>
            <w:r>
              <w:rPr>
                <w:rFonts w:ascii="Arial" w:cs="Arial" w:eastAsia="Arial" w:hAnsi="Arial"/>
                <w:sz w:val="14"/>
                <w:szCs w:val="14"/>
                <w:color w:val="auto"/>
              </w:rPr>
              <w:t>—</w:t>
            </w:r>
          </w:p>
        </w:tc>
        <w:tc>
          <w:tcPr>
            <w:tcW w:w="21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color w:val="auto"/>
              </w:rPr>
              <w:t>Diversified Natural Resources, Precious Metals and Minerals</w:t>
            </w:r>
          </w:p>
        </w:tc>
        <w:tc>
          <w:tcPr>
            <w:tcW w:w="1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2"/>
          </w:tcPr>
          <w:p>
            <w:pPr>
              <w:jc w:val="right"/>
              <w:ind w:right="400"/>
              <w:spacing w:after="0"/>
              <w:rPr>
                <w:sz w:val="20"/>
                <w:szCs w:val="20"/>
                <w:color w:val="auto"/>
              </w:rPr>
            </w:pPr>
            <w:r>
              <w:rPr>
                <w:rFonts w:ascii="Arial" w:cs="Arial" w:eastAsia="Arial" w:hAnsi="Arial"/>
                <w:sz w:val="14"/>
                <w:szCs w:val="14"/>
                <w:color w:val="auto"/>
              </w:rPr>
              <w:t>—</w:t>
            </w:r>
          </w:p>
        </w:tc>
        <w:tc>
          <w:tcPr>
            <w:tcW w:w="214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540" w:type="dxa"/>
            <w:vAlign w:val="bottom"/>
            <w:shd w:val="clear" w:color="auto" w:fill="CCECFF"/>
          </w:tcPr>
          <w:p>
            <w:pPr>
              <w:spacing w:after="0"/>
              <w:rPr>
                <w:sz w:val="20"/>
                <w:szCs w:val="20"/>
                <w:color w:val="auto"/>
              </w:rPr>
            </w:pPr>
            <w:r>
              <w:rPr>
                <w:rFonts w:ascii="Arial" w:cs="Arial" w:eastAsia="Arial" w:hAnsi="Arial"/>
                <w:sz w:val="14"/>
                <w:szCs w:val="14"/>
                <w:color w:val="auto"/>
              </w:rPr>
              <w:t>Other</w:t>
            </w:r>
          </w:p>
        </w:tc>
        <w:tc>
          <w:tcPr>
            <w:tcW w:w="1900" w:type="dxa"/>
            <w:vAlign w:val="bottom"/>
            <w:gridSpan w:val="2"/>
            <w:shd w:val="clear" w:color="auto" w:fill="CCECFF"/>
          </w:tcPr>
          <w:p>
            <w:pPr>
              <w:spacing w:after="0"/>
              <w:rPr>
                <w:sz w:val="14"/>
                <w:szCs w:val="14"/>
                <w:color w:val="auto"/>
              </w:rPr>
            </w:pPr>
          </w:p>
        </w:tc>
        <w:tc>
          <w:tcPr>
            <w:tcW w:w="2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380" w:type="dxa"/>
            <w:vAlign w:val="bottom"/>
            <w:shd w:val="clear" w:color="auto" w:fill="CCECFF"/>
          </w:tcPr>
          <w:p>
            <w:pPr>
              <w:spacing w:after="0"/>
              <w:rPr>
                <w:sz w:val="14"/>
                <w:szCs w:val="14"/>
                <w:color w:val="auto"/>
              </w:rPr>
            </w:pPr>
          </w:p>
        </w:tc>
        <w:tc>
          <w:tcPr>
            <w:tcW w:w="21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w:t>
            </w:r>
          </w:p>
        </w:tc>
        <w:tc>
          <w:tcPr>
            <w:tcW w:w="140" w:type="dxa"/>
            <w:vAlign w:val="bottom"/>
            <w:shd w:val="clear" w:color="auto" w:fill="CCEC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540" w:type="dxa"/>
            <w:vAlign w:val="bottom"/>
          </w:tcPr>
          <w:p>
            <w:pPr>
              <w:spacing w:after="0" w:line="155" w:lineRule="exact"/>
              <w:rPr>
                <w:sz w:val="20"/>
                <w:szCs w:val="20"/>
                <w:color w:val="auto"/>
              </w:rPr>
            </w:pPr>
            <w:r>
              <w:rPr>
                <w:rFonts w:ascii="Arial" w:cs="Arial" w:eastAsia="Arial" w:hAnsi="Arial"/>
                <w:sz w:val="14"/>
                <w:szCs w:val="14"/>
                <w:color w:val="auto"/>
              </w:rPr>
              <w:t>Total</w:t>
            </w:r>
          </w:p>
        </w:tc>
        <w:tc>
          <w:tcPr>
            <w:tcW w:w="1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20" w:type="dxa"/>
            <w:vAlign w:val="bottom"/>
            <w:gridSpan w:val="2"/>
          </w:tcPr>
          <w:p>
            <w:pPr>
              <w:jc w:val="right"/>
              <w:ind w:right="260"/>
              <w:spacing w:after="0" w:line="155" w:lineRule="exact"/>
              <w:rPr>
                <w:sz w:val="20"/>
                <w:szCs w:val="20"/>
                <w:color w:val="auto"/>
              </w:rPr>
            </w:pPr>
            <w:r>
              <w:rPr>
                <w:rFonts w:ascii="Arial" w:cs="Arial" w:eastAsia="Arial" w:hAnsi="Arial"/>
                <w:sz w:val="14"/>
                <w:szCs w:val="14"/>
                <w:color w:val="auto"/>
              </w:rPr>
              <w:t>100%</w:t>
            </w:r>
          </w:p>
        </w:tc>
        <w:tc>
          <w:tcPr>
            <w:tcW w:w="2280" w:type="dxa"/>
            <w:vAlign w:val="bottom"/>
            <w:gridSpan w:val="2"/>
          </w:tcPr>
          <w:p>
            <w:pPr>
              <w:jc w:val="right"/>
              <w:ind w:right="20"/>
              <w:spacing w:after="0" w:line="155" w:lineRule="exact"/>
              <w:rPr>
                <w:sz w:val="20"/>
                <w:szCs w:val="20"/>
                <w:color w:val="auto"/>
              </w:rPr>
            </w:pPr>
            <w:r>
              <w:rPr>
                <w:rFonts w:ascii="Arial" w:cs="Arial" w:eastAsia="Arial" w:hAnsi="Arial"/>
                <w:sz w:val="14"/>
                <w:szCs w:val="14"/>
                <w:color w:val="auto"/>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60" w:type="dxa"/>
            <w:vAlign w:val="bottom"/>
            <w:vMerge w:val="restart"/>
          </w:tcPr>
          <w:p>
            <w:pPr>
              <w:jc w:val="right"/>
              <w:ind w:right="428"/>
              <w:spacing w:after="0"/>
              <w:rPr>
                <w:sz w:val="20"/>
                <w:szCs w:val="20"/>
                <w:color w:val="auto"/>
              </w:rPr>
            </w:pPr>
            <w:r>
              <w:rPr>
                <w:rFonts w:ascii="Arial" w:cs="Arial" w:eastAsia="Arial" w:hAnsi="Arial"/>
                <w:sz w:val="14"/>
                <w:szCs w:val="14"/>
                <w:color w:val="auto"/>
              </w:rPr>
              <w:t>17</w:t>
            </w:r>
          </w:p>
        </w:tc>
        <w:tc>
          <w:tcPr>
            <w:tcW w:w="24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7"/>
        </w:trPr>
        <w:tc>
          <w:tcPr>
            <w:tcW w:w="4540" w:type="dxa"/>
            <w:vAlign w:val="bottom"/>
          </w:tcPr>
          <w:p>
            <w:pPr>
              <w:spacing w:after="0"/>
              <w:rPr>
                <w:sz w:val="24"/>
                <w:szCs w:val="24"/>
                <w:color w:val="auto"/>
              </w:rPr>
            </w:pPr>
          </w:p>
        </w:tc>
        <w:tc>
          <w:tcPr>
            <w:tcW w:w="16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540" w:type="dxa"/>
            <w:vAlign w:val="bottom"/>
            <w:tcBorders>
              <w:bottom w:val="single" w:sz="8" w:color="9A9A9A"/>
            </w:tcBorders>
          </w:tcPr>
          <w:p>
            <w:pPr>
              <w:spacing w:after="0"/>
              <w:rPr>
                <w:sz w:val="8"/>
                <w:szCs w:val="8"/>
                <w:color w:val="auto"/>
              </w:rPr>
            </w:pPr>
          </w:p>
        </w:tc>
        <w:tc>
          <w:tcPr>
            <w:tcW w:w="16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380" w:type="dxa"/>
            <w:vAlign w:val="bottom"/>
            <w:tcBorders>
              <w:bottom w:val="single" w:sz="8" w:color="9A9A9A"/>
            </w:tcBorders>
          </w:tcPr>
          <w:p>
            <w:pPr>
              <w:spacing w:after="0"/>
              <w:rPr>
                <w:sz w:val="8"/>
                <w:szCs w:val="8"/>
                <w:color w:val="auto"/>
              </w:rPr>
            </w:pPr>
          </w:p>
        </w:tc>
        <w:tc>
          <w:tcPr>
            <w:tcW w:w="214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7" w:name="page18"/>
    <w:bookmarkEnd w:id="17"/>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39"/>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5. FAIR VALUE OF FINANCIAL INSTRUMENTS</w:t>
      </w:r>
    </w:p>
    <w:p>
      <w:pPr>
        <w:spacing w:after="0" w:line="140" w:lineRule="exact"/>
        <w:rPr>
          <w:sz w:val="20"/>
          <w:szCs w:val="20"/>
          <w:color w:val="auto"/>
        </w:rPr>
      </w:pPr>
    </w:p>
    <w:p>
      <w:pPr>
        <w:ind w:firstLine="454"/>
        <w:spacing w:after="0" w:line="277" w:lineRule="auto"/>
        <w:rPr>
          <w:sz w:val="20"/>
          <w:szCs w:val="20"/>
          <w:color w:val="auto"/>
        </w:rPr>
      </w:pPr>
      <w:r>
        <w:rPr>
          <w:rFonts w:ascii="Arial" w:cs="Arial" w:eastAsia="Arial" w:hAnsi="Arial"/>
          <w:sz w:val="12"/>
          <w:szCs w:val="12"/>
          <w:color w:val="auto"/>
        </w:rPr>
        <w:t>Fair value, as defined under ASC Topic 820, Fair Value Measurement, or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95"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1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120" w:firstLine="432"/>
        <w:spacing w:after="0" w:line="231" w:lineRule="auto"/>
        <w:rPr>
          <w:sz w:val="20"/>
          <w:szCs w:val="20"/>
          <w:color w:val="auto"/>
        </w:rPr>
      </w:pPr>
      <w:r>
        <w:rPr>
          <w:rFonts w:ascii="Arial" w:cs="Arial" w:eastAsia="Arial" w:hAnsi="Arial"/>
          <w:sz w:val="14"/>
          <w:szCs w:val="14"/>
          <w:color w:val="auto"/>
        </w:rPr>
        <w:t>The inputs into the determination of fair value may require significant management judgment or estimation. Even if observable market data are available, such information may be the result of consensus pricing information, disorderly transactions or broker quotes which include a disclaimer that the broker would not be held to such a price in an actual transaction. The non-binding nature of consensus pricing and/or quotes accompanied by disclaimer would result in classification as Level 3 information, assuming no additional corroborating evidence were available. Corroborating evidence that would result in classifying these non-binding broker/dealer bids as a Level 2 asset includes observable orderly market-based transactions for the same or similar assets or other relevant observable market-based inputs that may be used in pricing an asset.</w:t>
      </w:r>
    </w:p>
    <w:p>
      <w:pPr>
        <w:spacing w:after="0" w:line="116" w:lineRule="exact"/>
        <w:rPr>
          <w:sz w:val="20"/>
          <w:szCs w:val="20"/>
          <w:color w:val="auto"/>
        </w:rPr>
      </w:pPr>
    </w:p>
    <w:p>
      <w:pPr>
        <w:ind w:right="280" w:firstLine="432"/>
        <w:spacing w:after="0" w:line="231" w:lineRule="auto"/>
        <w:rPr>
          <w:sz w:val="20"/>
          <w:szCs w:val="20"/>
          <w:color w:val="auto"/>
        </w:rPr>
      </w:pPr>
      <w:r>
        <w:rPr>
          <w:rFonts w:ascii="Arial" w:cs="Arial" w:eastAsia="Arial" w:hAnsi="Arial"/>
          <w:sz w:val="14"/>
          <w:szCs w:val="14"/>
          <w:color w:val="auto"/>
        </w:rPr>
        <w:t>Our investments are generally structured as debt and equity investments in the form of first lien secured debt, second lien secured debt, subordinated debt and equity co-investments. The transaction price, excluding transaction costs, is typically the best estimate of fair value at inception. Ongoing reviews by our Investment Adviser and independent valuation firms are based on an assessment of each underlying investment, incorporating valuations that consider the evaluation of financing and sale transactions with third parties, expected cash flows and market-based information including comparable transactions, performance multiples and yields, among other factors. These non-public investments valued using unobservable inputs are included in Level 3 of the fair value hierarchy.</w:t>
      </w:r>
    </w:p>
    <w:p>
      <w:pPr>
        <w:spacing w:after="0" w:line="116" w:lineRule="exact"/>
        <w:rPr>
          <w:sz w:val="20"/>
          <w:szCs w:val="20"/>
          <w:color w:val="auto"/>
        </w:rPr>
      </w:pPr>
    </w:p>
    <w:p>
      <w:pPr>
        <w:ind w:right="240" w:firstLine="425"/>
        <w:spacing w:after="0" w:line="238" w:lineRule="auto"/>
        <w:rPr>
          <w:sz w:val="20"/>
          <w:szCs w:val="20"/>
          <w:color w:val="auto"/>
        </w:rPr>
      </w:pPr>
      <w:r>
        <w:rPr>
          <w:rFonts w:ascii="Arial" w:cs="Arial" w:eastAsia="Arial" w:hAnsi="Arial"/>
          <w:sz w:val="14"/>
          <w:szCs w:val="14"/>
          <w:color w:val="auto"/>
        </w:rPr>
        <w:t>A review of fair value hierarchy classifications is conducted on a quarterly basis. Changes in our ability to observe valuation inputs may result in a reclassification for certain financial assets or liabilities. Reclassifications impacting Level 3 of the fair value hierarchy are reported as transfers in or out of the Level 3 category as of the end of the quarter in which the reclassifications occur. During both the nine months ended June 30, 2018 and 2017, our ability to observe valuation inputs resulted in no reclassifications.</w:t>
      </w:r>
    </w:p>
    <w:p>
      <w:pPr>
        <w:spacing w:after="0" w:line="115" w:lineRule="exact"/>
        <w:rPr>
          <w:sz w:val="20"/>
          <w:szCs w:val="20"/>
          <w:color w:val="auto"/>
        </w:rPr>
      </w:pPr>
    </w:p>
    <w:p>
      <w:pPr>
        <w:ind w:right="280" w:firstLine="425"/>
        <w:spacing w:after="0" w:line="238" w:lineRule="auto"/>
        <w:rPr>
          <w:sz w:val="20"/>
          <w:szCs w:val="20"/>
          <w:color w:val="auto"/>
        </w:rPr>
      </w:pPr>
      <w:r>
        <w:rPr>
          <w:rFonts w:ascii="Arial" w:cs="Arial" w:eastAsia="Arial" w:hAnsi="Arial"/>
          <w:sz w:val="14"/>
          <w:szCs w:val="14"/>
          <w:color w:val="auto"/>
        </w:rPr>
        <w:t>In addition to using the above inputs in cash equivalents, investments, the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 See Note 2.</w:t>
      </w:r>
    </w:p>
    <w:p>
      <w:pPr>
        <w:spacing w:after="0" w:line="115" w:lineRule="exact"/>
        <w:rPr>
          <w:sz w:val="20"/>
          <w:szCs w:val="20"/>
          <w:color w:val="auto"/>
        </w:rPr>
      </w:pPr>
    </w:p>
    <w:p>
      <w:pPr>
        <w:ind w:right="420" w:firstLine="425"/>
        <w:spacing w:after="0" w:line="255" w:lineRule="auto"/>
        <w:rPr>
          <w:sz w:val="20"/>
          <w:szCs w:val="20"/>
          <w:color w:val="auto"/>
        </w:rPr>
      </w:pPr>
      <w:r>
        <w:rPr>
          <w:rFonts w:ascii="Arial" w:cs="Arial" w:eastAsia="Arial" w:hAnsi="Arial"/>
          <w:sz w:val="13"/>
          <w:szCs w:val="13"/>
          <w:color w:val="auto"/>
        </w:rPr>
        <w:t>As outlined in the table below, some of our Level 3 investments using a market approach valuation technique are valued using the average of the bids from brokers or dealers. The bids include a disclaimer, have no corroborating evidence, may be the result of a disorderly transaction and may be the result of consensus pricing. The Investment Adviser assesses the source and reliability of bids from brokers or dealers. If the board of directors has a bona fide reason to believe any such bids do not reflect the fair value on an investment, it may independently value such investment by using the valuation procedure that it uses with respect to assets for which market quotations are not readily available.</w:t>
      </w:r>
    </w:p>
    <w:p>
      <w:pPr>
        <w:spacing w:after="0" w:line="107" w:lineRule="exact"/>
        <w:rPr>
          <w:sz w:val="20"/>
          <w:szCs w:val="20"/>
          <w:color w:val="auto"/>
        </w:rPr>
      </w:pPr>
    </w:p>
    <w:p>
      <w:pPr>
        <w:ind w:right="260" w:firstLine="425"/>
        <w:spacing w:after="0" w:line="244" w:lineRule="auto"/>
        <w:rPr>
          <w:sz w:val="20"/>
          <w:szCs w:val="20"/>
          <w:color w:val="auto"/>
        </w:rPr>
      </w:pPr>
      <w:r>
        <w:rPr>
          <w:rFonts w:ascii="Arial" w:cs="Arial" w:eastAsia="Arial" w:hAnsi="Arial"/>
          <w:sz w:val="13"/>
          <w:szCs w:val="13"/>
          <w:color w:val="auto"/>
        </w:rPr>
        <w:t>The remainder of our investment portfolio and our long-term Credit Facility are valued using a market comparable or an enterprise market value technique.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its earnings and discounted cash flow, the markets in which the portfolio company does business, comparison to publicly traded securities and other relevant factors. When an external event such as a purchase transaction, public offering or subsequent equity sale occurs, the pricing indicated by the external event, excluding transaction costs, is used to corroborate the valuation. When using earnings multiples to value a portfolio company, the multiple used requires the use of judgment and estimates in determining how a market participant would price such an asset. Generally, the sensitivity of unobservable inputs or combination of inputs such as industry comparable companies, market outlook, consistency, discount rates and reliability of earnings and prospects for growth, or lack thereof, affects the multiple used in pricing an investment. As a result, any change in any one of those factors may have a significant impact on the valuation of an investment. Generally, an increase in a market yield will result in a decrease in the valuation of a debt investment, while a decrease in a market yield will have the opposite effect. Generally, an increase in an EBITDA multiple will result in an increase in the valuation of an investment, while a decrease in an EBITDA multiple will have the opposite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118" w:right="439" w:bottom="1440" w:gutter="0" w:footer="0" w:header="0"/>
        </w:sectPr>
      </w:pPr>
    </w:p>
    <w:bookmarkStart w:id="18" w:name="page19"/>
    <w:bookmarkEnd w:id="18"/>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80"/>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80"/>
        <w:spacing w:after="0"/>
        <w:rPr>
          <w:sz w:val="20"/>
          <w:szCs w:val="20"/>
          <w:color w:val="auto"/>
        </w:rPr>
      </w:pPr>
      <w:r>
        <w:rPr>
          <w:rFonts w:ascii="Arial" w:cs="Arial" w:eastAsia="Arial" w:hAnsi="Arial"/>
          <w:sz w:val="14"/>
          <w:szCs w:val="14"/>
          <w:b w:val="1"/>
          <w:bCs w:val="1"/>
          <w:color w:val="auto"/>
        </w:rPr>
        <w:t>(Unaudited)</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020" w:type="dxa"/>
            <w:vAlign w:val="bottom"/>
            <w:gridSpan w:val="9"/>
          </w:tcPr>
          <w:p>
            <w:pPr>
              <w:ind w:left="460"/>
              <w:spacing w:after="0"/>
              <w:rPr>
                <w:sz w:val="20"/>
                <w:szCs w:val="20"/>
                <w:color w:val="auto"/>
              </w:rPr>
            </w:pPr>
            <w:r>
              <w:rPr>
                <w:rFonts w:ascii="Arial" w:cs="Arial" w:eastAsia="Arial" w:hAnsi="Arial"/>
                <w:sz w:val="14"/>
                <w:szCs w:val="14"/>
                <w:color w:val="auto"/>
              </w:rPr>
              <w:t>Our Level 3 valuation techniques, unobservable inputs and ranges were categorized as follows for ASC 820 purposes:</w:t>
            </w:r>
          </w:p>
        </w:tc>
        <w:tc>
          <w:tcPr>
            <w:tcW w:w="2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2580" w:type="dxa"/>
            <w:vAlign w:val="bottom"/>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1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23"/>
                <w:szCs w:val="23"/>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5"/>
              </w:rPr>
              <w:t>Range of Input</w:t>
            </w:r>
          </w:p>
        </w:tc>
        <w:tc>
          <w:tcPr>
            <w:tcW w:w="0" w:type="dxa"/>
            <w:vAlign w:val="bottom"/>
          </w:tcPr>
          <w:p>
            <w:pPr>
              <w:spacing w:after="0"/>
              <w:rPr>
                <w:sz w:val="1"/>
                <w:szCs w:val="1"/>
                <w:color w:val="auto"/>
              </w:rPr>
            </w:pPr>
          </w:p>
        </w:tc>
      </w:tr>
      <w:tr>
        <w:trPr>
          <w:trHeight w:val="171"/>
        </w:trPr>
        <w:tc>
          <w:tcPr>
            <w:tcW w:w="258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ind w:right="328"/>
              <w:spacing w:after="0"/>
              <w:rPr>
                <w:sz w:val="20"/>
                <w:szCs w:val="20"/>
                <w:color w:val="auto"/>
              </w:rPr>
            </w:pPr>
            <w:r>
              <w:rPr>
                <w:rFonts w:ascii="Arial" w:cs="Arial" w:eastAsia="Arial" w:hAnsi="Arial"/>
                <w:sz w:val="14"/>
                <w:szCs w:val="14"/>
                <w:b w:val="1"/>
                <w:bCs w:val="1"/>
                <w:color w:val="auto"/>
              </w:rPr>
              <w:t>June 30, 2018</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2"/>
              </w:rPr>
              <w:t>(Weighted Average)</w:t>
            </w: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Second lien</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81,523,200</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22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First lien</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442,488,489</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4"/>
              </w:rPr>
              <w:t>7.1% – 16.9% (10.1%)</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Second lien</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3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309,956,220</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3"/>
              </w:rPr>
              <w:t>10.6% – 16.4% (13.2%)</w:t>
            </w:r>
          </w:p>
        </w:tc>
        <w:tc>
          <w:tcPr>
            <w:tcW w:w="0" w:type="dxa"/>
            <w:vAlign w:val="bottom"/>
          </w:tcPr>
          <w:p>
            <w:pPr>
              <w:spacing w:after="0"/>
              <w:rPr>
                <w:sz w:val="1"/>
                <w:szCs w:val="1"/>
                <w:color w:val="auto"/>
              </w:rPr>
            </w:pPr>
          </w:p>
        </w:tc>
      </w:tr>
      <w:tr>
        <w:trPr>
          <w:trHeight w:val="162"/>
        </w:trPr>
        <w:tc>
          <w:tcPr>
            <w:tcW w:w="2580" w:type="dxa"/>
            <w:vAlign w:val="bottom"/>
          </w:tcPr>
          <w:p>
            <w:pPr>
              <w:spacing w:after="0"/>
              <w:rPr>
                <w:sz w:val="20"/>
                <w:szCs w:val="20"/>
                <w:color w:val="auto"/>
              </w:rPr>
            </w:pPr>
            <w:r>
              <w:rPr>
                <w:rFonts w:ascii="Arial" w:cs="Arial" w:eastAsia="Arial" w:hAnsi="Arial"/>
                <w:sz w:val="14"/>
                <w:szCs w:val="14"/>
                <w:color w:val="auto"/>
              </w:rPr>
              <w:t>Subordinated debt / corporate notes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33,840,084</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tcPr>
          <w:p>
            <w:pPr>
              <w:jc w:val="center"/>
              <w:spacing w:after="0"/>
              <w:rPr>
                <w:sz w:val="20"/>
                <w:szCs w:val="20"/>
                <w:color w:val="auto"/>
              </w:rPr>
            </w:pPr>
            <w:r>
              <w:rPr>
                <w:rFonts w:ascii="Arial" w:cs="Arial" w:eastAsia="Arial" w:hAnsi="Arial"/>
                <w:sz w:val="14"/>
                <w:szCs w:val="14"/>
                <w:color w:val="auto"/>
                <w:w w:val="93"/>
              </w:rPr>
              <w:t>15.3% – 15.3% (15.3%)</w:t>
            </w:r>
          </w:p>
        </w:tc>
        <w:tc>
          <w:tcPr>
            <w:tcW w:w="0" w:type="dxa"/>
            <w:vAlign w:val="bottom"/>
          </w:tcPr>
          <w:p>
            <w:pPr>
              <w:spacing w:after="0"/>
              <w:rPr>
                <w:sz w:val="1"/>
                <w:szCs w:val="1"/>
                <w:color w:val="auto"/>
              </w:rPr>
            </w:pPr>
          </w:p>
        </w:tc>
      </w:tr>
      <w:tr>
        <w:trPr>
          <w:trHeight w:val="162"/>
        </w:trPr>
        <w:tc>
          <w:tcPr>
            <w:tcW w:w="2580" w:type="dxa"/>
            <w:vAlign w:val="bottom"/>
            <w:shd w:val="clear" w:color="auto" w:fill="CCECFF"/>
          </w:tcPr>
          <w:p>
            <w:pPr>
              <w:spacing w:after="0"/>
              <w:rPr>
                <w:sz w:val="20"/>
                <w:szCs w:val="20"/>
                <w:color w:val="auto"/>
              </w:rPr>
            </w:pPr>
            <w:r>
              <w:rPr>
                <w:rFonts w:ascii="Arial" w:cs="Arial" w:eastAsia="Arial" w:hAnsi="Arial"/>
                <w:sz w:val="14"/>
                <w:szCs w:val="14"/>
                <w:color w:val="auto"/>
              </w:rPr>
              <w:t>Equity</w:t>
            </w:r>
          </w:p>
        </w:tc>
        <w:tc>
          <w:tcPr>
            <w:tcW w:w="160" w:type="dxa"/>
            <w:vAlign w:val="bottom"/>
            <w:shd w:val="clear" w:color="auto" w:fill="CCECFF"/>
          </w:tcPr>
          <w:p>
            <w:pPr>
              <w:spacing w:after="0"/>
              <w:rPr>
                <w:sz w:val="14"/>
                <w:szCs w:val="14"/>
                <w:color w:val="auto"/>
              </w:rPr>
            </w:pPr>
          </w:p>
        </w:tc>
        <w:tc>
          <w:tcPr>
            <w:tcW w:w="240" w:type="dxa"/>
            <w:vAlign w:val="bottom"/>
            <w:tcBorders>
              <w:bottom w:val="single" w:sz="8" w:color="auto"/>
            </w:tcBorders>
            <w:shd w:val="clear" w:color="auto" w:fill="CCECFF"/>
          </w:tcPr>
          <w:p>
            <w:pPr>
              <w:spacing w:after="0"/>
              <w:rPr>
                <w:sz w:val="14"/>
                <w:szCs w:val="14"/>
                <w:color w:val="auto"/>
              </w:rPr>
            </w:pPr>
          </w:p>
        </w:tc>
        <w:tc>
          <w:tcPr>
            <w:tcW w:w="13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155,927,927</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4"/>
              </w:rPr>
              <w:t>2.0x – 16.3x (8.1x)</w:t>
            </w:r>
          </w:p>
        </w:tc>
        <w:tc>
          <w:tcPr>
            <w:tcW w:w="0" w:type="dxa"/>
            <w:vAlign w:val="bottom"/>
          </w:tcPr>
          <w:p>
            <w:pPr>
              <w:spacing w:after="0"/>
              <w:rPr>
                <w:sz w:val="1"/>
                <w:szCs w:val="1"/>
                <w:color w:val="auto"/>
              </w:rPr>
            </w:pPr>
          </w:p>
        </w:tc>
      </w:tr>
      <w:tr>
        <w:trPr>
          <w:trHeight w:val="195"/>
        </w:trPr>
        <w:tc>
          <w:tcPr>
            <w:tcW w:w="2580" w:type="dxa"/>
            <w:vAlign w:val="bottom"/>
            <w:tcBorders>
              <w:bottom w:val="single" w:sz="8" w:color="CCECFF"/>
            </w:tcBorders>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160" w:type="dxa"/>
            <w:vAlign w:val="bottom"/>
            <w:tcBorders>
              <w:bottom w:val="single" w:sz="8" w:color="CCECFF"/>
            </w:tcBorders>
          </w:tcPr>
          <w:p>
            <w:pPr>
              <w:spacing w:after="0"/>
              <w:rPr>
                <w:sz w:val="17"/>
                <w:szCs w:val="17"/>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1,023,735,920</w:t>
            </w:r>
          </w:p>
        </w:tc>
        <w:tc>
          <w:tcPr>
            <w:tcW w:w="2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040" w:type="dxa"/>
            <w:vAlign w:val="bottom"/>
            <w:tcBorders>
              <w:bottom w:val="single" w:sz="8" w:color="CCECFF"/>
            </w:tcBorders>
          </w:tcPr>
          <w:p>
            <w:pPr>
              <w:spacing w:after="0"/>
              <w:rPr>
                <w:sz w:val="17"/>
                <w:szCs w:val="17"/>
                <w:color w:val="auto"/>
              </w:rPr>
            </w:pPr>
          </w:p>
        </w:tc>
        <w:tc>
          <w:tcPr>
            <w:tcW w:w="160" w:type="dxa"/>
            <w:vAlign w:val="bottom"/>
            <w:tcBorders>
              <w:bottom w:val="single" w:sz="8" w:color="CCECFF"/>
            </w:tcBorders>
          </w:tcPr>
          <w:p>
            <w:pPr>
              <w:spacing w:after="0"/>
              <w:rPr>
                <w:sz w:val="17"/>
                <w:szCs w:val="17"/>
                <w:color w:val="auto"/>
              </w:rPr>
            </w:pPr>
          </w:p>
        </w:tc>
        <w:tc>
          <w:tcPr>
            <w:tcW w:w="222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258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Long-Term Credit Facility</w:t>
            </w:r>
          </w:p>
        </w:tc>
        <w:tc>
          <w:tcPr>
            <w:tcW w:w="160" w:type="dxa"/>
            <w:vAlign w:val="bottom"/>
            <w:tcBorders>
              <w:bottom w:val="single" w:sz="8" w:color="CCECFF"/>
            </w:tcBorders>
            <w:shd w:val="clear" w:color="auto" w:fill="CCECFF"/>
          </w:tcPr>
          <w:p>
            <w:pPr>
              <w:spacing w:after="0"/>
              <w:rPr>
                <w:sz w:val="12"/>
                <w:szCs w:val="12"/>
                <w:color w:val="auto"/>
              </w:rPr>
            </w:pPr>
          </w:p>
        </w:tc>
        <w:tc>
          <w:tcPr>
            <w:tcW w:w="240" w:type="dxa"/>
            <w:vAlign w:val="bottom"/>
            <w:tcBorders>
              <w:bottom w:val="single" w:sz="8" w:color="auto"/>
            </w:tcBorders>
            <w:shd w:val="clear" w:color="auto" w:fill="CCECFF"/>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39,310,563</w:t>
            </w:r>
          </w:p>
        </w:tc>
        <w:tc>
          <w:tcPr>
            <w:tcW w:w="260" w:type="dxa"/>
            <w:vAlign w:val="bottom"/>
            <w:tcBorders>
              <w:bottom w:val="single" w:sz="8" w:color="CCECFF"/>
            </w:tcBorders>
            <w:shd w:val="clear" w:color="auto" w:fill="CCECFF"/>
          </w:tcPr>
          <w:p>
            <w:pPr>
              <w:spacing w:after="0"/>
              <w:rPr>
                <w:sz w:val="12"/>
                <w:szCs w:val="12"/>
                <w:color w:val="auto"/>
              </w:rPr>
            </w:pP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4"/>
              </w:rPr>
              <w:t>Market Comparable</w:t>
            </w:r>
          </w:p>
        </w:tc>
        <w:tc>
          <w:tcPr>
            <w:tcW w:w="2200" w:type="dxa"/>
            <w:vAlign w:val="bottom"/>
            <w:tcBorders>
              <w:bottom w:val="single" w:sz="8" w:color="CCECFF"/>
            </w:tcBorders>
            <w:gridSpan w:val="2"/>
            <w:shd w:val="clear" w:color="auto" w:fill="CCECFF"/>
          </w:tcPr>
          <w:p>
            <w:pPr>
              <w:jc w:val="center"/>
              <w:ind w:right="160"/>
              <w:spacing w:after="0" w:line="143" w:lineRule="exact"/>
              <w:rPr>
                <w:sz w:val="20"/>
                <w:szCs w:val="20"/>
                <w:color w:val="auto"/>
              </w:rPr>
            </w:pPr>
            <w:r>
              <w:rPr>
                <w:rFonts w:ascii="Arial" w:cs="Arial" w:eastAsia="Arial" w:hAnsi="Arial"/>
                <w:sz w:val="14"/>
                <w:szCs w:val="14"/>
                <w:color w:val="auto"/>
                <w:w w:val="97"/>
              </w:rPr>
              <w:t>Market Yield</w:t>
            </w:r>
          </w:p>
        </w:tc>
        <w:tc>
          <w:tcPr>
            <w:tcW w:w="2220" w:type="dxa"/>
            <w:vAlign w:val="bottom"/>
            <w:tcBorders>
              <w:bottom w:val="single" w:sz="8" w:color="CCECFF"/>
            </w:tcBorders>
            <w:shd w:val="clear" w:color="auto" w:fill="CCECFF"/>
          </w:tcPr>
          <w:p>
            <w:pPr>
              <w:jc w:val="center"/>
              <w:spacing w:after="0" w:line="143" w:lineRule="exact"/>
              <w:rPr>
                <w:sz w:val="20"/>
                <w:szCs w:val="20"/>
                <w:color w:val="auto"/>
              </w:rPr>
            </w:pPr>
            <w:r>
              <w:rPr>
                <w:rFonts w:ascii="Arial" w:cs="Arial" w:eastAsia="Arial" w:hAnsi="Arial"/>
                <w:sz w:val="14"/>
                <w:szCs w:val="14"/>
                <w:color w:val="auto"/>
                <w:w w:val="93"/>
              </w:rPr>
              <w:t>5.3%</w:t>
            </w: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348"/>
              <w:spacing w:after="0"/>
              <w:rPr>
                <w:sz w:val="20"/>
                <w:szCs w:val="20"/>
                <w:color w:val="auto"/>
              </w:rPr>
            </w:pPr>
            <w:r>
              <w:rPr>
                <w:rFonts w:ascii="Arial" w:cs="Arial" w:eastAsia="Arial" w:hAnsi="Arial"/>
                <w:sz w:val="14"/>
                <w:szCs w:val="14"/>
                <w:b w:val="1"/>
                <w:bCs w:val="1"/>
                <w:color w:val="auto"/>
              </w:rPr>
              <w:t>Fair Value at</w:t>
            </w:r>
          </w:p>
        </w:tc>
        <w:tc>
          <w:tcPr>
            <w:tcW w:w="260" w:type="dxa"/>
            <w:vAlign w:val="bottom"/>
          </w:tcPr>
          <w:p>
            <w:pPr>
              <w:spacing w:after="0"/>
              <w:rPr>
                <w:sz w:val="14"/>
                <w:szCs w:val="14"/>
                <w:color w:val="auto"/>
              </w:rPr>
            </w:pPr>
          </w:p>
        </w:tc>
        <w:tc>
          <w:tcPr>
            <w:tcW w:w="22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1"/>
              </w:rPr>
              <w:t>Valuation Technique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4"/>
              </w:rPr>
              <w:t>Unobservable Input</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Range of Input</w:t>
            </w:r>
          </w:p>
        </w:tc>
        <w:tc>
          <w:tcPr>
            <w:tcW w:w="0" w:type="dxa"/>
            <w:vAlign w:val="bottom"/>
          </w:tcPr>
          <w:p>
            <w:pPr>
              <w:spacing w:after="0"/>
              <w:rPr>
                <w:sz w:val="1"/>
                <w:szCs w:val="1"/>
                <w:color w:val="auto"/>
              </w:rPr>
            </w:pPr>
          </w:p>
        </w:tc>
      </w:tr>
      <w:tr>
        <w:trPr>
          <w:trHeight w:val="171"/>
        </w:trPr>
        <w:tc>
          <w:tcPr>
            <w:tcW w:w="274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September 30, 2017</w:t>
            </w:r>
          </w:p>
        </w:tc>
        <w:tc>
          <w:tcPr>
            <w:tcW w:w="2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55"/>
        </w:trPr>
        <w:tc>
          <w:tcPr>
            <w:tcW w:w="258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First lien</w:t>
            </w:r>
          </w:p>
        </w:tc>
        <w:tc>
          <w:tcPr>
            <w:tcW w:w="1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14,820,000</w:t>
            </w:r>
          </w:p>
        </w:tc>
        <w:tc>
          <w:tcPr>
            <w:tcW w:w="2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Market Comparable</w:t>
            </w:r>
          </w:p>
        </w:tc>
        <w:tc>
          <w:tcPr>
            <w:tcW w:w="160" w:type="dxa"/>
            <w:vAlign w:val="bottom"/>
            <w:tcBorders>
              <w:top w:val="single" w:sz="8" w:color="CCECFF"/>
            </w:tcBorders>
            <w:shd w:val="clear" w:color="auto" w:fill="CCECFF"/>
          </w:tcPr>
          <w:p>
            <w:pPr>
              <w:spacing w:after="0"/>
              <w:rPr>
                <w:sz w:val="13"/>
                <w:szCs w:val="13"/>
                <w:color w:val="auto"/>
              </w:rPr>
            </w:pPr>
          </w:p>
        </w:tc>
        <w:tc>
          <w:tcPr>
            <w:tcW w:w="204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4"/>
              </w:rPr>
              <w:t>Broker/Dealer bids or quotes</w:t>
            </w:r>
          </w:p>
        </w:tc>
        <w:tc>
          <w:tcPr>
            <w:tcW w:w="160" w:type="dxa"/>
            <w:vAlign w:val="bottom"/>
            <w:tcBorders>
              <w:top w:val="single" w:sz="8" w:color="CCECFF"/>
            </w:tcBorders>
            <w:shd w:val="clear" w:color="auto" w:fill="CCECFF"/>
          </w:tcPr>
          <w:p>
            <w:pPr>
              <w:spacing w:after="0"/>
              <w:rPr>
                <w:sz w:val="13"/>
                <w:szCs w:val="13"/>
                <w:color w:val="auto"/>
              </w:rPr>
            </w:pPr>
          </w:p>
        </w:tc>
        <w:tc>
          <w:tcPr>
            <w:tcW w:w="21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rPr>
              <w:t>N/A</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96,885,313</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Broker/Dealer bids or quotes</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rPr>
              <w:t>N/A</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First lien</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451,256,352</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40"/>
              <w:spacing w:after="0"/>
              <w:rPr>
                <w:sz w:val="20"/>
                <w:szCs w:val="20"/>
                <w:color w:val="auto"/>
              </w:rPr>
            </w:pPr>
            <w:r>
              <w:rPr>
                <w:rFonts w:ascii="Arial" w:cs="Arial" w:eastAsia="Arial" w:hAnsi="Arial"/>
                <w:sz w:val="14"/>
                <w:szCs w:val="14"/>
                <w:color w:val="auto"/>
                <w:w w:val="94"/>
              </w:rPr>
              <w:t>8.1% – 14.0% (11.0%)</w:t>
            </w:r>
          </w:p>
        </w:tc>
        <w:tc>
          <w:tcPr>
            <w:tcW w:w="0" w:type="dxa"/>
            <w:vAlign w:val="bottom"/>
          </w:tcPr>
          <w:p>
            <w:pPr>
              <w:spacing w:after="0"/>
              <w:rPr>
                <w:sz w:val="1"/>
                <w:szCs w:val="1"/>
                <w:color w:val="auto"/>
              </w:rPr>
            </w:pPr>
          </w:p>
        </w:tc>
      </w:tr>
      <w:tr>
        <w:trPr>
          <w:trHeight w:val="162"/>
        </w:trPr>
        <w:tc>
          <w:tcPr>
            <w:tcW w:w="2740" w:type="dxa"/>
            <w:vAlign w:val="bottom"/>
            <w:gridSpan w:val="2"/>
          </w:tcPr>
          <w:p>
            <w:pPr>
              <w:spacing w:after="0"/>
              <w:rPr>
                <w:sz w:val="20"/>
                <w:szCs w:val="20"/>
                <w:color w:val="auto"/>
              </w:rPr>
            </w:pPr>
            <w:r>
              <w:rPr>
                <w:rFonts w:ascii="Arial" w:cs="Arial" w:eastAsia="Arial" w:hAnsi="Arial"/>
                <w:sz w:val="14"/>
                <w:szCs w:val="14"/>
                <w:color w:val="auto"/>
              </w:rPr>
              <w:t>Second lien</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302,659,070</w:t>
            </w:r>
          </w:p>
        </w:tc>
        <w:tc>
          <w:tcPr>
            <w:tcW w:w="260" w:type="dxa"/>
            <w:vAlign w:val="bottom"/>
          </w:tcPr>
          <w:p>
            <w:pPr>
              <w:spacing w:after="0"/>
              <w:rPr>
                <w:sz w:val="14"/>
                <w:szCs w:val="14"/>
                <w:color w:val="auto"/>
              </w:rPr>
            </w:pP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tcPr>
          <w:p>
            <w:pPr>
              <w:jc w:val="center"/>
              <w:ind w:right="140"/>
              <w:spacing w:after="0"/>
              <w:rPr>
                <w:sz w:val="20"/>
                <w:szCs w:val="20"/>
                <w:color w:val="auto"/>
              </w:rPr>
            </w:pPr>
            <w:r>
              <w:rPr>
                <w:rFonts w:ascii="Arial" w:cs="Arial" w:eastAsia="Arial" w:hAnsi="Arial"/>
                <w:sz w:val="14"/>
                <w:szCs w:val="14"/>
                <w:color w:val="auto"/>
                <w:w w:val="94"/>
              </w:rPr>
              <w:t>9.6% – 14.6% (12.2%)</w:t>
            </w:r>
          </w:p>
        </w:tc>
        <w:tc>
          <w:tcPr>
            <w:tcW w:w="0" w:type="dxa"/>
            <w:vAlign w:val="bottom"/>
          </w:tcPr>
          <w:p>
            <w:pPr>
              <w:spacing w:after="0"/>
              <w:rPr>
                <w:sz w:val="1"/>
                <w:szCs w:val="1"/>
                <w:color w:val="auto"/>
              </w:rPr>
            </w:pPr>
          </w:p>
        </w:tc>
      </w:tr>
      <w:tr>
        <w:trPr>
          <w:trHeight w:val="162"/>
        </w:trPr>
        <w:tc>
          <w:tcPr>
            <w:tcW w:w="274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Subordinated debt / corporate notes</w:t>
            </w:r>
          </w:p>
        </w:tc>
        <w:tc>
          <w:tcPr>
            <w:tcW w:w="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4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120,707,763</w:t>
            </w:r>
          </w:p>
        </w:tc>
        <w:tc>
          <w:tcPr>
            <w:tcW w:w="260" w:type="dxa"/>
            <w:vAlign w:val="bottom"/>
            <w:shd w:val="clear" w:color="auto" w:fill="CCECFF"/>
          </w:tcPr>
          <w:p>
            <w:pPr>
              <w:spacing w:after="0"/>
              <w:rPr>
                <w:sz w:val="14"/>
                <w:szCs w:val="14"/>
                <w:color w:val="auto"/>
              </w:rPr>
            </w:pP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shd w:val="clear" w:color="auto" w:fill="CCECFF"/>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220" w:type="dxa"/>
            <w:vAlign w:val="bottom"/>
            <w:gridSpan w:val="2"/>
            <w:shd w:val="clear" w:color="auto" w:fill="CCECFF"/>
          </w:tcPr>
          <w:p>
            <w:pPr>
              <w:jc w:val="center"/>
              <w:ind w:right="120"/>
              <w:spacing w:after="0"/>
              <w:rPr>
                <w:sz w:val="20"/>
                <w:szCs w:val="20"/>
                <w:color w:val="auto"/>
              </w:rPr>
            </w:pPr>
            <w:r>
              <w:rPr>
                <w:rFonts w:ascii="Arial" w:cs="Arial" w:eastAsia="Arial" w:hAnsi="Arial"/>
                <w:sz w:val="14"/>
                <w:szCs w:val="14"/>
                <w:color w:val="auto"/>
                <w:w w:val="93"/>
              </w:rPr>
              <w:t>11.6% – 20.5% (14.3%)</w:t>
            </w:r>
          </w:p>
        </w:tc>
        <w:tc>
          <w:tcPr>
            <w:tcW w:w="0" w:type="dxa"/>
            <w:vAlign w:val="bottom"/>
          </w:tcPr>
          <w:p>
            <w:pPr>
              <w:spacing w:after="0"/>
              <w:rPr>
                <w:sz w:val="1"/>
                <w:szCs w:val="1"/>
                <w:color w:val="auto"/>
              </w:rPr>
            </w:pPr>
          </w:p>
        </w:tc>
      </w:tr>
      <w:tr>
        <w:trPr>
          <w:trHeight w:val="162"/>
        </w:trPr>
        <w:tc>
          <w:tcPr>
            <w:tcW w:w="2740" w:type="dxa"/>
            <w:vAlign w:val="bottom"/>
            <w:tcBorders>
              <w:bottom w:val="single" w:sz="8" w:color="CCECFF"/>
            </w:tcBorders>
            <w:gridSpan w:val="2"/>
          </w:tcPr>
          <w:p>
            <w:pPr>
              <w:spacing w:after="0"/>
              <w:rPr>
                <w:sz w:val="20"/>
                <w:szCs w:val="20"/>
                <w:color w:val="auto"/>
              </w:rPr>
            </w:pPr>
            <w:r>
              <w:rPr>
                <w:rFonts w:ascii="Arial" w:cs="Arial" w:eastAsia="Arial" w:hAnsi="Arial"/>
                <w:sz w:val="14"/>
                <w:szCs w:val="14"/>
                <w:color w:val="auto"/>
              </w:rPr>
              <w:t>Equity</w:t>
            </w:r>
          </w:p>
        </w:tc>
        <w:tc>
          <w:tcPr>
            <w:tcW w:w="20" w:type="dxa"/>
            <w:vAlign w:val="bottom"/>
            <w:tcBorders>
              <w:bottom w:val="single" w:sz="8" w:color="CCEC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166,268,568</w:t>
            </w:r>
          </w:p>
        </w:tc>
        <w:tc>
          <w:tcPr>
            <w:tcW w:w="260" w:type="dxa"/>
            <w:vAlign w:val="bottom"/>
            <w:tcBorders>
              <w:bottom w:val="single" w:sz="8" w:color="CCECFF"/>
            </w:tcBorders>
          </w:tcPr>
          <w:p>
            <w:pPr>
              <w:spacing w:after="0"/>
              <w:rPr>
                <w:sz w:val="14"/>
                <w:szCs w:val="14"/>
                <w:color w:val="auto"/>
              </w:rPr>
            </w:pP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w w:val="93"/>
              </w:rPr>
              <w:t>Enterprise Market Value</w:t>
            </w:r>
          </w:p>
        </w:tc>
        <w:tc>
          <w:tcPr>
            <w:tcW w:w="2200" w:type="dxa"/>
            <w:vAlign w:val="bottom"/>
            <w:tcBorders>
              <w:bottom w:val="single" w:sz="8" w:color="CCECFF"/>
            </w:tcBorders>
            <w:gridSpan w:val="2"/>
          </w:tcPr>
          <w:p>
            <w:pPr>
              <w:jc w:val="center"/>
              <w:ind w:right="160"/>
              <w:spacing w:after="0"/>
              <w:rPr>
                <w:sz w:val="20"/>
                <w:szCs w:val="20"/>
                <w:color w:val="auto"/>
              </w:rPr>
            </w:pPr>
            <w:r>
              <w:rPr>
                <w:rFonts w:ascii="Arial" w:cs="Arial" w:eastAsia="Arial" w:hAnsi="Arial"/>
                <w:sz w:val="14"/>
                <w:szCs w:val="14"/>
                <w:color w:val="auto"/>
              </w:rPr>
              <w:t>EBITDA multiple</w:t>
            </w:r>
          </w:p>
        </w:tc>
        <w:tc>
          <w:tcPr>
            <w:tcW w:w="2220" w:type="dxa"/>
            <w:vAlign w:val="bottom"/>
            <w:tcBorders>
              <w:bottom w:val="single" w:sz="8" w:color="CCECFF"/>
            </w:tcBorders>
            <w:gridSpan w:val="2"/>
          </w:tcPr>
          <w:p>
            <w:pPr>
              <w:jc w:val="center"/>
              <w:ind w:right="120"/>
              <w:spacing w:after="0"/>
              <w:rPr>
                <w:sz w:val="20"/>
                <w:szCs w:val="20"/>
                <w:color w:val="auto"/>
              </w:rPr>
            </w:pPr>
            <w:r>
              <w:rPr>
                <w:rFonts w:ascii="Arial" w:cs="Arial" w:eastAsia="Arial" w:hAnsi="Arial"/>
                <w:sz w:val="14"/>
                <w:szCs w:val="14"/>
                <w:color w:val="auto"/>
                <w:w w:val="94"/>
              </w:rPr>
              <w:t>4.8x – 15.8x (8.2x)</w:t>
            </w:r>
          </w:p>
        </w:tc>
        <w:tc>
          <w:tcPr>
            <w:tcW w:w="0" w:type="dxa"/>
            <w:vAlign w:val="bottom"/>
          </w:tcPr>
          <w:p>
            <w:pPr>
              <w:spacing w:after="0"/>
              <w:rPr>
                <w:sz w:val="1"/>
                <w:szCs w:val="1"/>
                <w:color w:val="auto"/>
              </w:rPr>
            </w:pPr>
          </w:p>
        </w:tc>
      </w:tr>
      <w:tr>
        <w:trPr>
          <w:trHeight w:val="156"/>
        </w:trPr>
        <w:tc>
          <w:tcPr>
            <w:tcW w:w="2740" w:type="dxa"/>
            <w:vAlign w:val="bottom"/>
            <w:tcBorders>
              <w:bottom w:val="single" w:sz="8" w:color="CCECFF"/>
            </w:tcBorders>
            <w:gridSpan w:val="2"/>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Level 3 investments</w:t>
            </w:r>
          </w:p>
        </w:tc>
        <w:tc>
          <w:tcPr>
            <w:tcW w:w="2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auto"/>
            </w:tcBorders>
            <w:shd w:val="clear" w:color="auto" w:fill="CCECFF"/>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2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040" w:type="dxa"/>
            <w:vAlign w:val="bottom"/>
            <w:tcBorders>
              <w:bottom w:val="single" w:sz="8" w:color="CCECFF"/>
            </w:tcBorders>
            <w:shd w:val="clear" w:color="auto" w:fill="CCECFF"/>
          </w:tcPr>
          <w:p>
            <w:pPr>
              <w:spacing w:after="0"/>
              <w:rPr>
                <w:sz w:val="13"/>
                <w:szCs w:val="13"/>
                <w:color w:val="auto"/>
              </w:rPr>
            </w:pPr>
          </w:p>
        </w:tc>
        <w:tc>
          <w:tcPr>
            <w:tcW w:w="160" w:type="dxa"/>
            <w:vAlign w:val="bottom"/>
            <w:tcBorders>
              <w:bottom w:val="single" w:sz="8" w:color="CCECFF"/>
            </w:tcBorders>
            <w:shd w:val="clear" w:color="auto" w:fill="CCECFF"/>
          </w:tcPr>
          <w:p>
            <w:pPr>
              <w:spacing w:after="0"/>
              <w:rPr>
                <w:sz w:val="13"/>
                <w:szCs w:val="13"/>
                <w:color w:val="auto"/>
              </w:rPr>
            </w:pPr>
          </w:p>
        </w:tc>
        <w:tc>
          <w:tcPr>
            <w:tcW w:w="2100" w:type="dxa"/>
            <w:vAlign w:val="bottom"/>
            <w:tcBorders>
              <w:bottom w:val="single" w:sz="8" w:color="CCECFF"/>
            </w:tcBorders>
            <w:shd w:val="clear" w:color="auto" w:fill="CCECFF"/>
          </w:tcPr>
          <w:p>
            <w:pPr>
              <w:spacing w:after="0"/>
              <w:rPr>
                <w:sz w:val="13"/>
                <w:szCs w:val="13"/>
                <w:color w:val="auto"/>
              </w:rPr>
            </w:pPr>
          </w:p>
        </w:tc>
        <w:tc>
          <w:tcPr>
            <w:tcW w:w="120" w:type="dxa"/>
            <w:vAlign w:val="bottom"/>
            <w:tcBorders>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4"/>
                <w:szCs w:val="14"/>
                <w:color w:val="auto"/>
              </w:rPr>
              <w:t>Long-Term Credit Facility</w:t>
            </w:r>
          </w:p>
        </w:tc>
        <w:tc>
          <w:tcPr>
            <w:tcW w:w="14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4"/>
              </w:rPr>
              <w:t>Market Comparable</w:t>
            </w:r>
          </w:p>
        </w:tc>
        <w:tc>
          <w:tcPr>
            <w:tcW w:w="2200" w:type="dxa"/>
            <w:vAlign w:val="bottom"/>
            <w:gridSpan w:val="2"/>
            <w:vMerge w:val="restart"/>
          </w:tcPr>
          <w:p>
            <w:pPr>
              <w:jc w:val="center"/>
              <w:ind w:right="160"/>
              <w:spacing w:after="0"/>
              <w:rPr>
                <w:sz w:val="20"/>
                <w:szCs w:val="20"/>
                <w:color w:val="auto"/>
              </w:rPr>
            </w:pPr>
            <w:r>
              <w:rPr>
                <w:rFonts w:ascii="Arial" w:cs="Arial" w:eastAsia="Arial" w:hAnsi="Arial"/>
                <w:sz w:val="14"/>
                <w:szCs w:val="14"/>
                <w:color w:val="auto"/>
                <w:w w:val="97"/>
              </w:rPr>
              <w:t>Market Yield</w:t>
            </w:r>
          </w:p>
        </w:tc>
        <w:tc>
          <w:tcPr>
            <w:tcW w:w="2100" w:type="dxa"/>
            <w:vAlign w:val="bottom"/>
            <w:vMerge w:val="restart"/>
          </w:tcPr>
          <w:p>
            <w:pPr>
              <w:jc w:val="right"/>
              <w:ind w:right="788"/>
              <w:spacing w:after="0"/>
              <w:rPr>
                <w:sz w:val="20"/>
                <w:szCs w:val="20"/>
                <w:color w:val="auto"/>
              </w:rPr>
            </w:pPr>
            <w:r>
              <w:rPr>
                <w:rFonts w:ascii="Arial" w:cs="Arial" w:eastAsia="Arial" w:hAnsi="Arial"/>
                <w:sz w:val="14"/>
                <w:szCs w:val="14"/>
                <w:color w:val="auto"/>
              </w:rPr>
              <w:t>4.3%</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740" w:type="dxa"/>
            <w:vAlign w:val="bottom"/>
            <w:gridSpan w:val="2"/>
            <w:vMerge w:val="continue"/>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48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26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21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investments, cash and cash equivalents, Credit Facility and the 2019 Notes were categorized as follows in the fair value hierarchy for ASC 820 purposes: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180" w:type="dxa"/>
            <w:vAlign w:val="bottom"/>
            <w:gridSpan w:val="5"/>
          </w:tcPr>
          <w:p>
            <w:pPr>
              <w:ind w:left="460"/>
              <w:spacing w:after="0"/>
              <w:rPr>
                <w:sz w:val="20"/>
                <w:szCs w:val="20"/>
                <w:color w:val="auto"/>
              </w:rPr>
            </w:pPr>
            <w:r>
              <w:rPr>
                <w:rFonts w:ascii="Arial" w:cs="Arial" w:eastAsia="Arial" w:hAnsi="Arial"/>
                <w:sz w:val="14"/>
                <w:szCs w:val="14"/>
                <w:b w:val="1"/>
                <w:bCs w:val="1"/>
                <w:color w:val="auto"/>
              </w:rPr>
              <w:t>Fair Value at June 30, 2018</w:t>
            </w: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500" w:type="dxa"/>
            <w:vAlign w:val="bottom"/>
            <w:tcBorders>
              <w:top w:val="single" w:sz="8" w:color="auto"/>
            </w:tcBorders>
            <w:gridSpan w:val="2"/>
          </w:tcPr>
          <w:p>
            <w:pPr>
              <w:ind w:left="160"/>
              <w:spacing w:after="0" w:line="155" w:lineRule="exact"/>
              <w:rPr>
                <w:sz w:val="20"/>
                <w:szCs w:val="20"/>
                <w:color w:val="auto"/>
              </w:rPr>
            </w:pPr>
            <w:r>
              <w:rPr>
                <w:rFonts w:ascii="Arial" w:cs="Arial" w:eastAsia="Arial" w:hAnsi="Arial"/>
                <w:sz w:val="14"/>
                <w:szCs w:val="14"/>
                <w:b w:val="1"/>
                <w:bCs w:val="1"/>
                <w:color w:val="auto"/>
              </w:rPr>
              <w:t>Fair Value</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1</w:t>
            </w:r>
          </w:p>
        </w:tc>
        <w:tc>
          <w:tcPr>
            <w:tcW w:w="26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ind w:left="220"/>
              <w:spacing w:after="0" w:line="155" w:lineRule="exact"/>
              <w:rPr>
                <w:sz w:val="20"/>
                <w:szCs w:val="20"/>
                <w:color w:val="auto"/>
              </w:rPr>
            </w:pPr>
            <w:r>
              <w:rPr>
                <w:rFonts w:ascii="Arial" w:cs="Arial" w:eastAsia="Arial" w:hAnsi="Arial"/>
                <w:sz w:val="14"/>
                <w:szCs w:val="14"/>
                <w:b w:val="1"/>
                <w:bCs w:val="1"/>
                <w:color w:val="auto"/>
              </w:rPr>
              <w:t>Level 2</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867,807,993</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867,807,993</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156,936,843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1,008,916</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155,927,927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240" w:type="dxa"/>
            <w:vAlign w:val="bottom"/>
            <w:tcBorders>
              <w:top w:val="single" w:sz="8" w:color="auto"/>
            </w:tcBorders>
            <w:shd w:val="clear" w:color="auto" w:fill="CCECFF"/>
          </w:tcPr>
          <w:p>
            <w:pPr>
              <w:spacing w:after="0"/>
              <w:rPr>
                <w:sz w:val="13"/>
                <w:szCs w:val="13"/>
                <w:color w:val="auto"/>
              </w:rPr>
            </w:pPr>
          </w:p>
        </w:tc>
        <w:tc>
          <w:tcPr>
            <w:tcW w:w="12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1,024,744,836</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1,008,916</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1,023,735,920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107,091,091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107,091,091</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40" w:type="dxa"/>
            <w:vAlign w:val="bottom"/>
            <w:tcBorders>
              <w:top w:val="single" w:sz="8" w:color="auto"/>
              <w:bottom w:val="single" w:sz="8" w:color="auto"/>
            </w:tcBorders>
            <w:shd w:val="clear" w:color="auto" w:fill="CCECFF"/>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1,131,835,927</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108,100,007</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1,023,735,920</w:t>
            </w:r>
          </w:p>
        </w:tc>
        <w:tc>
          <w:tcPr>
            <w:tcW w:w="12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0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88"/>
              <w:spacing w:after="0" w:line="143"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39,310,563</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39,310,563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240" w:type="dxa"/>
            <w:vAlign w:val="bottom"/>
            <w:shd w:val="clear" w:color="auto" w:fill="CCECFF"/>
          </w:tcPr>
          <w:p>
            <w:pPr>
              <w:spacing w:after="0"/>
              <w:rPr>
                <w:sz w:val="14"/>
                <w:szCs w:val="14"/>
                <w:color w:val="auto"/>
              </w:rPr>
            </w:pPr>
          </w:p>
        </w:tc>
        <w:tc>
          <w:tcPr>
            <w:tcW w:w="12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251,432,500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251,432,500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290,743,063</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251,432,500</w:t>
            </w:r>
          </w:p>
        </w:tc>
        <w:tc>
          <w:tcPr>
            <w:tcW w:w="2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39,310,563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80" w:type="dxa"/>
            <w:vAlign w:val="bottom"/>
            <w:gridSpan w:val="9"/>
          </w:tcPr>
          <w:p>
            <w:pPr>
              <w:jc w:val="right"/>
              <w:ind w:right="860"/>
              <w:spacing w:after="0"/>
              <w:rPr>
                <w:sz w:val="20"/>
                <w:szCs w:val="20"/>
                <w:color w:val="auto"/>
              </w:rPr>
            </w:pPr>
            <w:r>
              <w:rPr>
                <w:rFonts w:ascii="Arial" w:cs="Arial" w:eastAsia="Arial" w:hAnsi="Arial"/>
                <w:sz w:val="14"/>
                <w:szCs w:val="14"/>
                <w:b w:val="1"/>
                <w:bCs w:val="1"/>
                <w:color w:val="auto"/>
              </w:rPr>
              <w:t>Fair Value at September 30, 2017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426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440" w:type="dxa"/>
            <w:vAlign w:val="bottom"/>
            <w:tcBorders>
              <w:top w:val="single" w:sz="8" w:color="auto"/>
            </w:tcBorders>
            <w:gridSpan w:val="2"/>
          </w:tcPr>
          <w:p>
            <w:pPr>
              <w:jc w:val="center"/>
              <w:ind w:right="580"/>
              <w:spacing w:after="0" w:line="155" w:lineRule="exact"/>
              <w:rPr>
                <w:sz w:val="20"/>
                <w:szCs w:val="20"/>
                <w:color w:val="auto"/>
              </w:rPr>
            </w:pPr>
            <w:r>
              <w:rPr>
                <w:rFonts w:ascii="Arial" w:cs="Arial" w:eastAsia="Arial" w:hAnsi="Arial"/>
                <w:sz w:val="14"/>
                <w:szCs w:val="14"/>
                <w:b w:val="1"/>
                <w:bCs w:val="1"/>
                <w:color w:val="auto"/>
                <w:w w:val="98"/>
              </w:rPr>
              <w:t>Fair Value</w:t>
            </w: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right"/>
              <w:ind w:right="740"/>
              <w:spacing w:after="0" w:line="155" w:lineRule="exact"/>
              <w:rPr>
                <w:sz w:val="20"/>
                <w:szCs w:val="20"/>
                <w:color w:val="auto"/>
              </w:rPr>
            </w:pPr>
            <w:r>
              <w:rPr>
                <w:rFonts w:ascii="Arial" w:cs="Arial" w:eastAsia="Arial" w:hAnsi="Arial"/>
                <w:sz w:val="14"/>
                <w:szCs w:val="14"/>
                <w:b w:val="1"/>
                <w:bCs w:val="1"/>
                <w:color w:val="auto"/>
              </w:rPr>
              <w:t>Level 1</w:t>
            </w:r>
          </w:p>
        </w:tc>
        <w:tc>
          <w:tcPr>
            <w:tcW w:w="4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gridSpan w:val="3"/>
          </w:tcPr>
          <w:p>
            <w:pPr>
              <w:jc w:val="right"/>
              <w:ind w:right="780"/>
              <w:spacing w:after="0" w:line="155" w:lineRule="exact"/>
              <w:rPr>
                <w:sz w:val="20"/>
                <w:szCs w:val="20"/>
                <w:color w:val="auto"/>
              </w:rPr>
            </w:pPr>
            <w:r>
              <w:rPr>
                <w:rFonts w:ascii="Arial" w:cs="Arial" w:eastAsia="Arial" w:hAnsi="Arial"/>
                <w:sz w:val="14"/>
                <w:szCs w:val="14"/>
                <w:b w:val="1"/>
                <w:bCs w:val="1"/>
                <w:color w:val="auto"/>
              </w:rPr>
              <w:t>Level 2</w:t>
            </w: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jc w:val="right"/>
              <w:ind w:right="448"/>
              <w:spacing w:after="0" w:line="155"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Debt investments</w:t>
            </w: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26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Equity investments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167,249,010</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980,442</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166,268,568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w:t>
            </w:r>
          </w:p>
        </w:tc>
        <w:tc>
          <w:tcPr>
            <w:tcW w:w="1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1,153,577,508</w:t>
            </w:r>
          </w:p>
        </w:tc>
        <w:tc>
          <w:tcPr>
            <w:tcW w:w="26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10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980,442</w:t>
            </w:r>
          </w:p>
        </w:tc>
        <w:tc>
          <w:tcPr>
            <w:tcW w:w="14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4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spacing w:after="0"/>
              <w:rPr>
                <w:sz w:val="13"/>
                <w:szCs w:val="13"/>
                <w:color w:val="auto"/>
              </w:rPr>
            </w:pP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spacing w:after="0"/>
              <w:rPr>
                <w:sz w:val="20"/>
                <w:szCs w:val="20"/>
                <w:color w:val="auto"/>
              </w:rPr>
            </w:pPr>
            <w:r>
              <w:rPr>
                <w:rFonts w:ascii="Arial" w:cs="Arial" w:eastAsia="Arial" w:hAnsi="Arial"/>
                <w:sz w:val="14"/>
                <w:szCs w:val="14"/>
                <w:color w:val="auto"/>
              </w:rPr>
              <w:t>Cash and cash equivalents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38,202,068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38,202,068</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ind w:left="500"/>
              <w:spacing w:after="0" w:line="155" w:lineRule="exact"/>
              <w:rPr>
                <w:sz w:val="20"/>
                <w:szCs w:val="20"/>
                <w:color w:val="auto"/>
              </w:rPr>
            </w:pPr>
            <w:r>
              <w:rPr>
                <w:rFonts w:ascii="Arial" w:cs="Arial" w:eastAsia="Arial" w:hAnsi="Arial"/>
                <w:sz w:val="14"/>
                <w:szCs w:val="14"/>
                <w:color w:val="auto"/>
              </w:rPr>
              <w:t>Total investments and cash and cash equivalents</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1,191,779,576</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gridSpan w:val="2"/>
            <w:shd w:val="clear" w:color="auto" w:fill="CCECFF"/>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spacing w:after="0"/>
              <w:rPr>
                <w:sz w:val="13"/>
                <w:szCs w:val="13"/>
                <w:color w:val="auto"/>
              </w:rPr>
            </w:pPr>
          </w:p>
        </w:tc>
        <w:tc>
          <w:tcPr>
            <w:tcW w:w="10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39,182,510</w:t>
            </w:r>
          </w:p>
        </w:tc>
        <w:tc>
          <w:tcPr>
            <w:tcW w:w="14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4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shd w:val="clear" w:color="auto" w:fill="CCECFF"/>
          </w:tcPr>
          <w:p>
            <w:pPr>
              <w:spacing w:after="0"/>
              <w:rPr>
                <w:sz w:val="13"/>
                <w:szCs w:val="13"/>
                <w:color w:val="auto"/>
              </w:rPr>
            </w:pP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1,152,597,066</w:t>
            </w:r>
          </w:p>
        </w:tc>
        <w:tc>
          <w:tcPr>
            <w:tcW w:w="20" w:type="dxa"/>
            <w:vAlign w:val="bottom"/>
            <w:tcBorders>
              <w:top w:val="single" w:sz="8" w:color="CCECFF"/>
              <w:bottom w:val="single" w:sz="8" w:color="CCECFF"/>
            </w:tcBorders>
            <w:shd w:val="clear" w:color="auto" w:fill="CCECFF"/>
          </w:tcPr>
          <w:p>
            <w:pPr>
              <w:spacing w:after="0"/>
              <w:rPr>
                <w:sz w:val="13"/>
                <w:szCs w:val="13"/>
                <w:color w:val="auto"/>
              </w:rPr>
            </w:pP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tcPr>
          <w:p>
            <w:pPr>
              <w:spacing w:after="0"/>
              <w:rPr>
                <w:sz w:val="20"/>
                <w:szCs w:val="20"/>
                <w:color w:val="auto"/>
              </w:rPr>
            </w:pPr>
            <w:r>
              <w:rPr>
                <w:rFonts w:ascii="Arial" w:cs="Arial" w:eastAsia="Arial" w:hAnsi="Arial"/>
                <w:sz w:val="14"/>
                <w:szCs w:val="14"/>
                <w:color w:val="auto"/>
              </w:rPr>
              <w:t>Long-Term Credit Facility</w:t>
            </w:r>
          </w:p>
        </w:tc>
        <w:tc>
          <w:tcPr>
            <w:tcW w:w="460" w:type="dxa"/>
            <w:vAlign w:val="bottom"/>
            <w:gridSpan w:val="2"/>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2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Borders>
              <w:top w:val="single" w:sz="8" w:color="auto"/>
            </w:tcBorders>
          </w:tcPr>
          <w:p>
            <w:pPr>
              <w:jc w:val="right"/>
              <w:ind w:right="148"/>
              <w:spacing w:after="0" w:line="143"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260" w:type="dxa"/>
            <w:vAlign w:val="bottom"/>
          </w:tcPr>
          <w:p>
            <w:pPr>
              <w:spacing w:after="0"/>
              <w:rPr>
                <w:sz w:val="12"/>
                <w:szCs w:val="12"/>
                <w:color w:val="auto"/>
              </w:rPr>
            </w:pPr>
          </w:p>
        </w:tc>
        <w:tc>
          <w:tcPr>
            <w:tcW w:w="160" w:type="dxa"/>
            <w:vAlign w:val="bottom"/>
            <w:tcBorders>
              <w:top w:val="single" w:sz="8" w:color="auto"/>
            </w:tcBorders>
            <w:gridSpan w:val="2"/>
          </w:tcPr>
          <w:p>
            <w:pPr>
              <w:jc w:val="right"/>
              <w:ind w:right="80"/>
              <w:spacing w:after="0" w:line="143"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Borders>
              <w:top w:val="single" w:sz="8" w:color="auto"/>
            </w:tcBorders>
          </w:tcPr>
          <w:p>
            <w:pPr>
              <w:jc w:val="right"/>
              <w:ind w:right="8"/>
              <w:spacing w:after="0" w:line="143"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jc w:val="right"/>
              <w:spacing w:after="0" w:line="143" w:lineRule="exact"/>
              <w:rPr>
                <w:sz w:val="20"/>
                <w:szCs w:val="20"/>
                <w:color w:val="auto"/>
              </w:rPr>
            </w:pPr>
            <w:r>
              <w:rPr>
                <w:rFonts w:ascii="Arial" w:cs="Arial" w:eastAsia="Arial" w:hAnsi="Arial"/>
                <w:sz w:val="14"/>
                <w:szCs w:val="14"/>
                <w:color w:val="auto"/>
              </w:rPr>
              <w:t>76,037,341</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spacing w:after="0"/>
              <w:rPr>
                <w:sz w:val="20"/>
                <w:szCs w:val="20"/>
                <w:color w:val="auto"/>
              </w:rPr>
            </w:pPr>
            <w:r>
              <w:rPr>
                <w:rFonts w:ascii="Arial" w:cs="Arial" w:eastAsia="Arial" w:hAnsi="Arial"/>
                <w:sz w:val="14"/>
                <w:szCs w:val="14"/>
                <w:color w:val="auto"/>
              </w:rPr>
              <w:t>2019 Notes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255,665,000</w:t>
            </w: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255,665,000</w:t>
            </w:r>
          </w:p>
        </w:tc>
        <w:tc>
          <w:tcPr>
            <w:tcW w:w="8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Pr>
          <w:p>
            <w:pPr>
              <w:ind w:left="500"/>
              <w:spacing w:after="0" w:line="155" w:lineRule="exact"/>
              <w:rPr>
                <w:sz w:val="20"/>
                <w:szCs w:val="20"/>
                <w:color w:val="auto"/>
              </w:rPr>
            </w:pPr>
            <w:r>
              <w:rPr>
                <w:rFonts w:ascii="Arial" w:cs="Arial" w:eastAsia="Arial" w:hAnsi="Arial"/>
                <w:sz w:val="14"/>
                <w:szCs w:val="14"/>
                <w:color w:val="auto"/>
              </w:rPr>
              <w:t>Total debt</w:t>
            </w:r>
          </w:p>
        </w:tc>
        <w:tc>
          <w:tcPr>
            <w:tcW w:w="160" w:type="dxa"/>
            <w:vAlign w:val="bottom"/>
          </w:tcPr>
          <w:p>
            <w:pPr>
              <w:spacing w:after="0"/>
              <w:rPr>
                <w:sz w:val="13"/>
                <w:szCs w:val="13"/>
                <w:color w:val="auto"/>
              </w:rPr>
            </w:pPr>
          </w:p>
        </w:tc>
        <w:tc>
          <w:tcPr>
            <w:tcW w:w="300" w:type="dxa"/>
            <w:vAlign w:val="bottom"/>
            <w:tcBorders>
              <w:top w:val="single" w:sz="8" w:color="auto"/>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331,702,341</w:t>
            </w:r>
          </w:p>
        </w:tc>
        <w:tc>
          <w:tcPr>
            <w:tcW w:w="260" w:type="dxa"/>
            <w:vAlign w:val="bottom"/>
          </w:tcPr>
          <w:p>
            <w:pPr>
              <w:spacing w:after="0"/>
              <w:rPr>
                <w:sz w:val="13"/>
                <w:szCs w:val="13"/>
                <w:color w:val="auto"/>
              </w:rPr>
            </w:pPr>
          </w:p>
        </w:tc>
        <w:tc>
          <w:tcPr>
            <w:tcW w:w="160" w:type="dxa"/>
            <w:vAlign w:val="bottom"/>
            <w:tcBorders>
              <w:top w:val="single" w:sz="8" w:color="auto"/>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2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255,665,000</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28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76,037,341</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420" w:type="dxa"/>
            <w:vAlign w:val="bottom"/>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3"/>
        </w:trPr>
        <w:tc>
          <w:tcPr>
            <w:tcW w:w="10000" w:type="dxa"/>
            <w:vAlign w:val="bottom"/>
            <w:gridSpan w:val="20"/>
          </w:tcPr>
          <w:p>
            <w:pPr>
              <w:jc w:val="center"/>
              <w:ind w:left="228"/>
              <w:spacing w:after="0"/>
              <w:rPr>
                <w:sz w:val="20"/>
                <w:szCs w:val="20"/>
                <w:color w:val="auto"/>
              </w:rPr>
            </w:pPr>
            <w:r>
              <w:rPr>
                <w:rFonts w:ascii="Arial" w:cs="Arial" w:eastAsia="Arial" w:hAnsi="Arial"/>
                <w:sz w:val="14"/>
                <w:szCs w:val="14"/>
                <w:color w:val="auto"/>
                <w:w w:val="93"/>
              </w:rPr>
              <w:t>The tables below show a reconciliation of the beginning and ending balances for fair valued investments measured using significant unobservable inputs (Level 3):</w:t>
            </w: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360" w:type="dxa"/>
            <w:vAlign w:val="bottom"/>
            <w:gridSpan w:val="10"/>
          </w:tcPr>
          <w:p>
            <w:pPr>
              <w:jc w:val="center"/>
              <w:ind w:right="68"/>
              <w:spacing w:after="0"/>
              <w:rPr>
                <w:sz w:val="20"/>
                <w:szCs w:val="20"/>
                <w:color w:val="auto"/>
              </w:rPr>
            </w:pPr>
            <w:r>
              <w:rPr>
                <w:rFonts w:ascii="Arial" w:cs="Arial" w:eastAsia="Arial" w:hAnsi="Arial"/>
                <w:sz w:val="14"/>
                <w:szCs w:val="14"/>
                <w:b w:val="1"/>
                <w:bCs w:val="1"/>
                <w:color w:val="auto"/>
                <w:w w:val="93"/>
              </w:rPr>
              <w:t>Nine Months Ended June 30, 2018</w:t>
            </w: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4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3"/>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4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00" w:type="dxa"/>
            <w:vAlign w:val="bottom"/>
            <w:gridSpan w:val="3"/>
          </w:tcPr>
          <w:p>
            <w:pPr>
              <w:jc w:val="right"/>
              <w:ind w:right="640"/>
              <w:spacing w:after="0" w:line="133" w:lineRule="exact"/>
              <w:rPr>
                <w:sz w:val="20"/>
                <w:szCs w:val="20"/>
                <w:color w:val="auto"/>
              </w:rPr>
            </w:pPr>
            <w:r>
              <w:rPr>
                <w:rFonts w:ascii="Arial" w:cs="Arial" w:eastAsia="Arial" w:hAnsi="Arial"/>
                <w:sz w:val="14"/>
                <w:szCs w:val="14"/>
                <w:b w:val="1"/>
                <w:bCs w:val="1"/>
                <w:color w:val="auto"/>
              </w:rPr>
              <w:t>Debt</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80" w:type="dxa"/>
            <w:vAlign w:val="bottom"/>
            <w:gridSpan w:val="3"/>
          </w:tcPr>
          <w:p>
            <w:pPr>
              <w:jc w:val="center"/>
              <w:ind w:right="400"/>
              <w:spacing w:after="0" w:line="133" w:lineRule="exact"/>
              <w:rPr>
                <w:sz w:val="20"/>
                <w:szCs w:val="20"/>
                <w:color w:val="auto"/>
              </w:rPr>
            </w:pPr>
            <w:r>
              <w:rPr>
                <w:rFonts w:ascii="Arial" w:cs="Arial" w:eastAsia="Arial" w:hAnsi="Arial"/>
                <w:sz w:val="14"/>
                <w:szCs w:val="14"/>
                <w:b w:val="1"/>
                <w:bCs w:val="1"/>
                <w:color w:val="auto"/>
                <w:w w:val="98"/>
              </w:rPr>
              <w:t>Equity</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3"/>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4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300" w:type="dxa"/>
            <w:vAlign w:val="bottom"/>
            <w:gridSpan w:val="3"/>
            <w:vMerge w:val="restart"/>
          </w:tcPr>
          <w:p>
            <w:pPr>
              <w:jc w:val="right"/>
              <w:ind w:right="420"/>
              <w:spacing w:after="0"/>
              <w:rPr>
                <w:sz w:val="20"/>
                <w:szCs w:val="20"/>
                <w:color w:val="auto"/>
              </w:rPr>
            </w:pPr>
            <w:r>
              <w:rPr>
                <w:rFonts w:ascii="Arial" w:cs="Arial" w:eastAsia="Arial" w:hAnsi="Arial"/>
                <w:sz w:val="14"/>
                <w:szCs w:val="14"/>
                <w:b w:val="1"/>
                <w:bCs w:val="1"/>
                <w:color w:val="auto"/>
              </w:rPr>
              <w:t>investments</w:t>
            </w: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80" w:type="dxa"/>
            <w:vAlign w:val="bottom"/>
            <w:gridSpan w:val="3"/>
            <w:vMerge w:val="restart"/>
          </w:tcPr>
          <w:p>
            <w:pPr>
              <w:jc w:val="center"/>
              <w:ind w:right="400"/>
              <w:spacing w:after="0"/>
              <w:rPr>
                <w:sz w:val="20"/>
                <w:szCs w:val="20"/>
                <w:color w:val="auto"/>
              </w:rPr>
            </w:pPr>
            <w:r>
              <w:rPr>
                <w:rFonts w:ascii="Arial" w:cs="Arial" w:eastAsia="Arial" w:hAnsi="Arial"/>
                <w:sz w:val="14"/>
                <w:szCs w:val="14"/>
                <w:b w:val="1"/>
                <w:bCs w:val="1"/>
                <w:color w:val="auto"/>
                <w:w w:val="90"/>
              </w:rPr>
              <w:t>investments</w:t>
            </w: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40" w:type="dxa"/>
            <w:vAlign w:val="bottom"/>
            <w:gridSpan w:val="3"/>
            <w:vMerge w:val="continue"/>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42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300" w:type="dxa"/>
            <w:vAlign w:val="bottom"/>
            <w:gridSpan w:val="3"/>
            <w:vMerge w:val="continue"/>
          </w:tcPr>
          <w:p>
            <w:pPr>
              <w:spacing w:after="0"/>
              <w:rPr>
                <w:sz w:val="5"/>
                <w:szCs w:val="5"/>
                <w:color w:val="auto"/>
              </w:rPr>
            </w:pPr>
          </w:p>
        </w:tc>
        <w:tc>
          <w:tcPr>
            <w:tcW w:w="4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3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auto"/>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spacing w:after="0"/>
              <w:rPr>
                <w:sz w:val="13"/>
                <w:szCs w:val="13"/>
                <w:color w:val="auto"/>
              </w:rPr>
            </w:pPr>
          </w:p>
        </w:tc>
        <w:tc>
          <w:tcPr>
            <w:tcW w:w="26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986,328,498</w:t>
            </w:r>
          </w:p>
        </w:tc>
        <w:tc>
          <w:tcPr>
            <w:tcW w:w="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166,268,568</w:t>
            </w:r>
          </w:p>
        </w:tc>
        <w:tc>
          <w:tcPr>
            <w:tcW w:w="1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CCECFF"/>
            </w:tcBorders>
            <w:shd w:val="clear" w:color="auto" w:fill="CCECFF"/>
          </w:tcPr>
          <w:p>
            <w:pPr>
              <w:spacing w:after="0"/>
              <w:rPr>
                <w:sz w:val="13"/>
                <w:szCs w:val="13"/>
                <w:color w:val="auto"/>
              </w:rPr>
            </w:pPr>
          </w:p>
        </w:tc>
        <w:tc>
          <w:tcPr>
            <w:tcW w:w="280" w:type="dxa"/>
            <w:vAlign w:val="bottom"/>
            <w:tcBorders>
              <w:top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1,152,597,066</w:t>
            </w:r>
          </w:p>
        </w:tc>
        <w:tc>
          <w:tcPr>
            <w:tcW w:w="100" w:type="dxa"/>
            <w:vAlign w:val="bottom"/>
            <w:tcBorders>
              <w:top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Net realized gains</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1,340,858</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41,609,016</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42,949,874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depreciation</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(11,599,547)</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(38,534,814)</w:t>
            </w: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(50,134,361)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720" w:type="dxa"/>
            <w:vAlign w:val="bottom"/>
            <w:gridSpan w:val="3"/>
          </w:tcPr>
          <w:p>
            <w:pPr>
              <w:ind w:left="500"/>
              <w:spacing w:after="0"/>
              <w:rPr>
                <w:sz w:val="20"/>
                <w:szCs w:val="20"/>
                <w:color w:val="auto"/>
              </w:rPr>
            </w:pPr>
            <w:r>
              <w:rPr>
                <w:rFonts w:ascii="Arial" w:cs="Arial" w:eastAsia="Arial" w:hAnsi="Arial"/>
                <w:sz w:val="14"/>
                <w:szCs w:val="14"/>
                <w:color w:val="auto"/>
                <w:w w:val="93"/>
              </w:rPr>
              <w:t>Purchases, PIK interest, net discount accretion and non-cash exchanges</w:t>
            </w: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Arial" w:cs="Arial" w:eastAsia="Arial" w:hAnsi="Arial"/>
                <w:sz w:val="14"/>
                <w:szCs w:val="14"/>
                <w:color w:val="auto"/>
              </w:rPr>
              <w:t>380,262,900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4"/>
                <w:szCs w:val="14"/>
                <w:color w:val="auto"/>
              </w:rPr>
              <w:t>54,417,222</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4"/>
                <w:szCs w:val="14"/>
                <w:color w:val="auto"/>
              </w:rPr>
              <w:t>434,680,122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80" w:type="dxa"/>
            <w:vAlign w:val="bottom"/>
            <w:shd w:val="clear" w:color="auto" w:fill="CCECFF"/>
          </w:tcPr>
          <w:p>
            <w:pPr>
              <w:spacing w:after="0"/>
              <w:rPr>
                <w:sz w:val="14"/>
                <w:szCs w:val="14"/>
                <w:color w:val="auto"/>
              </w:rPr>
            </w:pPr>
          </w:p>
        </w:tc>
        <w:tc>
          <w:tcPr>
            <w:tcW w:w="26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300" w:type="dxa"/>
            <w:vAlign w:val="bottom"/>
            <w:gridSpan w:val="3"/>
            <w:shd w:val="clear" w:color="auto" w:fill="CCECFF"/>
          </w:tcPr>
          <w:p>
            <w:pPr>
              <w:jc w:val="right"/>
              <w:ind w:right="20"/>
              <w:spacing w:after="0"/>
              <w:rPr>
                <w:sz w:val="20"/>
                <w:szCs w:val="20"/>
                <w:color w:val="auto"/>
              </w:rPr>
            </w:pPr>
            <w:r>
              <w:rPr>
                <w:rFonts w:ascii="Arial" w:cs="Arial" w:eastAsia="Arial" w:hAnsi="Arial"/>
                <w:sz w:val="14"/>
                <w:szCs w:val="14"/>
                <w:color w:val="auto"/>
              </w:rPr>
              <w:t>(488,524,716)</w:t>
            </w:r>
          </w:p>
        </w:tc>
        <w:tc>
          <w:tcPr>
            <w:tcW w:w="4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380" w:type="dxa"/>
            <w:vAlign w:val="bottom"/>
            <w:gridSpan w:val="3"/>
            <w:shd w:val="clear" w:color="auto" w:fill="CCECFF"/>
          </w:tcPr>
          <w:p>
            <w:pPr>
              <w:jc w:val="right"/>
              <w:ind w:right="140"/>
              <w:spacing w:after="0"/>
              <w:rPr>
                <w:sz w:val="20"/>
                <w:szCs w:val="20"/>
                <w:color w:val="auto"/>
              </w:rPr>
            </w:pPr>
            <w:r>
              <w:rPr>
                <w:rFonts w:ascii="Arial" w:cs="Arial" w:eastAsia="Arial" w:hAnsi="Arial"/>
                <w:sz w:val="14"/>
                <w:szCs w:val="14"/>
                <w:color w:val="auto"/>
              </w:rPr>
              <w:t>(67,832,065)</w:t>
            </w:r>
          </w:p>
        </w:tc>
        <w:tc>
          <w:tcPr>
            <w:tcW w:w="80" w:type="dxa"/>
            <w:vAlign w:val="bottom"/>
            <w:shd w:val="clear" w:color="auto" w:fill="CCECFF"/>
          </w:tcPr>
          <w:p>
            <w:pPr>
              <w:spacing w:after="0"/>
              <w:rPr>
                <w:sz w:val="14"/>
                <w:szCs w:val="14"/>
                <w:color w:val="auto"/>
              </w:rPr>
            </w:pPr>
          </w:p>
        </w:tc>
        <w:tc>
          <w:tcPr>
            <w:tcW w:w="280" w:type="dxa"/>
            <w:vAlign w:val="bottom"/>
            <w:shd w:val="clear" w:color="auto" w:fill="CCECFF"/>
          </w:tcPr>
          <w:p>
            <w:pPr>
              <w:spacing w:after="0"/>
              <w:rPr>
                <w:sz w:val="14"/>
                <w:szCs w:val="14"/>
                <w:color w:val="auto"/>
              </w:rPr>
            </w:pPr>
          </w:p>
        </w:tc>
        <w:tc>
          <w:tcPr>
            <w:tcW w:w="1240" w:type="dxa"/>
            <w:vAlign w:val="bottom"/>
            <w:gridSpan w:val="3"/>
            <w:shd w:val="clear" w:color="auto" w:fill="CCECFF"/>
          </w:tcPr>
          <w:p>
            <w:pPr>
              <w:jc w:val="right"/>
              <w:ind w:right="60"/>
              <w:spacing w:after="0"/>
              <w:rPr>
                <w:sz w:val="20"/>
                <w:szCs w:val="20"/>
                <w:color w:val="auto"/>
              </w:rPr>
            </w:pPr>
            <w:r>
              <w:rPr>
                <w:rFonts w:ascii="Arial" w:cs="Arial" w:eastAsia="Arial" w:hAnsi="Arial"/>
                <w:sz w:val="14"/>
                <w:szCs w:val="14"/>
                <w:color w:val="auto"/>
              </w:rPr>
              <w:t>(556,356,781)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6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4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426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CCECFF"/>
              <w:bottom w:val="single" w:sz="8" w:color="CCECFF"/>
            </w:tcBorders>
            <w:shd w:val="clear" w:color="auto" w:fill="CCECFF"/>
          </w:tcPr>
          <w:p>
            <w:pPr>
              <w:spacing w:after="0"/>
              <w:rPr>
                <w:sz w:val="13"/>
                <w:szCs w:val="13"/>
                <w:color w:val="auto"/>
              </w:rPr>
            </w:pPr>
          </w:p>
        </w:tc>
        <w:tc>
          <w:tcPr>
            <w:tcW w:w="1180" w:type="dxa"/>
            <w:vAlign w:val="bottom"/>
            <w:tcBorders>
              <w:top w:val="single" w:sz="8" w:color="CCECFF"/>
              <w:bottom w:val="single" w:sz="8" w:color="CCECFF"/>
            </w:tcBorders>
            <w:shd w:val="clear" w:color="auto" w:fill="CCECFF"/>
          </w:tcPr>
          <w:p>
            <w:pPr>
              <w:spacing w:after="0"/>
              <w:rPr>
                <w:sz w:val="13"/>
                <w:szCs w:val="13"/>
                <w:color w:val="auto"/>
              </w:rPr>
            </w:pP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160" w:type="dxa"/>
            <w:vAlign w:val="bottom"/>
            <w:tcBorders>
              <w:top w:val="single" w:sz="8" w:color="auto"/>
              <w:bottom w:val="single" w:sz="8" w:color="auto"/>
            </w:tcBorders>
            <w:shd w:val="clear" w:color="auto" w:fill="CCECFF"/>
          </w:tcPr>
          <w:p>
            <w:pPr>
              <w:jc w:val="right"/>
              <w:ind w:right="49"/>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gridSpan w:val="2"/>
            <w:shd w:val="clear" w:color="auto" w:fill="CCECFF"/>
          </w:tcPr>
          <w:p>
            <w:pPr>
              <w:jc w:val="right"/>
              <w:spacing w:after="0" w:line="155" w:lineRule="exact"/>
              <w:rPr>
                <w:sz w:val="20"/>
                <w:szCs w:val="20"/>
                <w:color w:val="auto"/>
              </w:rPr>
            </w:pPr>
            <w:r>
              <w:rPr>
                <w:rFonts w:ascii="Arial" w:cs="Arial" w:eastAsia="Arial" w:hAnsi="Arial"/>
                <w:sz w:val="14"/>
                <w:szCs w:val="14"/>
                <w:color w:val="auto"/>
              </w:rPr>
              <w:t>867,807,993</w:t>
            </w: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CCECFF"/>
              <w:bottom w:val="single" w:sz="8" w:color="CCECFF"/>
            </w:tcBorders>
            <w:gridSpan w:val="2"/>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155,927,927</w:t>
            </w:r>
          </w:p>
        </w:tc>
        <w:tc>
          <w:tcPr>
            <w:tcW w:w="180" w:type="dxa"/>
            <w:vAlign w:val="bottom"/>
            <w:tcBorders>
              <w:top w:val="single" w:sz="8" w:color="CCECFF"/>
              <w:bottom w:val="single" w:sz="8" w:color="CCECFF"/>
            </w:tcBorders>
            <w:shd w:val="clear" w:color="auto" w:fill="CCECFF"/>
          </w:tcPr>
          <w:p>
            <w:pPr>
              <w:spacing w:after="0"/>
              <w:rPr>
                <w:sz w:val="13"/>
                <w:szCs w:val="13"/>
                <w:color w:val="auto"/>
              </w:rPr>
            </w:pPr>
          </w:p>
        </w:tc>
        <w:tc>
          <w:tcPr>
            <w:tcW w:w="80" w:type="dxa"/>
            <w:vAlign w:val="bottom"/>
            <w:tcBorders>
              <w:top w:val="single" w:sz="8" w:color="CCECFF"/>
              <w:bottom w:val="single" w:sz="8" w:color="CCECFF"/>
            </w:tcBorders>
            <w:shd w:val="clear" w:color="auto" w:fill="CCECFF"/>
          </w:tcPr>
          <w:p>
            <w:pPr>
              <w:spacing w:after="0"/>
              <w:rPr>
                <w:sz w:val="13"/>
                <w:szCs w:val="13"/>
                <w:color w:val="auto"/>
              </w:rPr>
            </w:pPr>
          </w:p>
        </w:tc>
        <w:tc>
          <w:tcPr>
            <w:tcW w:w="280" w:type="dxa"/>
            <w:vAlign w:val="bottom"/>
            <w:tcBorders>
              <w:top w:val="single" w:sz="8" w:color="auto"/>
              <w:bottom w:val="single" w:sz="8" w:color="auto"/>
            </w:tcBorders>
            <w:shd w:val="clear" w:color="auto" w:fill="CCECFF"/>
          </w:tcPr>
          <w:p>
            <w:pPr>
              <w:jc w:val="right"/>
              <w:ind w:right="128"/>
              <w:spacing w:after="0" w:line="155" w:lineRule="exact"/>
              <w:rPr>
                <w:sz w:val="20"/>
                <w:szCs w:val="20"/>
                <w:color w:val="auto"/>
              </w:rPr>
            </w:pPr>
            <w:r>
              <w:rPr>
                <w:rFonts w:ascii="Arial" w:cs="Arial" w:eastAsia="Arial" w:hAnsi="Arial"/>
                <w:sz w:val="14"/>
                <w:szCs w:val="14"/>
                <w:color w:val="auto"/>
                <w:w w:val="76"/>
              </w:rPr>
              <w:t>$</w:t>
            </w:r>
          </w:p>
        </w:tc>
        <w:tc>
          <w:tcPr>
            <w:tcW w:w="1140" w:type="dxa"/>
            <w:vAlign w:val="bottom"/>
            <w:tcBorders>
              <w:top w:val="single" w:sz="8" w:color="auto"/>
              <w:bottom w:val="single" w:sz="8" w:color="auto"/>
            </w:tcBorders>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1,023,735,920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160" w:type="dxa"/>
            <w:vAlign w:val="bottom"/>
            <w:gridSpan w:val="5"/>
            <w:vMerge w:val="restart"/>
          </w:tcPr>
          <w:p>
            <w:pPr>
              <w:spacing w:after="0"/>
              <w:rPr>
                <w:sz w:val="20"/>
                <w:szCs w:val="20"/>
                <w:color w:val="auto"/>
              </w:rPr>
            </w:pPr>
            <w:r>
              <w:rPr>
                <w:rFonts w:ascii="Arial" w:cs="Arial" w:eastAsia="Arial" w:hAnsi="Arial"/>
                <w:sz w:val="14"/>
                <w:szCs w:val="14"/>
                <w:color w:val="auto"/>
              </w:rPr>
              <w:t>Net change in unrealized depreciation reported within the net change in unrealized (depreciation)</w:t>
            </w: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160" w:type="dxa"/>
            <w:vAlign w:val="bottom"/>
            <w:gridSpan w:val="5"/>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320" w:type="dxa"/>
            <w:vAlign w:val="bottom"/>
            <w:gridSpan w:val="7"/>
          </w:tcPr>
          <w:p>
            <w:pPr>
              <w:spacing w:after="0" w:line="149" w:lineRule="exact"/>
              <w:rPr>
                <w:sz w:val="20"/>
                <w:szCs w:val="20"/>
                <w:color w:val="auto"/>
              </w:rPr>
            </w:pPr>
            <w:r>
              <w:rPr>
                <w:rFonts w:ascii="Arial" w:cs="Arial" w:eastAsia="Arial" w:hAnsi="Arial"/>
                <w:sz w:val="14"/>
                <w:szCs w:val="14"/>
                <w:color w:val="auto"/>
                <w:w w:val="94"/>
              </w:rPr>
              <w:t>appreciation on investments in our Consolidated Statements of Operations attributable to our Level 3 assets</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4260" w:type="dxa"/>
            <w:vAlign w:val="bottom"/>
          </w:tcPr>
          <w:p>
            <w:pPr>
              <w:spacing w:after="0"/>
              <w:rPr>
                <w:sz w:val="20"/>
                <w:szCs w:val="20"/>
                <w:color w:val="auto"/>
              </w:rPr>
            </w:pPr>
            <w:r>
              <w:rPr>
                <w:rFonts w:ascii="Arial" w:cs="Arial" w:eastAsia="Arial" w:hAnsi="Arial"/>
                <w:sz w:val="14"/>
                <w:szCs w:val="14"/>
                <w:color w:val="auto"/>
              </w:rPr>
              <w:t>still held at the reporting date.</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49"/>
              <w:spacing w:after="0"/>
              <w:rPr>
                <w:sz w:val="20"/>
                <w:szCs w:val="20"/>
                <w:color w:val="auto"/>
              </w:rPr>
            </w:pPr>
            <w:r>
              <w:rPr>
                <w:rFonts w:ascii="Arial" w:cs="Arial" w:eastAsia="Arial" w:hAnsi="Arial"/>
                <w:sz w:val="14"/>
                <w:szCs w:val="14"/>
                <w:color w:val="auto"/>
              </w:rPr>
              <w:t>$</w:t>
            </w:r>
          </w:p>
        </w:tc>
        <w:tc>
          <w:tcPr>
            <w:tcW w:w="1300" w:type="dxa"/>
            <w:vAlign w:val="bottom"/>
            <w:gridSpan w:val="3"/>
          </w:tcPr>
          <w:p>
            <w:pPr>
              <w:jc w:val="right"/>
              <w:ind w:right="20"/>
              <w:spacing w:after="0"/>
              <w:rPr>
                <w:sz w:val="20"/>
                <w:szCs w:val="20"/>
                <w:color w:val="auto"/>
              </w:rPr>
            </w:pPr>
            <w:r>
              <w:rPr>
                <w:rFonts w:ascii="Arial" w:cs="Arial" w:eastAsia="Arial" w:hAnsi="Arial"/>
                <w:sz w:val="14"/>
                <w:szCs w:val="14"/>
                <w:color w:val="auto"/>
              </w:rPr>
              <w:t>(1,824,337)</w:t>
            </w:r>
          </w:p>
        </w:tc>
        <w:tc>
          <w:tcPr>
            <w:tcW w:w="400" w:type="dxa"/>
            <w:vAlign w:val="bottom"/>
            <w:gridSpan w:val="3"/>
          </w:tcPr>
          <w:p>
            <w:pPr>
              <w:jc w:val="right"/>
              <w:ind w:right="89"/>
              <w:spacing w:after="0"/>
              <w:rPr>
                <w:sz w:val="20"/>
                <w:szCs w:val="20"/>
                <w:color w:val="auto"/>
              </w:rPr>
            </w:pPr>
            <w:r>
              <w:rPr>
                <w:rFonts w:ascii="Arial" w:cs="Arial" w:eastAsia="Arial" w:hAnsi="Arial"/>
                <w:sz w:val="14"/>
                <w:szCs w:val="14"/>
                <w:color w:val="auto"/>
              </w:rPr>
              <w:t>$</w:t>
            </w:r>
          </w:p>
        </w:tc>
        <w:tc>
          <w:tcPr>
            <w:tcW w:w="1380" w:type="dxa"/>
            <w:vAlign w:val="bottom"/>
            <w:gridSpan w:val="3"/>
          </w:tcPr>
          <w:p>
            <w:pPr>
              <w:jc w:val="right"/>
              <w:ind w:right="140"/>
              <w:spacing w:after="0"/>
              <w:rPr>
                <w:sz w:val="20"/>
                <w:szCs w:val="20"/>
                <w:color w:val="auto"/>
              </w:rPr>
            </w:pPr>
            <w:r>
              <w:rPr>
                <w:rFonts w:ascii="Arial" w:cs="Arial" w:eastAsia="Arial" w:hAnsi="Arial"/>
                <w:sz w:val="14"/>
                <w:szCs w:val="14"/>
                <w:color w:val="auto"/>
              </w:rPr>
              <w:t>(9,063,847)</w:t>
            </w:r>
          </w:p>
        </w:tc>
        <w:tc>
          <w:tcPr>
            <w:tcW w:w="360" w:type="dxa"/>
            <w:vAlign w:val="bottom"/>
            <w:gridSpan w:val="2"/>
          </w:tcPr>
          <w:p>
            <w:pPr>
              <w:jc w:val="right"/>
              <w:ind w:right="128"/>
              <w:spacing w:after="0"/>
              <w:rPr>
                <w:sz w:val="20"/>
                <w:szCs w:val="20"/>
                <w:color w:val="auto"/>
              </w:rPr>
            </w:pPr>
            <w:r>
              <w:rPr>
                <w:rFonts w:ascii="Arial" w:cs="Arial" w:eastAsia="Arial" w:hAnsi="Arial"/>
                <w:sz w:val="14"/>
                <w:szCs w:val="14"/>
                <w:color w:val="auto"/>
              </w:rPr>
              <w:t>$</w:t>
            </w:r>
          </w:p>
        </w:tc>
        <w:tc>
          <w:tcPr>
            <w:tcW w:w="1240" w:type="dxa"/>
            <w:vAlign w:val="bottom"/>
            <w:gridSpan w:val="3"/>
          </w:tcPr>
          <w:p>
            <w:pPr>
              <w:jc w:val="right"/>
              <w:ind w:right="60"/>
              <w:spacing w:after="0"/>
              <w:rPr>
                <w:sz w:val="20"/>
                <w:szCs w:val="20"/>
                <w:color w:val="auto"/>
              </w:rPr>
            </w:pPr>
            <w:r>
              <w:rPr>
                <w:rFonts w:ascii="Arial" w:cs="Arial" w:eastAsia="Arial" w:hAnsi="Arial"/>
                <w:sz w:val="14"/>
                <w:szCs w:val="14"/>
                <w:color w:val="auto"/>
              </w:rPr>
              <w:t>(10,888,184)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80" w:type="dxa"/>
            <w:vAlign w:val="bottom"/>
            <w:vMerge w:val="restart"/>
          </w:tcPr>
          <w:p>
            <w:pPr>
              <w:jc w:val="right"/>
              <w:ind w:right="128"/>
              <w:spacing w:after="0"/>
              <w:rPr>
                <w:sz w:val="20"/>
                <w:szCs w:val="20"/>
                <w:color w:val="auto"/>
              </w:rPr>
            </w:pPr>
            <w:r>
              <w:rPr>
                <w:rFonts w:ascii="Arial" w:cs="Arial" w:eastAsia="Arial" w:hAnsi="Arial"/>
                <w:sz w:val="14"/>
                <w:szCs w:val="14"/>
                <w:color w:val="auto"/>
              </w:rPr>
              <w:t>19</w:t>
            </w: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7"/>
        </w:trPr>
        <w:tc>
          <w:tcPr>
            <w:tcW w:w="4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300" w:type="dxa"/>
            <w:vAlign w:val="bottom"/>
            <w:tcBorders>
              <w:bottom w:val="single" w:sz="8" w:color="9A9A9A"/>
            </w:tcBorders>
          </w:tcPr>
          <w:p>
            <w:pPr>
              <w:spacing w:after="0"/>
              <w:rPr>
                <w:sz w:val="8"/>
                <w:szCs w:val="8"/>
                <w:color w:val="auto"/>
              </w:rPr>
            </w:pPr>
          </w:p>
        </w:tc>
        <w:tc>
          <w:tcPr>
            <w:tcW w:w="118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60"/>
          </w:cols>
          <w:pgMar w:left="320" w:top="118" w:right="319" w:bottom="1440" w:gutter="0" w:footer="0" w:header="0"/>
        </w:sectPr>
      </w:pPr>
    </w:p>
    <w:bookmarkStart w:id="19" w:name="page20"/>
    <w:bookmarkEnd w:id="19"/>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20" w:type="dxa"/>
            <w:vAlign w:val="bottom"/>
            <w:gridSpan w:val="6"/>
          </w:tcPr>
          <w:p>
            <w:pPr>
              <w:jc w:val="center"/>
              <w:ind w:left="808"/>
              <w:spacing w:after="0"/>
              <w:rPr>
                <w:sz w:val="20"/>
                <w:szCs w:val="20"/>
                <w:color w:val="auto"/>
              </w:rPr>
            </w:pPr>
            <w:r>
              <w:rPr>
                <w:rFonts w:ascii="Arial" w:cs="Arial" w:eastAsia="Arial" w:hAnsi="Arial"/>
                <w:sz w:val="14"/>
                <w:szCs w:val="14"/>
                <w:b w:val="1"/>
                <w:bCs w:val="1"/>
                <w:color w:val="auto"/>
                <w:w w:val="93"/>
              </w:rPr>
              <w:t>Nine Months Ended June 30, 2017</w:t>
            </w: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
        </w:trPr>
        <w:tc>
          <w:tcPr>
            <w:tcW w:w="6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3"/>
        </w:trPr>
        <w:tc>
          <w:tcPr>
            <w:tcW w:w="6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60" w:type="dxa"/>
            <w:vAlign w:val="bottom"/>
            <w:gridSpan w:val="2"/>
          </w:tcPr>
          <w:p>
            <w:pPr>
              <w:jc w:val="right"/>
              <w:ind w:right="840"/>
              <w:spacing w:after="0" w:line="133" w:lineRule="exact"/>
              <w:rPr>
                <w:sz w:val="20"/>
                <w:szCs w:val="20"/>
                <w:color w:val="auto"/>
              </w:rPr>
            </w:pPr>
            <w:r>
              <w:rPr>
                <w:rFonts w:ascii="Arial" w:cs="Arial" w:eastAsia="Arial" w:hAnsi="Arial"/>
                <w:sz w:val="14"/>
                <w:szCs w:val="14"/>
                <w:b w:val="1"/>
                <w:bCs w:val="1"/>
                <w:color w:val="auto"/>
              </w:rPr>
              <w:t>Debt</w:t>
            </w:r>
          </w:p>
        </w:tc>
        <w:tc>
          <w:tcPr>
            <w:tcW w:w="200" w:type="dxa"/>
            <w:vAlign w:val="bottom"/>
          </w:tcPr>
          <w:p>
            <w:pPr>
              <w:spacing w:after="0"/>
              <w:rPr>
                <w:sz w:val="11"/>
                <w:szCs w:val="11"/>
                <w:color w:val="auto"/>
              </w:rPr>
            </w:pPr>
          </w:p>
        </w:tc>
        <w:tc>
          <w:tcPr>
            <w:tcW w:w="1460" w:type="dxa"/>
            <w:vAlign w:val="bottom"/>
            <w:gridSpan w:val="2"/>
          </w:tcPr>
          <w:p>
            <w:pPr>
              <w:jc w:val="center"/>
              <w:ind w:right="480"/>
              <w:spacing w:after="0" w:line="133" w:lineRule="exact"/>
              <w:rPr>
                <w:sz w:val="20"/>
                <w:szCs w:val="20"/>
                <w:color w:val="auto"/>
              </w:rPr>
            </w:pPr>
            <w:r>
              <w:rPr>
                <w:rFonts w:ascii="Arial" w:cs="Arial" w:eastAsia="Arial" w:hAnsi="Arial"/>
                <w:sz w:val="14"/>
                <w:szCs w:val="14"/>
                <w:b w:val="1"/>
                <w:bCs w:val="1"/>
                <w:color w:val="auto"/>
                <w:w w:val="98"/>
              </w:rPr>
              <w:t>Equity</w:t>
            </w:r>
          </w:p>
        </w:tc>
        <w:tc>
          <w:tcPr>
            <w:tcW w:w="300" w:type="dxa"/>
            <w:vAlign w:val="bottom"/>
          </w:tcPr>
          <w:p>
            <w:pPr>
              <w:spacing w:after="0"/>
              <w:rPr>
                <w:sz w:val="11"/>
                <w:szCs w:val="11"/>
                <w:color w:val="auto"/>
              </w:rPr>
            </w:pPr>
          </w:p>
        </w:tc>
        <w:tc>
          <w:tcPr>
            <w:tcW w:w="1220" w:type="dxa"/>
            <w:vAlign w:val="bottom"/>
            <w:gridSpan w:val="2"/>
            <w:vMerge w:val="restart"/>
          </w:tcPr>
          <w:p>
            <w:pPr>
              <w:jc w:val="right"/>
              <w:ind w:right="6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05"/>
        </w:trPr>
        <w:tc>
          <w:tcPr>
            <w:tcW w:w="62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6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rPr>
              <w:t>investments</w:t>
            </w:r>
          </w:p>
        </w:tc>
        <w:tc>
          <w:tcPr>
            <w:tcW w:w="200" w:type="dxa"/>
            <w:vAlign w:val="bottom"/>
          </w:tcPr>
          <w:p>
            <w:pPr>
              <w:spacing w:after="0"/>
              <w:rPr>
                <w:sz w:val="9"/>
                <w:szCs w:val="9"/>
                <w:color w:val="auto"/>
              </w:rPr>
            </w:pPr>
          </w:p>
        </w:tc>
        <w:tc>
          <w:tcPr>
            <w:tcW w:w="14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0"/>
              </w:rPr>
              <w:t>investments</w:t>
            </w:r>
          </w:p>
        </w:tc>
        <w:tc>
          <w:tcPr>
            <w:tcW w:w="3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624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4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2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w:t>
            </w:r>
          </w:p>
        </w:tc>
        <w:tc>
          <w:tcPr>
            <w:tcW w:w="16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1,000,146,681</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125,633,017</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1,125,779,698</w:t>
            </w: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Net realized losses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(42,530,779)</w:t>
            </w:r>
          </w:p>
        </w:tc>
        <w:tc>
          <w:tcPr>
            <w:tcW w:w="200" w:type="dxa"/>
            <w:vAlign w:val="bottom"/>
          </w:tcPr>
          <w:p>
            <w:pPr>
              <w:spacing w:after="0"/>
              <w:rPr>
                <w:sz w:val="14"/>
                <w:szCs w:val="14"/>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(10,853,430)</w:t>
            </w:r>
          </w:p>
        </w:tc>
        <w:tc>
          <w:tcPr>
            <w:tcW w:w="300" w:type="dxa"/>
            <w:vAlign w:val="bottom"/>
          </w:tcPr>
          <w:p>
            <w:pPr>
              <w:spacing w:after="0"/>
              <w:rPr>
                <w:sz w:val="14"/>
                <w:szCs w:val="14"/>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4"/>
                <w:szCs w:val="14"/>
                <w:color w:val="auto"/>
              </w:rPr>
              <w:t>(53,384,209)</w:t>
            </w: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Net unrealized appreciation</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52,793,436</w:t>
            </w:r>
          </w:p>
        </w:tc>
        <w:tc>
          <w:tcPr>
            <w:tcW w:w="28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15,126,608</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1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67,920,044</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Purchases, PIK interest, net discount accretion and non-cash exchanges</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381,119,413</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32,873,013</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413,992,426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240" w:type="dxa"/>
            <w:vAlign w:val="bottom"/>
            <w:shd w:val="clear" w:color="auto" w:fill="CCECFF"/>
          </w:tcPr>
          <w:p>
            <w:pPr>
              <w:ind w:left="500"/>
              <w:spacing w:after="0"/>
              <w:rPr>
                <w:sz w:val="20"/>
                <w:szCs w:val="20"/>
                <w:color w:val="auto"/>
              </w:rPr>
            </w:pPr>
            <w:r>
              <w:rPr>
                <w:rFonts w:ascii="Arial" w:cs="Arial" w:eastAsia="Arial" w:hAnsi="Arial"/>
                <w:sz w:val="14"/>
                <w:szCs w:val="14"/>
                <w:color w:val="auto"/>
              </w:rPr>
              <w:t>Sales, repayments and non-cash exchanges</w:t>
            </w:r>
          </w:p>
        </w:tc>
        <w:tc>
          <w:tcPr>
            <w:tcW w:w="160" w:type="dxa"/>
            <w:vAlign w:val="bottom"/>
            <w:shd w:val="clear" w:color="auto" w:fill="CCECFF"/>
          </w:tcPr>
          <w:p>
            <w:pPr>
              <w:spacing w:after="0"/>
              <w:rPr>
                <w:sz w:val="14"/>
                <w:szCs w:val="14"/>
                <w:color w:val="auto"/>
              </w:rPr>
            </w:pP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(421,117,523)</w:t>
            </w:r>
          </w:p>
        </w:tc>
        <w:tc>
          <w:tcPr>
            <w:tcW w:w="200" w:type="dxa"/>
            <w:vAlign w:val="bottom"/>
            <w:shd w:val="clear" w:color="auto" w:fill="CCECFF"/>
          </w:tcPr>
          <w:p>
            <w:pPr>
              <w:spacing w:after="0"/>
              <w:rPr>
                <w:sz w:val="14"/>
                <w:szCs w:val="14"/>
                <w:color w:val="auto"/>
              </w:rPr>
            </w:pPr>
          </w:p>
        </w:tc>
        <w:tc>
          <w:tcPr>
            <w:tcW w:w="1460" w:type="dxa"/>
            <w:vAlign w:val="bottom"/>
            <w:gridSpan w:val="2"/>
            <w:shd w:val="clear" w:color="auto" w:fill="CCECFF"/>
          </w:tcPr>
          <w:p>
            <w:pPr>
              <w:jc w:val="right"/>
              <w:ind w:right="220"/>
              <w:spacing w:after="0"/>
              <w:rPr>
                <w:sz w:val="20"/>
                <w:szCs w:val="20"/>
                <w:color w:val="auto"/>
              </w:rPr>
            </w:pPr>
            <w:r>
              <w:rPr>
                <w:rFonts w:ascii="Arial" w:cs="Arial" w:eastAsia="Arial" w:hAnsi="Arial"/>
                <w:sz w:val="14"/>
                <w:szCs w:val="14"/>
                <w:color w:val="auto"/>
              </w:rPr>
              <w:t>(35,460,386)</w:t>
            </w:r>
          </w:p>
        </w:tc>
        <w:tc>
          <w:tcPr>
            <w:tcW w:w="300" w:type="dxa"/>
            <w:vAlign w:val="bottom"/>
            <w:shd w:val="clear" w:color="auto" w:fill="CCECFF"/>
          </w:tcPr>
          <w:p>
            <w:pPr>
              <w:spacing w:after="0"/>
              <w:rPr>
                <w:sz w:val="14"/>
                <w:szCs w:val="14"/>
                <w:color w:val="auto"/>
              </w:rPr>
            </w:pPr>
          </w:p>
        </w:tc>
        <w:tc>
          <w:tcPr>
            <w:tcW w:w="122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(456,577,909)</w:t>
            </w:r>
          </w:p>
        </w:tc>
        <w:tc>
          <w:tcPr>
            <w:tcW w:w="0" w:type="dxa"/>
            <w:vAlign w:val="bottom"/>
          </w:tcPr>
          <w:p>
            <w:pPr>
              <w:spacing w:after="0"/>
              <w:rPr>
                <w:sz w:val="1"/>
                <w:szCs w:val="1"/>
                <w:color w:val="auto"/>
              </w:rPr>
            </w:pPr>
          </w:p>
        </w:tc>
      </w:tr>
      <w:tr>
        <w:trPr>
          <w:trHeight w:val="162"/>
        </w:trPr>
        <w:tc>
          <w:tcPr>
            <w:tcW w:w="6240" w:type="dxa"/>
            <w:vAlign w:val="bottom"/>
          </w:tcPr>
          <w:p>
            <w:pPr>
              <w:ind w:left="500"/>
              <w:spacing w:after="0"/>
              <w:rPr>
                <w:sz w:val="20"/>
                <w:szCs w:val="20"/>
                <w:color w:val="auto"/>
              </w:rPr>
            </w:pPr>
            <w:r>
              <w:rPr>
                <w:rFonts w:ascii="Arial" w:cs="Arial" w:eastAsia="Arial" w:hAnsi="Arial"/>
                <w:sz w:val="14"/>
                <w:szCs w:val="14"/>
                <w:color w:val="auto"/>
              </w:rPr>
              <w:t>Transfers in/out of Level 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4"/>
                <w:szCs w:val="14"/>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6240" w:type="dxa"/>
            <w:vAlign w:val="bottom"/>
            <w:tcBorders>
              <w:top w:val="single" w:sz="8" w:color="CCECFF"/>
              <w:bottom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Ending Balance</w:t>
            </w:r>
          </w:p>
        </w:tc>
        <w:tc>
          <w:tcPr>
            <w:tcW w:w="16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970,411,228</w:t>
            </w:r>
          </w:p>
        </w:tc>
        <w:tc>
          <w:tcPr>
            <w:tcW w:w="280" w:type="dxa"/>
            <w:vAlign w:val="bottom"/>
            <w:tcBorders>
              <w:top w:val="single" w:sz="8" w:color="CCECFF"/>
              <w:bottom w:val="single" w:sz="8" w:color="CCECFF"/>
            </w:tcBorders>
            <w:shd w:val="clear" w:color="auto" w:fill="CCECFF"/>
          </w:tcPr>
          <w:p>
            <w:pPr>
              <w:spacing w:after="0"/>
              <w:rPr>
                <w:sz w:val="13"/>
                <w:szCs w:val="13"/>
                <w:color w:val="auto"/>
              </w:rPr>
            </w:pPr>
          </w:p>
        </w:tc>
        <w:tc>
          <w:tcPr>
            <w:tcW w:w="200" w:type="dxa"/>
            <w:vAlign w:val="bottom"/>
            <w:tcBorders>
              <w:top w:val="single" w:sz="8" w:color="auto"/>
              <w:bottom w:val="single" w:sz="8" w:color="auto"/>
            </w:tcBorders>
            <w:shd w:val="clear" w:color="auto" w:fill="CCECFF"/>
          </w:tcPr>
          <w:p>
            <w:pPr>
              <w:jc w:val="right"/>
              <w:ind w:right="8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127,318,822</w:t>
            </w:r>
          </w:p>
        </w:tc>
        <w:tc>
          <w:tcPr>
            <w:tcW w:w="260" w:type="dxa"/>
            <w:vAlign w:val="bottom"/>
            <w:tcBorders>
              <w:top w:val="single" w:sz="8" w:color="CCECFF"/>
              <w:bottom w:val="single" w:sz="8" w:color="CCECFF"/>
            </w:tcBorders>
            <w:shd w:val="clear" w:color="auto" w:fill="CCECFF"/>
          </w:tcPr>
          <w:p>
            <w:pPr>
              <w:spacing w:after="0"/>
              <w:rPr>
                <w:sz w:val="13"/>
                <w:szCs w:val="13"/>
                <w:color w:val="auto"/>
              </w:rPr>
            </w:pPr>
          </w:p>
        </w:tc>
        <w:tc>
          <w:tcPr>
            <w:tcW w:w="300" w:type="dxa"/>
            <w:vAlign w:val="bottom"/>
            <w:tcBorders>
              <w:top w:val="single" w:sz="8" w:color="auto"/>
              <w:bottom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1,097,730,050</w:t>
            </w:r>
          </w:p>
        </w:tc>
        <w:tc>
          <w:tcPr>
            <w:tcW w:w="100" w:type="dxa"/>
            <w:vAlign w:val="bottom"/>
            <w:tcBorders>
              <w:top w:val="single" w:sz="8" w:color="CCECFF"/>
              <w:bottom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4"/>
                <w:szCs w:val="14"/>
                <w:color w:val="auto"/>
              </w:rPr>
              <w:t>Net change in unrealized appreciation (depreciation) reported within the net change in unrealized</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624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6240" w:type="dxa"/>
            <w:vAlign w:val="bottom"/>
          </w:tcPr>
          <w:p>
            <w:pPr>
              <w:spacing w:after="0" w:line="149" w:lineRule="exact"/>
              <w:rPr>
                <w:sz w:val="20"/>
                <w:szCs w:val="20"/>
                <w:color w:val="auto"/>
              </w:rPr>
            </w:pPr>
            <w:r>
              <w:rPr>
                <w:rFonts w:ascii="Arial" w:cs="Arial" w:eastAsia="Arial" w:hAnsi="Arial"/>
                <w:sz w:val="14"/>
                <w:szCs w:val="14"/>
                <w:color w:val="auto"/>
                <w:w w:val="93"/>
              </w:rPr>
              <w:t>(depreciation) appreciation on investments in our Consolidated Statements of Operations attributable to our</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240" w:type="dxa"/>
            <w:vAlign w:val="bottom"/>
          </w:tcPr>
          <w:p>
            <w:pPr>
              <w:spacing w:after="0"/>
              <w:rPr>
                <w:sz w:val="20"/>
                <w:szCs w:val="20"/>
                <w:color w:val="auto"/>
              </w:rPr>
            </w:pPr>
            <w:r>
              <w:rPr>
                <w:rFonts w:ascii="Arial" w:cs="Arial" w:eastAsia="Arial" w:hAnsi="Arial"/>
                <w:sz w:val="14"/>
                <w:szCs w:val="14"/>
                <w:color w:val="auto"/>
              </w:rPr>
              <w:t>Level 3 assets still held at the reporting date.</w:t>
            </w:r>
          </w:p>
        </w:tc>
        <w:tc>
          <w:tcPr>
            <w:tcW w:w="36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15,859,153</w:t>
            </w:r>
          </w:p>
        </w:tc>
        <w:tc>
          <w:tcPr>
            <w:tcW w:w="28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1460" w:type="dxa"/>
            <w:vAlign w:val="bottom"/>
            <w:gridSpan w:val="2"/>
          </w:tcPr>
          <w:p>
            <w:pPr>
              <w:jc w:val="right"/>
              <w:ind w:right="220"/>
              <w:spacing w:after="0"/>
              <w:rPr>
                <w:sz w:val="20"/>
                <w:szCs w:val="20"/>
                <w:color w:val="auto"/>
              </w:rPr>
            </w:pPr>
            <w:r>
              <w:rPr>
                <w:rFonts w:ascii="Arial" w:cs="Arial" w:eastAsia="Arial" w:hAnsi="Arial"/>
                <w:sz w:val="14"/>
                <w:szCs w:val="14"/>
                <w:color w:val="auto"/>
              </w:rPr>
              <w:t>(7,836,181)</w:t>
            </w: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8,022,972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460"/>
        <w:spacing w:after="0"/>
        <w:rPr>
          <w:sz w:val="20"/>
          <w:szCs w:val="20"/>
          <w:color w:val="auto"/>
        </w:rPr>
      </w:pPr>
      <w:r>
        <w:rPr>
          <w:rFonts w:ascii="Arial" w:cs="Arial" w:eastAsia="Arial" w:hAnsi="Arial"/>
          <w:sz w:val="14"/>
          <w:szCs w:val="14"/>
          <w:color w:val="auto"/>
        </w:rPr>
        <w:t>The table below shows a reconciliation of the beginning and ending balances for fair valued liabilities measured using significant unobservable inputs (Level 3):</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60" w:type="dxa"/>
            <w:vAlign w:val="bottom"/>
            <w:gridSpan w:val="5"/>
          </w:tcPr>
          <w:p>
            <w:pPr>
              <w:jc w:val="right"/>
              <w:ind w:right="940"/>
              <w:spacing w:after="0"/>
              <w:rPr>
                <w:sz w:val="20"/>
                <w:szCs w:val="20"/>
                <w:color w:val="auto"/>
              </w:rPr>
            </w:pPr>
            <w:r>
              <w:rPr>
                <w:rFonts w:ascii="Arial" w:cs="Arial" w:eastAsia="Arial" w:hAnsi="Arial"/>
                <w:sz w:val="14"/>
                <w:szCs w:val="14"/>
                <w:b w:val="1"/>
                <w:bCs w:val="1"/>
                <w:color w:val="auto"/>
              </w:rPr>
              <w:t>Nine Months Ended June 30,</w:t>
            </w:r>
          </w:p>
        </w:tc>
        <w:tc>
          <w:tcPr>
            <w:tcW w:w="0" w:type="dxa"/>
            <w:vAlign w:val="bottom"/>
          </w:tcPr>
          <w:p>
            <w:pPr>
              <w:spacing w:after="0"/>
              <w:rPr>
                <w:sz w:val="1"/>
                <w:szCs w:val="1"/>
                <w:color w:val="auto"/>
              </w:rPr>
            </w:pPr>
          </w:p>
        </w:tc>
      </w:tr>
      <w:tr>
        <w:trPr>
          <w:trHeight w:val="26"/>
        </w:trPr>
        <w:tc>
          <w:tcPr>
            <w:tcW w:w="7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Credit Facility</w:t>
            </w: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77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00" w:type="dxa"/>
            <w:vAlign w:val="bottom"/>
          </w:tcPr>
          <w:p>
            <w:pPr>
              <w:jc w:val="right"/>
              <w:ind w:right="56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56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Beginning Balance (cost – $79,392,900 and $50,339,700, respectively)</w:t>
            </w:r>
          </w:p>
        </w:tc>
        <w:tc>
          <w:tcPr>
            <w:tcW w:w="16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76,037,341</w:t>
            </w:r>
          </w:p>
        </w:tc>
        <w:tc>
          <w:tcPr>
            <w:tcW w:w="280" w:type="dxa"/>
            <w:vAlign w:val="bottom"/>
            <w:tcBorders>
              <w:top w:val="single" w:sz="8" w:color="CCECFF"/>
            </w:tcBorders>
            <w:shd w:val="clear" w:color="auto" w:fill="CCECFF"/>
          </w:tcPr>
          <w:p>
            <w:pPr>
              <w:spacing w:after="0"/>
              <w:rPr>
                <w:sz w:val="13"/>
                <w:szCs w:val="13"/>
                <w:color w:val="auto"/>
              </w:rPr>
            </w:pPr>
          </w:p>
        </w:tc>
        <w:tc>
          <w:tcPr>
            <w:tcW w:w="360" w:type="dxa"/>
            <w:vAlign w:val="bottom"/>
            <w:tcBorders>
              <w:top w:val="single" w:sz="8" w:color="auto"/>
            </w:tcBorders>
            <w:shd w:val="clear" w:color="auto" w:fill="CCECFF"/>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39,551,187</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Net change in unrealized appreciation included in earnings</w:t>
            </w: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1,146,122</w:t>
            </w: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4,591,726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 xml:space="preserve">Borrowings </w:t>
            </w:r>
            <w:r>
              <w:rPr>
                <w:rFonts w:ascii="Arial" w:cs="Arial" w:eastAsia="Arial" w:hAnsi="Arial"/>
                <w:sz w:val="12"/>
                <w:szCs w:val="12"/>
                <w:color w:val="auto"/>
              </w:rPr>
              <w:t>(1)</w:t>
            </w: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76,520,000</w:t>
            </w:r>
          </w:p>
        </w:tc>
        <w:tc>
          <w:tcPr>
            <w:tcW w:w="280" w:type="dxa"/>
            <w:vAlign w:val="bottom"/>
            <w:shd w:val="clear" w:color="auto" w:fill="CCECFF"/>
          </w:tcPr>
          <w:p>
            <w:pPr>
              <w:spacing w:after="0"/>
              <w:rPr>
                <w:sz w:val="14"/>
                <w:szCs w:val="14"/>
                <w:color w:val="auto"/>
              </w:rPr>
            </w:pPr>
          </w:p>
        </w:tc>
        <w:tc>
          <w:tcPr>
            <w:tcW w:w="360" w:type="dxa"/>
            <w:vAlign w:val="bottom"/>
            <w:shd w:val="clear" w:color="auto" w:fill="CCECFF"/>
          </w:tcPr>
          <w:p>
            <w:pPr>
              <w:spacing w:after="0"/>
              <w:rPr>
                <w:sz w:val="14"/>
                <w:szCs w:val="14"/>
                <w:color w:val="auto"/>
              </w:rPr>
            </w:pPr>
          </w:p>
        </w:tc>
        <w:tc>
          <w:tcPr>
            <w:tcW w:w="12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237,760,000</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720" w:type="dxa"/>
            <w:vAlign w:val="bottom"/>
            <w:gridSpan w:val="2"/>
          </w:tcPr>
          <w:p>
            <w:pPr>
              <w:ind w:left="500"/>
              <w:spacing w:after="0"/>
              <w:rPr>
                <w:sz w:val="20"/>
                <w:szCs w:val="20"/>
                <w:color w:val="auto"/>
              </w:rPr>
            </w:pPr>
            <w:r>
              <w:rPr>
                <w:rFonts w:ascii="Arial" w:cs="Arial" w:eastAsia="Arial" w:hAnsi="Arial"/>
                <w:sz w:val="14"/>
                <w:szCs w:val="14"/>
                <w:color w:val="auto"/>
              </w:rPr>
              <w:t xml:space="preserve">Repayments </w:t>
            </w:r>
            <w:r>
              <w:rPr>
                <w:rFonts w:ascii="Arial" w:cs="Arial" w:eastAsia="Arial" w:hAnsi="Arial"/>
                <w:sz w:val="12"/>
                <w:szCs w:val="12"/>
                <w:color w:val="auto"/>
              </w:rPr>
              <w:t>(1)</w:t>
            </w:r>
          </w:p>
        </w:tc>
        <w:tc>
          <w:tcPr>
            <w:tcW w:w="360" w:type="dxa"/>
            <w:vAlign w:val="bottom"/>
          </w:tcPr>
          <w:p>
            <w:pPr>
              <w:spacing w:after="0"/>
              <w:rPr>
                <w:sz w:val="14"/>
                <w:szCs w:val="1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(114,392,900)</w:t>
            </w:r>
          </w:p>
        </w:tc>
        <w:tc>
          <w:tcPr>
            <w:tcW w:w="360" w:type="dxa"/>
            <w:vAlign w:val="bottom"/>
          </w:tcPr>
          <w:p>
            <w:pPr>
              <w:spacing w:after="0"/>
              <w:rPr>
                <w:sz w:val="14"/>
                <w:szCs w:val="14"/>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color w:val="auto"/>
              </w:rPr>
              <w:t>(205,994,400)</w:t>
            </w: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Transfers in and/or out of Level 3</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$41,520,000 and $82,105,300, respectively)</w:t>
            </w:r>
          </w:p>
        </w:tc>
        <w:tc>
          <w:tcPr>
            <w:tcW w:w="3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39,310,563</w:t>
            </w:r>
          </w:p>
        </w:tc>
        <w:tc>
          <w:tcPr>
            <w:tcW w:w="280" w:type="dxa"/>
            <w:vAlign w:val="bottom"/>
          </w:tcPr>
          <w:p>
            <w:pPr>
              <w:spacing w:after="0"/>
              <w:rPr>
                <w:sz w:val="13"/>
                <w:szCs w:val="13"/>
                <w:color w:val="auto"/>
              </w:rPr>
            </w:pPr>
          </w:p>
        </w:tc>
        <w:tc>
          <w:tcPr>
            <w:tcW w:w="360" w:type="dxa"/>
            <w:vAlign w:val="bottom"/>
            <w:tcBorders>
              <w:top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75,908,513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720" w:type="dxa"/>
            <w:vAlign w:val="bottom"/>
            <w:gridSpan w:val="2"/>
            <w:shd w:val="clear" w:color="auto" w:fill="CCECFF"/>
          </w:tcPr>
          <w:p>
            <w:pPr>
              <w:ind w:left="500"/>
              <w:spacing w:after="0"/>
              <w:rPr>
                <w:sz w:val="20"/>
                <w:szCs w:val="20"/>
                <w:color w:val="auto"/>
              </w:rPr>
            </w:pPr>
            <w:r>
              <w:rPr>
                <w:rFonts w:ascii="Arial" w:cs="Arial" w:eastAsia="Arial" w:hAnsi="Arial"/>
                <w:sz w:val="14"/>
                <w:szCs w:val="14"/>
                <w:color w:val="auto"/>
              </w:rPr>
              <w:t>Temporary draws outstanding, at cost</w:t>
            </w:r>
          </w:p>
        </w:tc>
        <w:tc>
          <w:tcPr>
            <w:tcW w:w="360" w:type="dxa"/>
            <w:vAlign w:val="bottom"/>
            <w:shd w:val="clear" w:color="auto" w:fill="CCECFF"/>
          </w:tcPr>
          <w:p>
            <w:pPr>
              <w:spacing w:after="0"/>
              <w:rPr>
                <w:sz w:val="14"/>
                <w:szCs w:val="14"/>
                <w:color w:val="auto"/>
              </w:rPr>
            </w:pPr>
          </w:p>
        </w:tc>
        <w:tc>
          <w:tcPr>
            <w:tcW w:w="1480" w:type="dxa"/>
            <w:vAlign w:val="bottom"/>
            <w:gridSpan w:val="2"/>
            <w:shd w:val="clear" w:color="auto" w:fill="CCECFF"/>
          </w:tcPr>
          <w:p>
            <w:pPr>
              <w:jc w:val="right"/>
              <w:ind w:right="300"/>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CFF"/>
          </w:tcPr>
          <w:p>
            <w:pPr>
              <w:spacing w:after="0"/>
              <w:rPr>
                <w:sz w:val="14"/>
                <w:szCs w:val="14"/>
                <w:color w:val="auto"/>
              </w:rPr>
            </w:pPr>
          </w:p>
        </w:tc>
        <w:tc>
          <w:tcPr>
            <w:tcW w:w="132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6"/>
        </w:trPr>
        <w:tc>
          <w:tcPr>
            <w:tcW w:w="7720" w:type="dxa"/>
            <w:vAlign w:val="bottom"/>
            <w:gridSpan w:val="2"/>
          </w:tcPr>
          <w:p>
            <w:pPr>
              <w:spacing w:after="0" w:line="155" w:lineRule="exact"/>
              <w:rPr>
                <w:sz w:val="20"/>
                <w:szCs w:val="20"/>
                <w:color w:val="auto"/>
              </w:rPr>
            </w:pPr>
            <w:r>
              <w:rPr>
                <w:rFonts w:ascii="Arial" w:cs="Arial" w:eastAsia="Arial" w:hAnsi="Arial"/>
                <w:sz w:val="14"/>
                <w:szCs w:val="14"/>
                <w:color w:val="auto"/>
              </w:rPr>
              <w:t>Ending Balance (cost – $41,520,000 and $82,105,300, respectively)</w:t>
            </w: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39,310,563</w:t>
            </w:r>
          </w:p>
        </w:tc>
        <w:tc>
          <w:tcPr>
            <w:tcW w:w="280" w:type="dxa"/>
            <w:vAlign w:val="bottom"/>
          </w:tcPr>
          <w:p>
            <w:pPr>
              <w:spacing w:after="0"/>
              <w:rPr>
                <w:sz w:val="13"/>
                <w:szCs w:val="13"/>
                <w:color w:val="auto"/>
              </w:rPr>
            </w:pPr>
          </w:p>
        </w:tc>
        <w:tc>
          <w:tcPr>
            <w:tcW w:w="360" w:type="dxa"/>
            <w:vAlign w:val="bottom"/>
            <w:tcBorders>
              <w:top w:val="single" w:sz="8" w:color="auto"/>
              <w:bottom w:val="single" w:sz="8" w:color="auto"/>
            </w:tcBorders>
          </w:tcPr>
          <w:p>
            <w:pPr>
              <w:jc w:val="right"/>
              <w:ind w:right="208"/>
              <w:spacing w:after="0" w:line="155" w:lineRule="exact"/>
              <w:rPr>
                <w:sz w:val="20"/>
                <w:szCs w:val="20"/>
                <w:color w:val="auto"/>
              </w:rPr>
            </w:pPr>
            <w:r>
              <w:rPr>
                <w:rFonts w:ascii="Arial" w:cs="Arial" w:eastAsia="Arial" w:hAnsi="Arial"/>
                <w:sz w:val="14"/>
                <w:szCs w:val="14"/>
                <w:color w:val="auto"/>
                <w:w w:val="76"/>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75,908,513</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3455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left="380" w:hanging="372"/>
        <w:spacing w:after="0"/>
        <w:tabs>
          <w:tab w:leader="none" w:pos="380" w:val="left"/>
        </w:tabs>
        <w:numPr>
          <w:ilvl w:val="0"/>
          <w:numId w:val="13"/>
        </w:numPr>
        <w:rPr>
          <w:rFonts w:ascii="Arial" w:cs="Arial" w:eastAsia="Arial" w:hAnsi="Arial"/>
          <w:sz w:val="12"/>
          <w:szCs w:val="12"/>
          <w:color w:val="auto"/>
        </w:rPr>
      </w:pPr>
      <w:r>
        <w:rPr>
          <w:rFonts w:ascii="Arial" w:cs="Arial" w:eastAsia="Arial" w:hAnsi="Arial"/>
          <w:sz w:val="14"/>
          <w:szCs w:val="14"/>
          <w:color w:val="auto"/>
        </w:rPr>
        <w:t>Excludes temporary draws.</w:t>
      </w:r>
    </w:p>
    <w:p>
      <w:pPr>
        <w:spacing w:after="0" w:line="136" w:lineRule="exact"/>
        <w:rPr>
          <w:sz w:val="20"/>
          <w:szCs w:val="20"/>
          <w:color w:val="auto"/>
        </w:rPr>
      </w:pPr>
    </w:p>
    <w:p>
      <w:pPr>
        <w:ind w:right="580" w:firstLine="443"/>
        <w:spacing w:after="0" w:line="253" w:lineRule="auto"/>
        <w:rPr>
          <w:sz w:val="20"/>
          <w:szCs w:val="20"/>
          <w:color w:val="auto"/>
        </w:rPr>
      </w:pPr>
      <w:r>
        <w:rPr>
          <w:rFonts w:ascii="Arial" w:cs="Arial" w:eastAsia="Arial" w:hAnsi="Arial"/>
          <w:sz w:val="14"/>
          <w:szCs w:val="14"/>
          <w:color w:val="auto"/>
        </w:rPr>
        <w:t>As of June 30, 2018, we had outstanding non-U.S. dollar borrowings on our Credit Facility.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gridSpan w:val="2"/>
          </w:tcPr>
          <w:p>
            <w:pPr>
              <w:ind w:left="140"/>
              <w:spacing w:after="0"/>
              <w:rPr>
                <w:sz w:val="20"/>
                <w:szCs w:val="20"/>
                <w:color w:val="auto"/>
              </w:rPr>
            </w:pPr>
            <w:r>
              <w:rPr>
                <w:rFonts w:ascii="Arial" w:cs="Arial" w:eastAsia="Arial" w:hAnsi="Arial"/>
                <w:sz w:val="14"/>
                <w:szCs w:val="14"/>
                <w:b w:val="1"/>
                <w:bCs w:val="1"/>
                <w:color w:val="auto"/>
              </w:rPr>
              <w:t>Current Value</w:t>
            </w: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6"/>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41,520,000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39,607,620</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1"/>
              </w:rPr>
              <w:t>September 14, 2018</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(1,912,380)</w:t>
            </w:r>
          </w:p>
        </w:tc>
        <w:tc>
          <w:tcPr>
            <w:tcW w:w="100" w:type="dxa"/>
            <w:vAlign w:val="bottom"/>
            <w:tcBorders>
              <w:top w:val="single" w:sz="8" w:color="CCECFF"/>
            </w:tcBorders>
            <w:shd w:val="clear" w:color="auto" w:fill="CCECFF"/>
          </w:tcPr>
          <w:p>
            <w:pPr>
              <w:spacing w:after="0"/>
              <w:rPr>
                <w:sz w:val="13"/>
                <w:szCs w:val="13"/>
                <w:color w:val="auto"/>
              </w:rPr>
            </w:pPr>
          </w:p>
        </w:tc>
      </w:tr>
    </w:tbl>
    <w:p>
      <w:pPr>
        <w:spacing w:after="0" w:line="130" w:lineRule="exact"/>
        <w:rPr>
          <w:sz w:val="20"/>
          <w:szCs w:val="20"/>
          <w:color w:val="auto"/>
        </w:rPr>
      </w:pPr>
    </w:p>
    <w:p>
      <w:pPr>
        <w:ind w:right="360" w:firstLine="443"/>
        <w:spacing w:after="0" w:line="253" w:lineRule="auto"/>
        <w:rPr>
          <w:sz w:val="20"/>
          <w:szCs w:val="20"/>
          <w:color w:val="auto"/>
        </w:rPr>
      </w:pPr>
      <w:r>
        <w:rPr>
          <w:rFonts w:ascii="Arial" w:cs="Arial" w:eastAsia="Arial" w:hAnsi="Arial"/>
          <w:sz w:val="14"/>
          <w:szCs w:val="14"/>
          <w:color w:val="auto"/>
        </w:rPr>
        <w:t>As of September 30, 2017, we had outstanding non-U.S. dollar borrowings on our Credit Facility. Net change in fair value on foreign currency translation on outstanding borrowings is listed below:</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20" w:type="dxa"/>
            <w:vAlign w:val="bottom"/>
          </w:tcPr>
          <w:p>
            <w:pPr>
              <w:spacing w:after="0"/>
              <w:rPr>
                <w:sz w:val="20"/>
                <w:szCs w:val="20"/>
                <w:color w:val="auto"/>
              </w:rPr>
            </w:pPr>
            <w:r>
              <w:rPr>
                <w:rFonts w:ascii="Arial" w:cs="Arial" w:eastAsia="Arial" w:hAnsi="Arial"/>
                <w:sz w:val="14"/>
                <w:szCs w:val="14"/>
                <w:b w:val="1"/>
                <w:bCs w:val="1"/>
                <w:color w:val="auto"/>
              </w:rPr>
              <w:t>Foreign Currency</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0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 Borrowed</w:t>
            </w:r>
          </w:p>
        </w:tc>
        <w:tc>
          <w:tcPr>
            <w:tcW w:w="200" w:type="dxa"/>
            <w:vAlign w:val="bottom"/>
          </w:tcPr>
          <w:p>
            <w:pPr>
              <w:spacing w:after="0"/>
              <w:rPr>
                <w:sz w:val="14"/>
                <w:szCs w:val="14"/>
                <w:color w:val="auto"/>
              </w:rPr>
            </w:pPr>
          </w:p>
        </w:tc>
        <w:tc>
          <w:tcPr>
            <w:tcW w:w="1380" w:type="dxa"/>
            <w:vAlign w:val="bottom"/>
          </w:tcPr>
          <w:p>
            <w:pPr>
              <w:jc w:val="right"/>
              <w:ind w:right="228"/>
              <w:spacing w:after="0"/>
              <w:rPr>
                <w:sz w:val="20"/>
                <w:szCs w:val="20"/>
                <w:color w:val="auto"/>
              </w:rPr>
            </w:pPr>
            <w:r>
              <w:rPr>
                <w:rFonts w:ascii="Arial" w:cs="Arial" w:eastAsia="Arial" w:hAnsi="Arial"/>
                <w:sz w:val="14"/>
                <w:szCs w:val="14"/>
                <w:b w:val="1"/>
                <w:bCs w:val="1"/>
                <w:color w:val="auto"/>
              </w:rPr>
              <w:t>Borrowing Cost</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80" w:type="dxa"/>
            <w:vAlign w:val="bottom"/>
          </w:tcPr>
          <w:p>
            <w:pPr>
              <w:jc w:val="right"/>
              <w:ind w:right="288"/>
              <w:spacing w:after="0"/>
              <w:rPr>
                <w:sz w:val="20"/>
                <w:szCs w:val="20"/>
                <w:color w:val="auto"/>
              </w:rPr>
            </w:pPr>
            <w:r>
              <w:rPr>
                <w:rFonts w:ascii="Arial" w:cs="Arial" w:eastAsia="Arial" w:hAnsi="Arial"/>
                <w:sz w:val="14"/>
                <w:szCs w:val="14"/>
                <w:b w:val="1"/>
                <w:bCs w:val="1"/>
                <w:color w:val="auto"/>
              </w:rPr>
              <w:t>Current Value</w:t>
            </w:r>
          </w:p>
        </w:tc>
        <w:tc>
          <w:tcPr>
            <w:tcW w:w="280" w:type="dxa"/>
            <w:vAlign w:val="bottom"/>
          </w:tcPr>
          <w:p>
            <w:pPr>
              <w:spacing w:after="0"/>
              <w:rPr>
                <w:sz w:val="14"/>
                <w:szCs w:val="14"/>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Reset Date</w:t>
            </w:r>
          </w:p>
        </w:tc>
        <w:tc>
          <w:tcPr>
            <w:tcW w:w="10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Change in Fair Value</w:t>
            </w: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British Pound</w:t>
            </w:r>
          </w:p>
        </w:tc>
        <w:tc>
          <w:tcPr>
            <w:tcW w:w="18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color w:val="auto"/>
              </w:rPr>
              <w:t>£</w:t>
            </w:r>
          </w:p>
        </w:tc>
        <w:tc>
          <w:tcPr>
            <w:tcW w:w="14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27,000,000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44,032,900</w:t>
            </w:r>
          </w:p>
        </w:tc>
        <w:tc>
          <w:tcPr>
            <w:tcW w:w="280" w:type="dxa"/>
            <w:vAlign w:val="bottom"/>
            <w:tcBorders>
              <w:top w:val="single" w:sz="8" w:color="CCECFF"/>
            </w:tcBorders>
            <w:shd w:val="clear" w:color="auto" w:fill="CCECFF"/>
          </w:tcPr>
          <w:p>
            <w:pPr>
              <w:spacing w:after="0"/>
              <w:rPr>
                <w:sz w:val="13"/>
                <w:szCs w:val="13"/>
                <w:color w:val="auto"/>
              </w:rPr>
            </w:pPr>
          </w:p>
        </w:tc>
        <w:tc>
          <w:tcPr>
            <w:tcW w:w="200" w:type="dxa"/>
            <w:vAlign w:val="bottom"/>
            <w:tcBorders>
              <w:top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36,224,604</w:t>
            </w:r>
          </w:p>
        </w:tc>
        <w:tc>
          <w:tcPr>
            <w:tcW w:w="280" w:type="dxa"/>
            <w:vAlign w:val="bottom"/>
            <w:tcBorders>
              <w:top w:val="single" w:sz="8" w:color="CCECFF"/>
            </w:tcBorders>
            <w:shd w:val="clear" w:color="auto" w:fill="CCECFF"/>
          </w:tcPr>
          <w:p>
            <w:pPr>
              <w:spacing w:after="0"/>
              <w:rPr>
                <w:sz w:val="13"/>
                <w:szCs w:val="13"/>
                <w:color w:val="auto"/>
              </w:rPr>
            </w:pPr>
          </w:p>
        </w:tc>
        <w:tc>
          <w:tcPr>
            <w:tcW w:w="17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3"/>
              </w:rPr>
              <w:t>October 4, 2017</w:t>
            </w:r>
          </w:p>
        </w:tc>
        <w:tc>
          <w:tcPr>
            <w:tcW w:w="18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(7,808,296)</w:t>
            </w:r>
          </w:p>
        </w:tc>
        <w:tc>
          <w:tcPr>
            <w:tcW w:w="100" w:type="dxa"/>
            <w:vAlign w:val="bottom"/>
            <w:tcBorders>
              <w:top w:val="single" w:sz="8" w:color="CCECFF"/>
            </w:tcBorders>
            <w:shd w:val="clear" w:color="auto" w:fill="CCECFF"/>
          </w:tcPr>
          <w:p>
            <w:pPr>
              <w:spacing w:after="0"/>
              <w:rPr>
                <w:sz w:val="13"/>
                <w:szCs w:val="13"/>
                <w:color w:val="auto"/>
              </w:rPr>
            </w:pPr>
          </w:p>
        </w:tc>
      </w:tr>
      <w:tr>
        <w:trPr>
          <w:trHeight w:val="162"/>
        </w:trPr>
        <w:tc>
          <w:tcPr>
            <w:tcW w:w="1920" w:type="dxa"/>
            <w:vAlign w:val="bottom"/>
            <w:tcBorders>
              <w:bottom w:val="single" w:sz="8" w:color="CCECFF"/>
            </w:tcBorders>
          </w:tcPr>
          <w:p>
            <w:pPr>
              <w:spacing w:after="0"/>
              <w:rPr>
                <w:sz w:val="20"/>
                <w:szCs w:val="20"/>
                <w:color w:val="auto"/>
              </w:rPr>
            </w:pPr>
            <w:r>
              <w:rPr>
                <w:rFonts w:ascii="Arial" w:cs="Arial" w:eastAsia="Arial" w:hAnsi="Arial"/>
                <w:sz w:val="14"/>
                <w:szCs w:val="14"/>
                <w:color w:val="auto"/>
              </w:rPr>
              <w:t>Euro</w:t>
            </w:r>
          </w:p>
        </w:tc>
        <w:tc>
          <w:tcPr>
            <w:tcW w:w="320" w:type="dxa"/>
            <w:vAlign w:val="bottom"/>
            <w:tcBorders>
              <w:bottom w:val="single" w:sz="8" w:color="CCECFF"/>
            </w:tcBorders>
            <w:gridSpan w:val="2"/>
          </w:tcPr>
          <w:p>
            <w:pPr>
              <w:ind w:left="180"/>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CCECFF"/>
            </w:tcBorders>
          </w:tcPr>
          <w:p>
            <w:pPr>
              <w:jc w:val="right"/>
              <w:spacing w:after="0"/>
              <w:rPr>
                <w:sz w:val="20"/>
                <w:szCs w:val="20"/>
                <w:color w:val="auto"/>
              </w:rPr>
            </w:pPr>
            <w:r>
              <w:rPr>
                <w:rFonts w:ascii="Arial" w:cs="Arial" w:eastAsia="Arial" w:hAnsi="Arial"/>
                <w:sz w:val="14"/>
                <w:szCs w:val="14"/>
                <w:color w:val="auto"/>
              </w:rPr>
              <w:t>34,000,000</w:t>
            </w:r>
          </w:p>
        </w:tc>
        <w:tc>
          <w:tcPr>
            <w:tcW w:w="2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35,360,000</w:t>
            </w:r>
          </w:p>
        </w:tc>
        <w:tc>
          <w:tcPr>
            <w:tcW w:w="280" w:type="dxa"/>
            <w:vAlign w:val="bottom"/>
            <w:tcBorders>
              <w:bottom w:val="single" w:sz="8" w:color="CCEC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40,194,834</w:t>
            </w:r>
          </w:p>
        </w:tc>
        <w:tc>
          <w:tcPr>
            <w:tcW w:w="280" w:type="dxa"/>
            <w:vAlign w:val="bottom"/>
            <w:tcBorders>
              <w:bottom w:val="single" w:sz="8" w:color="CCECFF"/>
            </w:tcBorders>
          </w:tcPr>
          <w:p>
            <w:pPr>
              <w:spacing w:after="0"/>
              <w:rPr>
                <w:sz w:val="14"/>
                <w:szCs w:val="14"/>
                <w:color w:val="auto"/>
              </w:rPr>
            </w:pPr>
          </w:p>
        </w:tc>
        <w:tc>
          <w:tcPr>
            <w:tcW w:w="1880" w:type="dxa"/>
            <w:vAlign w:val="bottom"/>
            <w:tcBorders>
              <w:bottom w:val="single" w:sz="8" w:color="CCECFF"/>
            </w:tcBorders>
            <w:gridSpan w:val="2"/>
          </w:tcPr>
          <w:p>
            <w:pPr>
              <w:jc w:val="center"/>
              <w:ind w:right="180"/>
              <w:spacing w:after="0"/>
              <w:rPr>
                <w:sz w:val="20"/>
                <w:szCs w:val="20"/>
                <w:color w:val="auto"/>
              </w:rPr>
            </w:pPr>
            <w:r>
              <w:rPr>
                <w:rFonts w:ascii="Arial" w:cs="Arial" w:eastAsia="Arial" w:hAnsi="Arial"/>
                <w:sz w:val="14"/>
                <w:szCs w:val="14"/>
                <w:color w:val="auto"/>
                <w:w w:val="93"/>
              </w:rPr>
              <w:t>October 4, 2017</w:t>
            </w:r>
          </w:p>
        </w:tc>
        <w:tc>
          <w:tcPr>
            <w:tcW w:w="1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4,834,834</w:t>
            </w:r>
          </w:p>
        </w:tc>
        <w:tc>
          <w:tcPr>
            <w:tcW w:w="100" w:type="dxa"/>
            <w:vAlign w:val="bottom"/>
            <w:tcBorders>
              <w:bottom w:val="single" w:sz="8" w:color="CCECFF"/>
            </w:tcBorders>
          </w:tcPr>
          <w:p>
            <w:pPr>
              <w:spacing w:after="0"/>
              <w:rPr>
                <w:sz w:val="14"/>
                <w:szCs w:val="14"/>
                <w:color w:val="auto"/>
              </w:rPr>
            </w:pPr>
          </w:p>
        </w:tc>
      </w:tr>
      <w:tr>
        <w:trPr>
          <w:trHeight w:val="155"/>
        </w:trPr>
        <w:tc>
          <w:tcPr>
            <w:tcW w:w="192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40" w:type="dxa"/>
            <w:vAlign w:val="bottom"/>
            <w:tcBorders>
              <w:bottom w:val="single" w:sz="8" w:color="CCECFF"/>
            </w:tcBorders>
            <w:shd w:val="clear" w:color="auto" w:fill="CCECFF"/>
          </w:tcPr>
          <w:p>
            <w:pPr>
              <w:spacing w:after="0"/>
              <w:rPr>
                <w:sz w:val="13"/>
                <w:szCs w:val="13"/>
                <w:color w:val="auto"/>
              </w:rPr>
            </w:pPr>
          </w:p>
        </w:tc>
        <w:tc>
          <w:tcPr>
            <w:tcW w:w="1420" w:type="dxa"/>
            <w:vAlign w:val="bottom"/>
            <w:tcBorders>
              <w:bottom w:val="single" w:sz="8" w:color="CCECFF"/>
            </w:tcBorders>
            <w:shd w:val="clear" w:color="auto" w:fill="CCECFF"/>
          </w:tcPr>
          <w:p>
            <w:pPr>
              <w:spacing w:after="0"/>
              <w:rPr>
                <w:sz w:val="13"/>
                <w:szCs w:val="13"/>
                <w:color w:val="auto"/>
              </w:rPr>
            </w:pPr>
          </w:p>
        </w:tc>
        <w:tc>
          <w:tcPr>
            <w:tcW w:w="2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79,392,900</w:t>
            </w:r>
          </w:p>
        </w:tc>
        <w:tc>
          <w:tcPr>
            <w:tcW w:w="280" w:type="dxa"/>
            <w:vAlign w:val="bottom"/>
            <w:tcBorders>
              <w:bottom w:val="single" w:sz="8" w:color="CCECFF"/>
            </w:tcBorders>
            <w:shd w:val="clear" w:color="auto" w:fill="CCECFF"/>
          </w:tcPr>
          <w:p>
            <w:pPr>
              <w:spacing w:after="0"/>
              <w:rPr>
                <w:sz w:val="13"/>
                <w:szCs w:val="13"/>
                <w:color w:val="auto"/>
              </w:rPr>
            </w:pPr>
          </w:p>
        </w:tc>
        <w:tc>
          <w:tcPr>
            <w:tcW w:w="200" w:type="dxa"/>
            <w:vAlign w:val="bottom"/>
            <w:tcBorders>
              <w:bottom w:val="single" w:sz="8" w:color="auto"/>
            </w:tcBorders>
            <w:shd w:val="clear" w:color="auto" w:fill="CCEC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76,419,438</w:t>
            </w:r>
          </w:p>
        </w:tc>
        <w:tc>
          <w:tcPr>
            <w:tcW w:w="280" w:type="dxa"/>
            <w:vAlign w:val="bottom"/>
            <w:tcBorders>
              <w:bottom w:val="single" w:sz="8" w:color="CCECFF"/>
            </w:tcBorders>
            <w:shd w:val="clear" w:color="auto" w:fill="CCECFF"/>
          </w:tcPr>
          <w:p>
            <w:pPr>
              <w:spacing w:after="0"/>
              <w:rPr>
                <w:sz w:val="13"/>
                <w:szCs w:val="13"/>
                <w:color w:val="auto"/>
              </w:rPr>
            </w:pPr>
          </w:p>
        </w:tc>
        <w:tc>
          <w:tcPr>
            <w:tcW w:w="1700" w:type="dxa"/>
            <w:vAlign w:val="bottom"/>
            <w:tcBorders>
              <w:bottom w:val="single" w:sz="8" w:color="CCECFF"/>
            </w:tcBorders>
            <w:shd w:val="clear" w:color="auto" w:fill="CCECFF"/>
          </w:tcPr>
          <w:p>
            <w:pPr>
              <w:spacing w:after="0"/>
              <w:rPr>
                <w:sz w:val="13"/>
                <w:szCs w:val="13"/>
                <w:color w:val="auto"/>
              </w:rPr>
            </w:pPr>
          </w:p>
        </w:tc>
        <w:tc>
          <w:tcPr>
            <w:tcW w:w="180" w:type="dxa"/>
            <w:vAlign w:val="bottom"/>
            <w:tcBorders>
              <w:bottom w:val="single" w:sz="8" w:color="CCECFF"/>
            </w:tcBorders>
            <w:shd w:val="clear" w:color="auto" w:fill="CCECFF"/>
          </w:tcPr>
          <w:p>
            <w:pPr>
              <w:spacing w:after="0"/>
              <w:rPr>
                <w:sz w:val="13"/>
                <w:szCs w:val="13"/>
                <w:color w:val="auto"/>
              </w:rPr>
            </w:pPr>
          </w:p>
        </w:tc>
        <w:tc>
          <w:tcPr>
            <w:tcW w:w="1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500" w:type="dxa"/>
            <w:vAlign w:val="bottom"/>
            <w:tcBorders>
              <w:bottom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(2,973,462)</w:t>
            </w:r>
          </w:p>
        </w:tc>
        <w:tc>
          <w:tcPr>
            <w:tcW w:w="100" w:type="dxa"/>
            <w:vAlign w:val="bottom"/>
            <w:tcBorders>
              <w:bottom w:val="single" w:sz="8" w:color="CCECFF"/>
            </w:tcBorders>
            <w:shd w:val="clear" w:color="auto" w:fill="CCECFF"/>
          </w:tcPr>
          <w:p>
            <w:pPr>
              <w:spacing w:after="0"/>
              <w:rPr>
                <w:sz w:val="13"/>
                <w:szCs w:val="13"/>
                <w:color w:val="auto"/>
              </w:rPr>
            </w:pPr>
          </w:p>
        </w:tc>
      </w:tr>
      <w:tr>
        <w:trPr>
          <w:trHeight w:val="20"/>
        </w:trPr>
        <w:tc>
          <w:tcPr>
            <w:tcW w:w="1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30" w:lineRule="exact"/>
        <w:rPr>
          <w:sz w:val="20"/>
          <w:szCs w:val="20"/>
          <w:color w:val="auto"/>
        </w:rPr>
      </w:pPr>
    </w:p>
    <w:p>
      <w:pPr>
        <w:ind w:right="360" w:firstLine="443"/>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Subtopic 825-10, Financial Instruments, or ASC 825-10, which provides companies with an option to report selected financial assets and liabilities at fair value, and made an irrevocable election to apply ASC 825-10 to our Credit Facility, the 2019 Notes and, prior to their redemption, the 2025 Notes. We elected to use the fair value option for the Credit Facility, the 2019 Notes and the 2025 Notes to align the measurement attributes of both our assets and liabilities while mitigating volatility in earnings from using different measurement attributes. During the three and nine months ended June 30, 2018, we did not incur any expenses relating to amendment costs on the Credit Facility. For both of the same periods in the prior year, we incurred $3.9 million in expenses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the 2019 Notes and, prior to their redemption, the 2025 Notes are reported in our Consolidated Statements of Operations. We elected not to apply ASC 825-10 to any other financial assets or liabilities, including the SBA debentures. For the three and nine months ended June 30, 2018, our Credit Facility and the 2019 Notes had a net change in unrealized depreciation of $1.6 million and $3.1 million, respectively. For the three and nine months ended June 30, 2017, our Credit Facility, the 2019 Notes and the 2025 Notes had a net change in unrealized appreciation of $2.1 million and $2.4 million, respectively. As of June 30, 2018 and September 30, 2017, net unrealized depreciation (appreciation) on our Credit Facility and the 2019 Notes totaled $0.8 million and $(2.3)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0" w:name="page21"/>
    <w:bookmarkEnd w:id="20"/>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6. TRANSACTIONS WITH AFFILIATED COMPANIES</w:t>
      </w:r>
    </w:p>
    <w:p>
      <w:pPr>
        <w:spacing w:after="0" w:line="140" w:lineRule="exact"/>
        <w:rPr>
          <w:sz w:val="20"/>
          <w:szCs w:val="20"/>
          <w:color w:val="auto"/>
        </w:rPr>
      </w:pPr>
    </w:p>
    <w:p>
      <w:pPr>
        <w:ind w:right="420" w:firstLine="435"/>
        <w:spacing w:after="0" w:line="238" w:lineRule="auto"/>
        <w:rPr>
          <w:sz w:val="20"/>
          <w:szCs w:val="20"/>
          <w:color w:val="auto"/>
        </w:rPr>
      </w:pPr>
      <w:r>
        <w:rPr>
          <w:rFonts w:ascii="Arial" w:cs="Arial" w:eastAsia="Arial" w:hAnsi="Arial"/>
          <w:sz w:val="14"/>
          <w:szCs w:val="14"/>
          <w:color w:val="auto"/>
        </w:rPr>
        <w:t>An affiliated portfolio company is a company in which we have ownership of 5% or more of its voting securities. A portfolio company is generally presumed to be a non-controlled affiliate when we own at least 5% but 25% or less of its voting securities and a controlled affiliate when we own more than 25% of its voting securities. Transactions related to our funded investments with both controlled and non-controlled affiliates for the nine months ended June 30, 2018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Purchases of /</w:t>
            </w:r>
          </w:p>
        </w:tc>
        <w:tc>
          <w:tcPr>
            <w:tcW w:w="120" w:type="dxa"/>
            <w:vAlign w:val="bottom"/>
          </w:tcPr>
          <w:p>
            <w:pPr>
              <w:spacing w:after="0"/>
              <w:rPr>
                <w:sz w:val="14"/>
                <w:szCs w:val="14"/>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Sale of /</w:t>
            </w:r>
          </w:p>
        </w:tc>
        <w:tc>
          <w:tcPr>
            <w:tcW w:w="100" w:type="dxa"/>
            <w:vAlign w:val="bottom"/>
          </w:tcPr>
          <w:p>
            <w:pPr>
              <w:spacing w:after="0"/>
              <w:rPr>
                <w:sz w:val="14"/>
                <w:szCs w:val="14"/>
                <w:color w:val="auto"/>
              </w:rPr>
            </w:pPr>
          </w:p>
        </w:tc>
        <w:tc>
          <w:tcPr>
            <w:tcW w:w="6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7"/>
              </w:rPr>
              <w:t>Income</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Net Change in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vMerge w:val="restart"/>
          </w:tcPr>
          <w:p>
            <w:pPr>
              <w:jc w:val="right"/>
              <w:ind w:right="168"/>
              <w:spacing w:after="0"/>
              <w:rPr>
                <w:sz w:val="20"/>
                <w:szCs w:val="20"/>
                <w:color w:val="auto"/>
              </w:rPr>
            </w:pPr>
            <w:r>
              <w:rPr>
                <w:rFonts w:ascii="Arial" w:cs="Arial" w:eastAsia="Arial" w:hAnsi="Arial"/>
                <w:sz w:val="14"/>
                <w:szCs w:val="14"/>
                <w:b w:val="1"/>
                <w:bCs w:val="1"/>
                <w:color w:val="auto"/>
              </w:rPr>
              <w:t>Fair Value at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8"/>
        </w:trPr>
        <w:tc>
          <w:tcPr>
            <w:tcW w:w="1920" w:type="dxa"/>
            <w:vAlign w:val="bottom"/>
            <w:vMerge w:val="restart"/>
          </w:tcPr>
          <w:p>
            <w:pPr>
              <w:spacing w:after="0"/>
              <w:rPr>
                <w:sz w:val="20"/>
                <w:szCs w:val="20"/>
                <w:color w:val="auto"/>
              </w:rPr>
            </w:pPr>
            <w:r>
              <w:rPr>
                <w:rFonts w:ascii="Arial" w:cs="Arial" w:eastAsia="Arial" w:hAnsi="Arial"/>
                <w:sz w:val="14"/>
                <w:szCs w:val="14"/>
                <w:b w:val="1"/>
                <w:bCs w:val="1"/>
                <w:color w:val="auto"/>
              </w:rPr>
              <w:t>Name of Investment</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Advances to</w:t>
            </w:r>
          </w:p>
        </w:tc>
        <w:tc>
          <w:tcPr>
            <w:tcW w:w="120" w:type="dxa"/>
            <w:vAlign w:val="bottom"/>
          </w:tcPr>
          <w:p>
            <w:pPr>
              <w:spacing w:after="0"/>
              <w:rPr>
                <w:sz w:val="12"/>
                <w:szCs w:val="12"/>
                <w:color w:val="auto"/>
              </w:rPr>
            </w:pPr>
          </w:p>
        </w:tc>
        <w:tc>
          <w:tcPr>
            <w:tcW w:w="12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Distributions</w:t>
            </w: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94"/>
              </w:rPr>
              <w:t>Appreciation /</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260" w:type="dxa"/>
            <w:vAlign w:val="bottom"/>
            <w:gridSpan w:val="4"/>
          </w:tcPr>
          <w:p>
            <w:pPr>
              <w:ind w:left="220"/>
              <w:spacing w:after="0" w:line="149" w:lineRule="exact"/>
              <w:rPr>
                <w:sz w:val="20"/>
                <w:szCs w:val="20"/>
                <w:color w:val="auto"/>
              </w:rPr>
            </w:pPr>
            <w:r>
              <w:rPr>
                <w:rFonts w:ascii="Arial" w:cs="Arial" w:eastAsia="Arial" w:hAnsi="Arial"/>
                <w:sz w:val="14"/>
                <w:szCs w:val="14"/>
                <w:b w:val="1"/>
                <w:bCs w:val="1"/>
                <w:color w:val="auto"/>
              </w:rPr>
              <w:t>Realized Gains</w:t>
            </w:r>
          </w:p>
        </w:tc>
        <w:tc>
          <w:tcPr>
            <w:tcW w:w="0" w:type="dxa"/>
            <w:vAlign w:val="bottom"/>
          </w:tcPr>
          <w:p>
            <w:pPr>
              <w:spacing w:after="0"/>
              <w:rPr>
                <w:sz w:val="1"/>
                <w:szCs w:val="1"/>
                <w:color w:val="auto"/>
              </w:rPr>
            </w:pPr>
          </w:p>
        </w:tc>
      </w:tr>
      <w:tr>
        <w:trPr>
          <w:trHeight w:val="171"/>
        </w:trPr>
        <w:tc>
          <w:tcPr>
            <w:tcW w:w="1920" w:type="dxa"/>
            <w:vAlign w:val="bottom"/>
            <w:vMerge w:val="continue"/>
          </w:tcPr>
          <w:p>
            <w:pPr>
              <w:spacing w:after="0"/>
              <w:rPr>
                <w:sz w:val="14"/>
                <w:szCs w:val="14"/>
                <w:color w:val="auto"/>
              </w:rPr>
            </w:pPr>
          </w:p>
        </w:tc>
        <w:tc>
          <w:tcPr>
            <w:tcW w:w="1520" w:type="dxa"/>
            <w:vAlign w:val="bottom"/>
            <w:gridSpan w:val="3"/>
          </w:tcPr>
          <w:p>
            <w:pPr>
              <w:ind w:left="120"/>
              <w:spacing w:after="0"/>
              <w:rPr>
                <w:sz w:val="20"/>
                <w:szCs w:val="20"/>
                <w:color w:val="auto"/>
              </w:rPr>
            </w:pPr>
            <w:r>
              <w:rPr>
                <w:rFonts w:ascii="Arial" w:cs="Arial" w:eastAsia="Arial" w:hAnsi="Arial"/>
                <w:sz w:val="14"/>
                <w:szCs w:val="14"/>
                <w:b w:val="1"/>
                <w:bCs w:val="1"/>
                <w:color w:val="auto"/>
                <w:w w:val="92"/>
              </w:rPr>
              <w:t xml:space="preserve">September 30, 2017 </w:t>
            </w:r>
            <w:r>
              <w:rPr>
                <w:rFonts w:ascii="Arial" w:cs="Arial" w:eastAsia="Arial" w:hAnsi="Arial"/>
                <w:sz w:val="12"/>
                <w:szCs w:val="12"/>
                <w:b w:val="1"/>
                <w:bCs w:val="1"/>
                <w:color w:val="auto"/>
                <w:w w:val="92"/>
              </w:rPr>
              <w:t>(1)</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 xml:space="preserve">Affiliates </w:t>
            </w:r>
            <w:r>
              <w:rPr>
                <w:rFonts w:ascii="Arial" w:cs="Arial" w:eastAsia="Arial" w:hAnsi="Arial"/>
                <w:sz w:val="12"/>
                <w:szCs w:val="12"/>
                <w:b w:val="1"/>
                <w:bCs w:val="1"/>
                <w:color w:val="auto"/>
                <w:w w:val="94"/>
              </w:rPr>
              <w:t>(1), (2)</w:t>
            </w:r>
          </w:p>
        </w:tc>
        <w:tc>
          <w:tcPr>
            <w:tcW w:w="13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 xml:space="preserve">from Affiliates </w:t>
            </w:r>
            <w:r>
              <w:rPr>
                <w:rFonts w:ascii="Arial" w:cs="Arial" w:eastAsia="Arial" w:hAnsi="Arial"/>
                <w:sz w:val="12"/>
                <w:szCs w:val="12"/>
                <w:b w:val="1"/>
                <w:bCs w:val="1"/>
                <w:color w:val="auto"/>
                <w:w w:val="94"/>
              </w:rPr>
              <w:t>(1)</w:t>
            </w:r>
          </w:p>
        </w:tc>
        <w:tc>
          <w:tcPr>
            <w:tcW w:w="100" w:type="dxa"/>
            <w:vAlign w:val="bottom"/>
          </w:tcPr>
          <w:p>
            <w:pPr>
              <w:spacing w:after="0"/>
              <w:rPr>
                <w:sz w:val="14"/>
                <w:szCs w:val="14"/>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b w:val="1"/>
                <w:bCs w:val="1"/>
                <w:color w:val="auto"/>
                <w:w w:val="92"/>
              </w:rPr>
              <w:t>Accrued</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(Depreciation)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w w:val="93"/>
              </w:rPr>
              <w:t xml:space="preserve">June 30, 2018 </w:t>
            </w:r>
            <w:r>
              <w:rPr>
                <w:rFonts w:ascii="Arial" w:cs="Arial" w:eastAsia="Arial" w:hAnsi="Arial"/>
                <w:sz w:val="12"/>
                <w:szCs w:val="12"/>
                <w:b w:val="1"/>
                <w:bCs w:val="1"/>
                <w:color w:val="auto"/>
                <w:w w:val="93"/>
              </w:rPr>
              <w:t>(1)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3"/>
              </w:rPr>
              <w:t>(Losses)</w:t>
            </w:r>
          </w:p>
        </w:tc>
        <w:tc>
          <w:tcPr>
            <w:tcW w:w="0" w:type="dxa"/>
            <w:vAlign w:val="bottom"/>
          </w:tcPr>
          <w:p>
            <w:pPr>
              <w:spacing w:after="0"/>
              <w:rPr>
                <w:sz w:val="1"/>
                <w:szCs w:val="1"/>
                <w:color w:val="auto"/>
              </w:rPr>
            </w:pPr>
          </w:p>
        </w:tc>
      </w:tr>
      <w:tr>
        <w:trPr>
          <w:trHeight w:val="155"/>
        </w:trPr>
        <w:tc>
          <w:tcPr>
            <w:tcW w:w="1920" w:type="dxa"/>
            <w:vAlign w:val="bottom"/>
            <w:tcBorders>
              <w:top w:val="single" w:sz="8" w:color="auto"/>
            </w:tcBorders>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Controlled Affiliates</w:t>
            </w:r>
          </w:p>
        </w:tc>
        <w:tc>
          <w:tcPr>
            <w:tcW w:w="120" w:type="dxa"/>
            <w:vAlign w:val="bottom"/>
            <w:tcBorders>
              <w:top w:val="single" w:sz="8" w:color="CCECFF"/>
            </w:tcBorders>
            <w:shd w:val="clear" w:color="auto" w:fill="CCECFF"/>
          </w:tcPr>
          <w:p>
            <w:pPr>
              <w:spacing w:after="0"/>
              <w:rPr>
                <w:sz w:val="13"/>
                <w:szCs w:val="13"/>
                <w:color w:val="auto"/>
              </w:rPr>
            </w:pPr>
          </w:p>
        </w:tc>
        <w:tc>
          <w:tcPr>
            <w:tcW w:w="180" w:type="dxa"/>
            <w:vAlign w:val="bottom"/>
            <w:tcBorders>
              <w:top w:val="single" w:sz="8" w:color="auto"/>
            </w:tcBorders>
            <w:shd w:val="clear" w:color="auto" w:fill="CCECFF"/>
          </w:tcPr>
          <w:p>
            <w:pPr>
              <w:spacing w:after="0"/>
              <w:rPr>
                <w:sz w:val="13"/>
                <w:szCs w:val="13"/>
                <w:color w:val="auto"/>
              </w:rPr>
            </w:pPr>
          </w:p>
        </w:tc>
        <w:tc>
          <w:tcPr>
            <w:tcW w:w="122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auto"/>
            </w:tcBorders>
            <w:shd w:val="clear" w:color="auto" w:fill="CCECFF"/>
          </w:tcPr>
          <w:p>
            <w:pPr>
              <w:spacing w:after="0"/>
              <w:rPr>
                <w:sz w:val="13"/>
                <w:szCs w:val="13"/>
                <w:color w:val="auto"/>
              </w:rPr>
            </w:pPr>
          </w:p>
        </w:tc>
        <w:tc>
          <w:tcPr>
            <w:tcW w:w="104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66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spacing w:after="0"/>
              <w:rPr>
                <w:sz w:val="13"/>
                <w:szCs w:val="13"/>
                <w:color w:val="auto"/>
              </w:rPr>
            </w:pPr>
          </w:p>
        </w:tc>
        <w:tc>
          <w:tcPr>
            <w:tcW w:w="1020" w:type="dxa"/>
            <w:vAlign w:val="bottom"/>
            <w:tcBorders>
              <w:top w:val="single" w:sz="8" w:color="auto"/>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spacing w:after="0"/>
              <w:rPr>
                <w:sz w:val="13"/>
                <w:szCs w:val="13"/>
                <w:color w:val="auto"/>
              </w:rPr>
            </w:pPr>
          </w:p>
        </w:tc>
        <w:tc>
          <w:tcPr>
            <w:tcW w:w="1180" w:type="dxa"/>
            <w:vAlign w:val="bottom"/>
            <w:tcBorders>
              <w:top w:val="single" w:sz="8" w:color="auto"/>
            </w:tcBorders>
            <w:shd w:val="clear" w:color="auto" w:fill="CCECFF"/>
          </w:tcPr>
          <w:p>
            <w:pPr>
              <w:spacing w:after="0"/>
              <w:rPr>
                <w:sz w:val="13"/>
                <w:szCs w:val="13"/>
                <w:color w:val="auto"/>
              </w:rPr>
            </w:pPr>
          </w:p>
        </w:tc>
        <w:tc>
          <w:tcPr>
            <w:tcW w:w="22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auto"/>
            </w:tcBorders>
            <w:shd w:val="clear" w:color="auto" w:fill="CCECFF"/>
          </w:tcPr>
          <w:p>
            <w:pPr>
              <w:spacing w:after="0"/>
              <w:rPr>
                <w:sz w:val="13"/>
                <w:szCs w:val="13"/>
                <w:color w:val="auto"/>
              </w:rPr>
            </w:pPr>
          </w:p>
        </w:tc>
        <w:tc>
          <w:tcPr>
            <w:tcW w:w="800" w:type="dxa"/>
            <w:vAlign w:val="bottom"/>
            <w:tcBorders>
              <w:top w:val="single" w:sz="8" w:color="auto"/>
            </w:tcBorders>
            <w:shd w:val="clear" w:color="auto" w:fill="CCECFF"/>
          </w:tcPr>
          <w:p>
            <w:pPr>
              <w:spacing w:after="0"/>
              <w:rPr>
                <w:sz w:val="13"/>
                <w:szCs w:val="13"/>
                <w:color w:val="auto"/>
              </w:rPr>
            </w:pPr>
          </w:p>
        </w:tc>
        <w:tc>
          <w:tcPr>
            <w:tcW w:w="10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 xml:space="preserve">AKW Holdings Limited </w:t>
            </w:r>
            <w:r>
              <w:rPr>
                <w:rFonts w:ascii="Arial" w:cs="Arial" w:eastAsia="Arial" w:hAnsi="Arial"/>
                <w:sz w:val="12"/>
                <w:szCs w:val="12"/>
                <w:color w:val="auto"/>
              </w:rPr>
              <w:t>(3)</w:t>
            </w:r>
          </w:p>
        </w:tc>
        <w:tc>
          <w:tcPr>
            <w:tcW w:w="300" w:type="dxa"/>
            <w:vAlign w:val="bottom"/>
            <w:gridSpan w:val="2"/>
          </w:tcPr>
          <w:p>
            <w:pPr>
              <w:ind w:left="12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w:t>
            </w:r>
          </w:p>
        </w:tc>
        <w:tc>
          <w:tcPr>
            <w:tcW w:w="3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39,184,097</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708,529</w:t>
            </w:r>
          </w:p>
        </w:tc>
        <w:tc>
          <w:tcPr>
            <w:tcW w:w="32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(656,181)</w:t>
            </w:r>
          </w:p>
        </w:tc>
        <w:tc>
          <w:tcPr>
            <w:tcW w:w="180" w:type="dxa"/>
            <w:vAlign w:val="bottom"/>
            <w:gridSpan w:val="2"/>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38,527,916</w:t>
            </w:r>
          </w:p>
        </w:tc>
        <w:tc>
          <w:tcPr>
            <w:tcW w:w="360" w:type="dxa"/>
            <w:vAlign w:val="bottom"/>
            <w:gridSpan w:val="2"/>
          </w:tcPr>
          <w:p>
            <w:pPr>
              <w:ind w:left="2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9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MidOcean JF Holdings Corp.</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(JF Acquisition, LLC)</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16,945,557</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1,073,864</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(4,895,296)</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13,124,124</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RAM Energy LLC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71,406,572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4,350,000</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(350,000)</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2,152,633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2,739,051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78,145,623</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3"/>
        </w:trPr>
        <w:tc>
          <w:tcPr>
            <w:tcW w:w="1920" w:type="dxa"/>
            <w:vAlign w:val="bottom"/>
            <w:shd w:val="clear" w:color="auto" w:fill="CCECFF"/>
          </w:tcPr>
          <w:p>
            <w:pPr>
              <w:spacing w:after="0" w:line="143" w:lineRule="exact"/>
              <w:rPr>
                <w:sz w:val="20"/>
                <w:szCs w:val="20"/>
                <w:color w:val="auto"/>
              </w:rPr>
            </w:pPr>
            <w:r>
              <w:rPr>
                <w:rFonts w:ascii="Arial" w:cs="Arial" w:eastAsia="Arial" w:hAnsi="Arial"/>
                <w:sz w:val="14"/>
                <w:szCs w:val="14"/>
                <w:color w:val="auto"/>
              </w:rPr>
              <w:t>Superior Digital Displays</w:t>
            </w:r>
          </w:p>
        </w:tc>
        <w:tc>
          <w:tcPr>
            <w:tcW w:w="120" w:type="dxa"/>
            <w:vAlign w:val="bottom"/>
            <w:shd w:val="clear" w:color="auto" w:fill="CCECFF"/>
          </w:tcPr>
          <w:p>
            <w:pPr>
              <w:spacing w:after="0"/>
              <w:rPr>
                <w:sz w:val="12"/>
                <w:szCs w:val="12"/>
                <w:color w:val="auto"/>
              </w:rPr>
            </w:pPr>
          </w:p>
        </w:tc>
        <w:tc>
          <w:tcPr>
            <w:tcW w:w="180" w:type="dxa"/>
            <w:vAlign w:val="bottom"/>
            <w:shd w:val="clear" w:color="auto" w:fill="CCECFF"/>
          </w:tcPr>
          <w:p>
            <w:pPr>
              <w:spacing w:after="0"/>
              <w:rPr>
                <w:sz w:val="12"/>
                <w:szCs w:val="12"/>
                <w:color w:val="auto"/>
              </w:rPr>
            </w:pPr>
          </w:p>
        </w:tc>
        <w:tc>
          <w:tcPr>
            <w:tcW w:w="122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20" w:type="dxa"/>
            <w:vAlign w:val="bottom"/>
            <w:shd w:val="clear" w:color="auto" w:fill="CCECFF"/>
          </w:tcPr>
          <w:p>
            <w:pPr>
              <w:spacing w:after="0"/>
              <w:rPr>
                <w:sz w:val="12"/>
                <w:szCs w:val="12"/>
                <w:color w:val="auto"/>
              </w:rPr>
            </w:pPr>
          </w:p>
        </w:tc>
        <w:tc>
          <w:tcPr>
            <w:tcW w:w="104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66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10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80" w:type="dxa"/>
            <w:vAlign w:val="bottom"/>
            <w:shd w:val="clear" w:color="auto" w:fill="CCECFF"/>
          </w:tcPr>
          <w:p>
            <w:pPr>
              <w:spacing w:after="0"/>
              <w:rPr>
                <w:sz w:val="12"/>
                <w:szCs w:val="12"/>
                <w:color w:val="auto"/>
              </w:rPr>
            </w:pPr>
          </w:p>
        </w:tc>
        <w:tc>
          <w:tcPr>
            <w:tcW w:w="1180" w:type="dxa"/>
            <w:vAlign w:val="bottom"/>
            <w:shd w:val="clear" w:color="auto" w:fill="CCECFF"/>
          </w:tcPr>
          <w:p>
            <w:pPr>
              <w:spacing w:after="0"/>
              <w:rPr>
                <w:sz w:val="12"/>
                <w:szCs w:val="12"/>
                <w:color w:val="auto"/>
              </w:rPr>
            </w:pPr>
          </w:p>
        </w:tc>
        <w:tc>
          <w:tcPr>
            <w:tcW w:w="220" w:type="dxa"/>
            <w:vAlign w:val="bottom"/>
            <w:shd w:val="clear" w:color="auto" w:fill="CCECFF"/>
          </w:tcPr>
          <w:p>
            <w:pPr>
              <w:spacing w:after="0"/>
              <w:rPr>
                <w:sz w:val="12"/>
                <w:szCs w:val="12"/>
                <w:color w:val="auto"/>
              </w:rPr>
            </w:pPr>
          </w:p>
        </w:tc>
        <w:tc>
          <w:tcPr>
            <w:tcW w:w="140" w:type="dxa"/>
            <w:vAlign w:val="bottom"/>
            <w:shd w:val="clear" w:color="auto" w:fill="CCECFF"/>
          </w:tcPr>
          <w:p>
            <w:pPr>
              <w:spacing w:after="0"/>
              <w:rPr>
                <w:sz w:val="12"/>
                <w:szCs w:val="12"/>
                <w:color w:val="auto"/>
              </w:rPr>
            </w:pPr>
          </w:p>
        </w:tc>
        <w:tc>
          <w:tcPr>
            <w:tcW w:w="800" w:type="dxa"/>
            <w:vAlign w:val="bottom"/>
            <w:shd w:val="clear" w:color="auto" w:fill="CCECFF"/>
          </w:tcPr>
          <w:p>
            <w:pPr>
              <w:spacing w:after="0"/>
              <w:rPr>
                <w:sz w:val="12"/>
                <w:szCs w:val="12"/>
                <w:color w:val="auto"/>
              </w:rPr>
            </w:pPr>
          </w:p>
        </w:tc>
        <w:tc>
          <w:tcPr>
            <w:tcW w:w="100" w:type="dxa"/>
            <w:vAlign w:val="bottom"/>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920" w:type="dxa"/>
            <w:vAlign w:val="bottom"/>
            <w:shd w:val="clear" w:color="auto" w:fill="CCECFF"/>
          </w:tcPr>
          <w:p>
            <w:pPr>
              <w:ind w:left="120"/>
              <w:spacing w:after="0"/>
              <w:rPr>
                <w:sz w:val="20"/>
                <w:szCs w:val="20"/>
                <w:color w:val="auto"/>
              </w:rPr>
            </w:pPr>
            <w:r>
              <w:rPr>
                <w:rFonts w:ascii="Arial" w:cs="Arial" w:eastAsia="Arial" w:hAnsi="Arial"/>
                <w:sz w:val="14"/>
                <w:szCs w:val="14"/>
                <w:color w:val="auto"/>
              </w:rPr>
              <w:t>Holdings, Inc.</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26,198,854</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13,015,104</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(9,000,000)</w:t>
            </w:r>
          </w:p>
        </w:tc>
        <w:tc>
          <w:tcPr>
            <w:tcW w:w="10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2,417,671</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(12,371,494)</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18,450,000</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187,236</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b w:val="1"/>
                <w:bCs w:val="1"/>
                <w:color w:val="auto"/>
              </w:rPr>
              <w:t>Non-Controlled Affiliates</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CFF"/>
          </w:tcPr>
          <w:p>
            <w:pPr>
              <w:spacing w:after="0"/>
              <w:rPr>
                <w:sz w:val="20"/>
                <w:szCs w:val="20"/>
                <w:color w:val="auto"/>
              </w:rPr>
            </w:pPr>
            <w:r>
              <w:rPr>
                <w:rFonts w:ascii="Arial" w:cs="Arial" w:eastAsia="Arial" w:hAnsi="Arial"/>
                <w:sz w:val="14"/>
                <w:szCs w:val="14"/>
                <w:color w:val="auto"/>
              </w:rPr>
              <w:t>Affinion Group Holdings, Inc.</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19,704,139</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(3,064,932)</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16,639,207</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American Gilsonite Company</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22,807,532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504,246</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(26,983,525)</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w w:val="99"/>
              </w:rPr>
              <w:t>1,029,966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(4,445,455)</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8,106,827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Big Run, Inc. </w:t>
            </w:r>
            <w:r>
              <w:rPr>
                <w:rFonts w:ascii="Arial" w:cs="Arial" w:eastAsia="Arial" w:hAnsi="Arial"/>
                <w:sz w:val="12"/>
                <w:szCs w:val="12"/>
                <w:color w:val="auto"/>
              </w:rPr>
              <w:t>(4)</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674,943</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(224,981)</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449,962</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Corfin Industries LLC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24,089,476</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(26,718,516)</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993,423</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(683,831)</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3,275,558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shd w:val="clear" w:color="auto" w:fill="CCECFF"/>
          </w:tcPr>
          <w:p>
            <w:pPr>
              <w:spacing w:after="0"/>
              <w:rPr>
                <w:sz w:val="20"/>
                <w:szCs w:val="20"/>
                <w:color w:val="auto"/>
              </w:rPr>
            </w:pPr>
            <w:r>
              <w:rPr>
                <w:rFonts w:ascii="Arial" w:cs="Arial" w:eastAsia="Arial" w:hAnsi="Arial"/>
                <w:sz w:val="14"/>
                <w:szCs w:val="14"/>
                <w:color w:val="auto"/>
              </w:rPr>
              <w:t>EnviroSolutions Holdings, Inc.</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25,236,136</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103,947</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(19,277,142)</w:t>
            </w:r>
          </w:p>
        </w:tc>
        <w:tc>
          <w:tcPr>
            <w:tcW w:w="10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454,098</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(3,801,810)</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900" w:type="dxa"/>
            <w:vAlign w:val="bottom"/>
            <w:gridSpan w:val="2"/>
            <w:shd w:val="clear" w:color="auto" w:fill="CCECFF"/>
          </w:tcPr>
          <w:p>
            <w:pPr>
              <w:jc w:val="right"/>
              <w:ind w:right="60"/>
              <w:spacing w:after="0"/>
              <w:rPr>
                <w:sz w:val="20"/>
                <w:szCs w:val="20"/>
                <w:color w:val="auto"/>
              </w:rPr>
            </w:pPr>
            <w:r>
              <w:rPr>
                <w:rFonts w:ascii="Arial" w:cs="Arial" w:eastAsia="Arial" w:hAnsi="Arial"/>
                <w:sz w:val="14"/>
                <w:szCs w:val="14"/>
                <w:color w:val="auto"/>
              </w:rPr>
              <w:t>(2,271,811)</w:t>
            </w: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ETX Energy, LLC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44,430,932</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894,101</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291,534</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4"/>
                <w:szCs w:val="14"/>
                <w:color w:val="auto"/>
              </w:rPr>
              <w:t>(3,559,348)</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34,710,797</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(6,452,914)</w:t>
            </w:r>
          </w:p>
        </w:tc>
        <w:tc>
          <w:tcPr>
            <w:tcW w:w="0" w:type="dxa"/>
            <w:vAlign w:val="bottom"/>
          </w:tcPr>
          <w:p>
            <w:pPr>
              <w:spacing w:after="0"/>
              <w:rPr>
                <w:sz w:val="1"/>
                <w:szCs w:val="1"/>
                <w:color w:val="auto"/>
              </w:rPr>
            </w:pPr>
          </w:p>
        </w:tc>
      </w:tr>
      <w:tr>
        <w:trPr>
          <w:trHeight w:val="162"/>
        </w:trPr>
        <w:tc>
          <w:tcPr>
            <w:tcW w:w="1920" w:type="dxa"/>
            <w:vAlign w:val="bottom"/>
            <w:shd w:val="clear" w:color="auto" w:fill="CCECFF"/>
          </w:tcPr>
          <w:p>
            <w:pPr>
              <w:spacing w:after="0"/>
              <w:rPr>
                <w:sz w:val="20"/>
                <w:szCs w:val="20"/>
                <w:color w:val="auto"/>
              </w:rPr>
            </w:pPr>
            <w:r>
              <w:rPr>
                <w:rFonts w:ascii="Arial" w:cs="Arial" w:eastAsia="Arial" w:hAnsi="Arial"/>
                <w:sz w:val="14"/>
                <w:szCs w:val="14"/>
                <w:color w:val="auto"/>
              </w:rPr>
              <w:t>TRAK Acquisition Corp.</w:t>
            </w:r>
          </w:p>
        </w:tc>
        <w:tc>
          <w:tcPr>
            <w:tcW w:w="120" w:type="dxa"/>
            <w:vAlign w:val="bottom"/>
            <w:shd w:val="clear" w:color="auto" w:fill="CCECFF"/>
          </w:tcPr>
          <w:p>
            <w:pPr>
              <w:spacing w:after="0"/>
              <w:rPr>
                <w:sz w:val="14"/>
                <w:szCs w:val="14"/>
                <w:color w:val="auto"/>
              </w:rPr>
            </w:pPr>
          </w:p>
        </w:tc>
        <w:tc>
          <w:tcPr>
            <w:tcW w:w="180" w:type="dxa"/>
            <w:vAlign w:val="bottom"/>
            <w:shd w:val="clear" w:color="auto" w:fill="CCECFF"/>
          </w:tcPr>
          <w:p>
            <w:pPr>
              <w:spacing w:after="0"/>
              <w:rPr>
                <w:sz w:val="14"/>
                <w:szCs w:val="14"/>
                <w:color w:val="auto"/>
              </w:rPr>
            </w:pP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32,175,378</w:t>
            </w:r>
          </w:p>
        </w:tc>
        <w:tc>
          <w:tcPr>
            <w:tcW w:w="22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15,000,000</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(48,318,847)</w:t>
            </w:r>
          </w:p>
        </w:tc>
        <w:tc>
          <w:tcPr>
            <w:tcW w:w="100" w:type="dxa"/>
            <w:vAlign w:val="bottom"/>
            <w:shd w:val="clear" w:color="auto" w:fill="CCECFF"/>
          </w:tcPr>
          <w:p>
            <w:pPr>
              <w:spacing w:after="0"/>
              <w:rPr>
                <w:sz w:val="14"/>
                <w:szCs w:val="14"/>
                <w:color w:val="auto"/>
              </w:rPr>
            </w:pP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895,459</w:t>
            </w:r>
          </w:p>
        </w:tc>
        <w:tc>
          <w:tcPr>
            <w:tcW w:w="22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(5,849,743)</w:t>
            </w:r>
          </w:p>
        </w:tc>
        <w:tc>
          <w:tcPr>
            <w:tcW w:w="10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CFF"/>
          </w:tcPr>
          <w:p>
            <w:pPr>
              <w:spacing w:after="0"/>
              <w:rPr>
                <w:sz w:val="14"/>
                <w:szCs w:val="14"/>
                <w:color w:val="auto"/>
              </w:rPr>
            </w:pPr>
          </w:p>
        </w:tc>
        <w:tc>
          <w:tcPr>
            <w:tcW w:w="140" w:type="dxa"/>
            <w:vAlign w:val="bottom"/>
            <w:shd w:val="clear" w:color="auto" w:fill="CCECFF"/>
          </w:tcPr>
          <w:p>
            <w:pPr>
              <w:spacing w:after="0"/>
              <w:rPr>
                <w:sz w:val="14"/>
                <w:szCs w:val="14"/>
                <w:color w:val="auto"/>
              </w:rPr>
            </w:pP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6,955,332</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920" w:type="dxa"/>
            <w:vAlign w:val="bottom"/>
          </w:tcPr>
          <w:p>
            <w:pPr>
              <w:spacing w:after="0"/>
              <w:rPr>
                <w:sz w:val="20"/>
                <w:szCs w:val="20"/>
                <w:color w:val="auto"/>
              </w:rPr>
            </w:pPr>
            <w:r>
              <w:rPr>
                <w:rFonts w:ascii="Arial" w:cs="Arial" w:eastAsia="Arial" w:hAnsi="Arial"/>
                <w:sz w:val="14"/>
                <w:szCs w:val="14"/>
                <w:color w:val="auto"/>
              </w:rPr>
              <w:t>U.S. Well Services, LLC</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21,231,384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814,224</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4"/>
                <w:szCs w:val="14"/>
                <w:color w:val="auto"/>
              </w:rPr>
              <w:t>(102,561)</w:t>
            </w:r>
          </w:p>
        </w:tc>
        <w:tc>
          <w:tcPr>
            <w:tcW w:w="1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988,265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2,061,514</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24,016,011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3"/>
        </w:trPr>
        <w:tc>
          <w:tcPr>
            <w:tcW w:w="1920" w:type="dxa"/>
            <w:vAlign w:val="bottom"/>
            <w:tcBorders>
              <w:top w:val="single" w:sz="8" w:color="CCECFF"/>
            </w:tcBorders>
            <w:shd w:val="clear" w:color="auto" w:fill="CCECFF"/>
          </w:tcPr>
          <w:p>
            <w:pPr>
              <w:spacing w:after="0" w:line="133" w:lineRule="exact"/>
              <w:rPr>
                <w:sz w:val="20"/>
                <w:szCs w:val="20"/>
                <w:color w:val="auto"/>
              </w:rPr>
            </w:pPr>
            <w:r>
              <w:rPr>
                <w:rFonts w:ascii="Arial" w:cs="Arial" w:eastAsia="Arial" w:hAnsi="Arial"/>
                <w:sz w:val="14"/>
                <w:szCs w:val="14"/>
                <w:b w:val="1"/>
                <w:bCs w:val="1"/>
                <w:color w:val="auto"/>
              </w:rPr>
              <w:t>Total Controlled and</w:t>
            </w:r>
          </w:p>
        </w:tc>
        <w:tc>
          <w:tcPr>
            <w:tcW w:w="120" w:type="dxa"/>
            <w:vAlign w:val="bottom"/>
            <w:tcBorders>
              <w:top w:val="single" w:sz="8" w:color="CCECFF"/>
            </w:tcBorders>
            <w:shd w:val="clear" w:color="auto" w:fill="CCECFF"/>
          </w:tcPr>
          <w:p>
            <w:pPr>
              <w:spacing w:after="0"/>
              <w:rPr>
                <w:sz w:val="11"/>
                <w:szCs w:val="11"/>
                <w:color w:val="auto"/>
              </w:rPr>
            </w:pPr>
          </w:p>
        </w:tc>
        <w:tc>
          <w:tcPr>
            <w:tcW w:w="180" w:type="dxa"/>
            <w:vAlign w:val="bottom"/>
            <w:tcBorders>
              <w:top w:val="single" w:sz="8" w:color="auto"/>
            </w:tcBorders>
            <w:shd w:val="clear" w:color="auto" w:fill="CCECFF"/>
          </w:tcPr>
          <w:p>
            <w:pPr>
              <w:spacing w:after="0"/>
              <w:rPr>
                <w:sz w:val="11"/>
                <w:szCs w:val="11"/>
                <w:color w:val="auto"/>
              </w:rPr>
            </w:pPr>
          </w:p>
        </w:tc>
        <w:tc>
          <w:tcPr>
            <w:tcW w:w="122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10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20" w:type="dxa"/>
            <w:vAlign w:val="bottom"/>
            <w:tcBorders>
              <w:top w:val="single" w:sz="8" w:color="auto"/>
            </w:tcBorders>
            <w:shd w:val="clear" w:color="auto" w:fill="CCECFF"/>
          </w:tcPr>
          <w:p>
            <w:pPr>
              <w:spacing w:after="0"/>
              <w:rPr>
                <w:sz w:val="11"/>
                <w:szCs w:val="11"/>
                <w:color w:val="auto"/>
              </w:rPr>
            </w:pPr>
          </w:p>
        </w:tc>
        <w:tc>
          <w:tcPr>
            <w:tcW w:w="104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66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auto"/>
            </w:tcBorders>
            <w:shd w:val="clear" w:color="auto" w:fill="CCECFF"/>
          </w:tcPr>
          <w:p>
            <w:pPr>
              <w:spacing w:after="0"/>
              <w:rPr>
                <w:sz w:val="11"/>
                <w:szCs w:val="11"/>
                <w:color w:val="auto"/>
              </w:rPr>
            </w:pPr>
          </w:p>
        </w:tc>
        <w:tc>
          <w:tcPr>
            <w:tcW w:w="1020" w:type="dxa"/>
            <w:vAlign w:val="bottom"/>
            <w:tcBorders>
              <w:top w:val="single" w:sz="8" w:color="auto"/>
            </w:tcBorders>
            <w:shd w:val="clear" w:color="auto" w:fill="CCECFF"/>
          </w:tcPr>
          <w:p>
            <w:pPr>
              <w:spacing w:after="0"/>
              <w:rPr>
                <w:sz w:val="11"/>
                <w:szCs w:val="11"/>
                <w:color w:val="auto"/>
              </w:rPr>
            </w:pPr>
          </w:p>
        </w:tc>
        <w:tc>
          <w:tcPr>
            <w:tcW w:w="140" w:type="dxa"/>
            <w:vAlign w:val="bottom"/>
            <w:tcBorders>
              <w:top w:val="single" w:sz="8" w:color="CCECFF"/>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80" w:type="dxa"/>
            <w:vAlign w:val="bottom"/>
            <w:tcBorders>
              <w:top w:val="single" w:sz="8" w:color="auto"/>
            </w:tcBorders>
            <w:shd w:val="clear" w:color="auto" w:fill="CCECFF"/>
          </w:tcPr>
          <w:p>
            <w:pPr>
              <w:spacing w:after="0"/>
              <w:rPr>
                <w:sz w:val="11"/>
                <w:szCs w:val="11"/>
                <w:color w:val="auto"/>
              </w:rPr>
            </w:pPr>
          </w:p>
        </w:tc>
        <w:tc>
          <w:tcPr>
            <w:tcW w:w="1180" w:type="dxa"/>
            <w:vAlign w:val="bottom"/>
            <w:tcBorders>
              <w:top w:val="single" w:sz="8" w:color="auto"/>
            </w:tcBorders>
            <w:shd w:val="clear" w:color="auto" w:fill="CCECFF"/>
          </w:tcPr>
          <w:p>
            <w:pPr>
              <w:spacing w:after="0"/>
              <w:rPr>
                <w:sz w:val="11"/>
                <w:szCs w:val="11"/>
                <w:color w:val="auto"/>
              </w:rPr>
            </w:pPr>
          </w:p>
        </w:tc>
        <w:tc>
          <w:tcPr>
            <w:tcW w:w="220" w:type="dxa"/>
            <w:vAlign w:val="bottom"/>
            <w:tcBorders>
              <w:top w:val="single" w:sz="8" w:color="CCECFF"/>
            </w:tcBorders>
            <w:shd w:val="clear" w:color="auto" w:fill="CCECFF"/>
          </w:tcPr>
          <w:p>
            <w:pPr>
              <w:spacing w:after="0"/>
              <w:rPr>
                <w:sz w:val="11"/>
                <w:szCs w:val="11"/>
                <w:color w:val="auto"/>
              </w:rPr>
            </w:pPr>
          </w:p>
        </w:tc>
        <w:tc>
          <w:tcPr>
            <w:tcW w:w="140" w:type="dxa"/>
            <w:vAlign w:val="bottom"/>
            <w:tcBorders>
              <w:top w:val="single" w:sz="8" w:color="auto"/>
            </w:tcBorders>
            <w:shd w:val="clear" w:color="auto" w:fill="CCECFF"/>
          </w:tcPr>
          <w:p>
            <w:pPr>
              <w:spacing w:after="0"/>
              <w:rPr>
                <w:sz w:val="11"/>
                <w:szCs w:val="11"/>
                <w:color w:val="auto"/>
              </w:rPr>
            </w:pPr>
          </w:p>
        </w:tc>
        <w:tc>
          <w:tcPr>
            <w:tcW w:w="800" w:type="dxa"/>
            <w:vAlign w:val="bottom"/>
            <w:tcBorders>
              <w:top w:val="single" w:sz="8" w:color="auto"/>
            </w:tcBorders>
            <w:shd w:val="clear" w:color="auto" w:fill="CCECFF"/>
          </w:tcPr>
          <w:p>
            <w:pPr>
              <w:spacing w:after="0"/>
              <w:rPr>
                <w:sz w:val="11"/>
                <w:szCs w:val="11"/>
                <w:color w:val="auto"/>
              </w:rPr>
            </w:pPr>
          </w:p>
        </w:tc>
        <w:tc>
          <w:tcPr>
            <w:tcW w:w="100" w:type="dxa"/>
            <w:vAlign w:val="bottom"/>
            <w:tcBorders>
              <w:top w:val="single" w:sz="8" w:color="CCECFF"/>
            </w:tcBorders>
            <w:shd w:val="clear" w:color="auto" w:fill="CCECFF"/>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1920" w:type="dxa"/>
            <w:vAlign w:val="bottom"/>
            <w:shd w:val="clear" w:color="auto" w:fill="CCECFF"/>
          </w:tcPr>
          <w:p>
            <w:pPr>
              <w:ind w:left="120"/>
              <w:spacing w:after="0"/>
              <w:rPr>
                <w:sz w:val="20"/>
                <w:szCs w:val="20"/>
                <w:color w:val="auto"/>
              </w:rPr>
            </w:pPr>
            <w:r>
              <w:rPr>
                <w:rFonts w:ascii="Arial" w:cs="Arial" w:eastAsia="Arial" w:hAnsi="Arial"/>
                <w:sz w:val="14"/>
                <w:szCs w:val="14"/>
                <w:b w:val="1"/>
                <w:bCs w:val="1"/>
                <w:color w:val="auto"/>
              </w:rPr>
              <w:t>Non-Controlled Affiliates</w:t>
            </w:r>
          </w:p>
        </w:tc>
        <w:tc>
          <w:tcPr>
            <w:tcW w:w="300" w:type="dxa"/>
            <w:vAlign w:val="bottom"/>
            <w:gridSpan w:val="2"/>
            <w:shd w:val="clear" w:color="auto" w:fill="CCECFF"/>
          </w:tcPr>
          <w:p>
            <w:pPr>
              <w:ind w:left="120"/>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304,225,960</w:t>
            </w:r>
          </w:p>
        </w:tc>
        <w:tc>
          <w:tcPr>
            <w:tcW w:w="300" w:type="dxa"/>
            <w:vAlign w:val="bottom"/>
            <w:gridSpan w:val="2"/>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75,614,526</w:t>
            </w:r>
          </w:p>
        </w:tc>
        <w:tc>
          <w:tcPr>
            <w:tcW w:w="220" w:type="dxa"/>
            <w:vAlign w:val="bottom"/>
            <w:shd w:val="clear" w:color="auto" w:fill="CCECFF"/>
          </w:tcPr>
          <w:p>
            <w:pPr>
              <w:spacing w:after="0"/>
              <w:rPr>
                <w:sz w:val="14"/>
                <w:szCs w:val="14"/>
                <w:color w:val="auto"/>
              </w:rPr>
            </w:pPr>
          </w:p>
        </w:tc>
        <w:tc>
          <w:tcPr>
            <w:tcW w:w="12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CFF"/>
          </w:tcPr>
          <w:p>
            <w:pPr>
              <w:jc w:val="right"/>
              <w:ind w:right="180"/>
              <w:spacing w:after="0"/>
              <w:rPr>
                <w:sz w:val="20"/>
                <w:szCs w:val="20"/>
                <w:color w:val="auto"/>
              </w:rPr>
            </w:pPr>
            <w:r>
              <w:rPr>
                <w:rFonts w:ascii="Arial" w:cs="Arial" w:eastAsia="Arial" w:hAnsi="Arial"/>
                <w:sz w:val="14"/>
                <w:szCs w:val="14"/>
                <w:color w:val="auto"/>
              </w:rPr>
              <w:t>(130,750,591)</w:t>
            </w:r>
          </w:p>
        </w:tc>
        <w:tc>
          <w:tcPr>
            <w:tcW w:w="100" w:type="dxa"/>
            <w:vAlign w:val="bottom"/>
            <w:shd w:val="clear" w:color="auto" w:fill="CCEC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9"/>
              </w:rPr>
              <w:t>9,931,578</w:t>
            </w:r>
          </w:p>
        </w:tc>
        <w:tc>
          <w:tcPr>
            <w:tcW w:w="32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CFF"/>
          </w:tcPr>
          <w:p>
            <w:pPr>
              <w:jc w:val="right"/>
              <w:ind w:right="80"/>
              <w:spacing w:after="0"/>
              <w:rPr>
                <w:sz w:val="20"/>
                <w:szCs w:val="20"/>
                <w:color w:val="auto"/>
              </w:rPr>
            </w:pPr>
            <w:r>
              <w:rPr>
                <w:rFonts w:ascii="Arial" w:cs="Arial" w:eastAsia="Arial" w:hAnsi="Arial"/>
                <w:sz w:val="14"/>
                <w:szCs w:val="14"/>
                <w:color w:val="auto"/>
              </w:rPr>
              <w:t>(34,752,506)</w:t>
            </w:r>
          </w:p>
        </w:tc>
        <w:tc>
          <w:tcPr>
            <w:tcW w:w="18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w:t>
            </w: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224,063,640</w:t>
            </w:r>
          </w:p>
        </w:tc>
        <w:tc>
          <w:tcPr>
            <w:tcW w:w="360" w:type="dxa"/>
            <w:vAlign w:val="bottom"/>
            <w:gridSpan w:val="2"/>
            <w:shd w:val="clear" w:color="auto" w:fill="CCECFF"/>
          </w:tcPr>
          <w:p>
            <w:pPr>
              <w:ind w:left="220"/>
              <w:spacing w:after="0"/>
              <w:rPr>
                <w:sz w:val="20"/>
                <w:szCs w:val="20"/>
                <w:color w:val="auto"/>
              </w:rPr>
            </w:pPr>
            <w:r>
              <w:rPr>
                <w:rFonts w:ascii="Arial" w:cs="Arial" w:eastAsia="Arial" w:hAnsi="Arial"/>
                <w:sz w:val="14"/>
                <w:szCs w:val="14"/>
                <w:color w:val="auto"/>
              </w:rPr>
              <w:t>$</w:t>
            </w:r>
          </w:p>
        </w:tc>
        <w:tc>
          <w:tcPr>
            <w:tcW w:w="8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9,800,228</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9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CCEC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CFF"/>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C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C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ind w:left="380" w:hanging="372"/>
        <w:spacing w:after="0"/>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Excluding delayed draw investments.</w:t>
      </w:r>
    </w:p>
    <w:p>
      <w:pPr>
        <w:ind w:left="380" w:hanging="372"/>
        <w:spacing w:after="0" w:line="221"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Includes PIK.</w:t>
      </w:r>
    </w:p>
    <w:p>
      <w:pPr>
        <w:ind w:left="380" w:hanging="372"/>
        <w:spacing w:after="0" w:line="221" w:lineRule="auto"/>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Became a controlled affiliate during the three months ended March 31, 2018.</w:t>
      </w:r>
    </w:p>
    <w:p>
      <w:pPr>
        <w:ind w:left="380" w:hanging="372"/>
        <w:spacing w:after="0"/>
        <w:tabs>
          <w:tab w:leader="none" w:pos="380" w:val="left"/>
        </w:tabs>
        <w:numPr>
          <w:ilvl w:val="0"/>
          <w:numId w:val="14"/>
        </w:numPr>
        <w:rPr>
          <w:rFonts w:ascii="Arial" w:cs="Arial" w:eastAsia="Arial" w:hAnsi="Arial"/>
          <w:sz w:val="12"/>
          <w:szCs w:val="12"/>
          <w:color w:val="auto"/>
        </w:rPr>
      </w:pPr>
      <w:r>
        <w:rPr>
          <w:rFonts w:ascii="Arial" w:cs="Arial" w:eastAsia="Arial" w:hAnsi="Arial"/>
          <w:sz w:val="14"/>
          <w:szCs w:val="14"/>
          <w:color w:val="auto"/>
        </w:rPr>
        <w:t>Became a non-controlled affiliate during the three months ended March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-388620</wp:posOffset>
            </wp:positionV>
            <wp:extent cx="13455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7. CHANGE IN NET ASSETS FROM OPERATIONS PER COMMON SHARE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4"/>
          <w:szCs w:val="14"/>
          <w:color w:val="auto"/>
        </w:rPr>
        <w:t>The following information sets forth the computation of basic and diluted per share net increase in net assets resulting from operations: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June 30,</w:t>
            </w:r>
          </w:p>
        </w:tc>
        <w:tc>
          <w:tcPr>
            <w:tcW w:w="260" w:type="dxa"/>
            <w:vAlign w:val="bottom"/>
          </w:tcPr>
          <w:p>
            <w:pPr>
              <w:spacing w:after="0"/>
              <w:rPr>
                <w:sz w:val="16"/>
                <w:szCs w:val="16"/>
                <w:color w:val="auto"/>
              </w:rPr>
            </w:pPr>
          </w:p>
        </w:tc>
        <w:tc>
          <w:tcPr>
            <w:tcW w:w="2500" w:type="dxa"/>
            <w:vAlign w:val="bottom"/>
            <w:gridSpan w:val="5"/>
          </w:tcPr>
          <w:p>
            <w:pPr>
              <w:ind w:left="160"/>
              <w:spacing w:after="0"/>
              <w:rPr>
                <w:sz w:val="20"/>
                <w:szCs w:val="20"/>
                <w:color w:val="auto"/>
              </w:rPr>
            </w:pPr>
            <w:r>
              <w:rPr>
                <w:rFonts w:ascii="Arial" w:cs="Arial" w:eastAsia="Arial" w:hAnsi="Arial"/>
                <w:sz w:val="14"/>
                <w:szCs w:val="14"/>
                <w:b w:val="1"/>
                <w:bCs w:val="1"/>
                <w:color w:val="auto"/>
              </w:rPr>
              <w:t>Nine Months Ended June 30,</w:t>
            </w:r>
          </w:p>
        </w:tc>
      </w:tr>
      <w:tr>
        <w:trPr>
          <w:trHeight w:val="25"/>
        </w:trPr>
        <w:tc>
          <w:tcPr>
            <w:tcW w:w="56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55"/>
        </w:trPr>
        <w:tc>
          <w:tcPr>
            <w:tcW w:w="5620" w:type="dxa"/>
            <w:vAlign w:val="bottom"/>
            <w:tcBorders>
              <w:bottom w:val="single" w:sz="8" w:color="CCEC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68"/>
              <w:spacing w:after="0" w:line="155" w:lineRule="exact"/>
              <w:rPr>
                <w:sz w:val="20"/>
                <w:szCs w:val="20"/>
                <w:color w:val="auto"/>
              </w:rPr>
            </w:pPr>
            <w:r>
              <w:rPr>
                <w:rFonts w:ascii="Arial" w:cs="Arial" w:eastAsia="Arial" w:hAnsi="Arial"/>
                <w:sz w:val="14"/>
                <w:szCs w:val="14"/>
                <w:b w:val="1"/>
                <w:bCs w:val="1"/>
                <w:color w:val="auto"/>
              </w:rPr>
              <w:t>2017</w:t>
            </w:r>
          </w:p>
        </w:tc>
        <w:tc>
          <w:tcPr>
            <w:tcW w:w="260" w:type="dxa"/>
            <w:vAlign w:val="bottom"/>
            <w:tcBorders>
              <w:bottom w:val="single" w:sz="8" w:color="CCEC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C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CFF"/>
            </w:tcBorders>
          </w:tcPr>
          <w:p>
            <w:pPr>
              <w:spacing w:after="0"/>
              <w:rPr>
                <w:sz w:val="13"/>
                <w:szCs w:val="13"/>
                <w:color w:val="auto"/>
              </w:rPr>
            </w:pPr>
          </w:p>
        </w:tc>
      </w:tr>
      <w:tr>
        <w:trPr>
          <w:trHeight w:val="155"/>
        </w:trPr>
        <w:tc>
          <w:tcPr>
            <w:tcW w:w="562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Numerator for net increase in net assets resulting from operations</w:t>
            </w:r>
          </w:p>
        </w:tc>
        <w:tc>
          <w:tcPr>
            <w:tcW w:w="220" w:type="dxa"/>
            <w:vAlign w:val="bottom"/>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16,910,147</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18,779,065</w:t>
            </w:r>
          </w:p>
        </w:tc>
        <w:tc>
          <w:tcPr>
            <w:tcW w:w="260" w:type="dxa"/>
            <w:vAlign w:val="bottom"/>
            <w:shd w:val="clear" w:color="auto" w:fill="CCECFF"/>
          </w:tcPr>
          <w:p>
            <w:pPr>
              <w:spacing w:after="0"/>
              <w:rPr>
                <w:sz w:val="13"/>
                <w:szCs w:val="13"/>
                <w:color w:val="auto"/>
              </w:rPr>
            </w:pPr>
          </w:p>
        </w:tc>
        <w:tc>
          <w:tcPr>
            <w:tcW w:w="260" w:type="dxa"/>
            <w:vAlign w:val="bottom"/>
            <w:shd w:val="clear" w:color="auto" w:fill="CCECFF"/>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35,240,554</w:t>
            </w:r>
          </w:p>
        </w:tc>
        <w:tc>
          <w:tcPr>
            <w:tcW w:w="260" w:type="dxa"/>
            <w:vAlign w:val="bottom"/>
            <w:shd w:val="clear" w:color="auto" w:fill="CCECFF"/>
          </w:tcPr>
          <w:p>
            <w:pPr>
              <w:spacing w:after="0"/>
              <w:rPr>
                <w:sz w:val="13"/>
                <w:szCs w:val="13"/>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54,287,861</w:t>
            </w:r>
          </w:p>
        </w:tc>
        <w:tc>
          <w:tcPr>
            <w:tcW w:w="120" w:type="dxa"/>
            <w:vAlign w:val="bottom"/>
            <w:shd w:val="clear" w:color="auto" w:fill="CCECFF"/>
          </w:tcPr>
          <w:p>
            <w:pPr>
              <w:spacing w:after="0"/>
              <w:rPr>
                <w:sz w:val="13"/>
                <w:szCs w:val="13"/>
                <w:color w:val="auto"/>
              </w:rPr>
            </w:pPr>
          </w:p>
        </w:tc>
      </w:tr>
      <w:tr>
        <w:trPr>
          <w:trHeight w:val="162"/>
        </w:trPr>
        <w:tc>
          <w:tcPr>
            <w:tcW w:w="5620" w:type="dxa"/>
            <w:vAlign w:val="bottom"/>
          </w:tcPr>
          <w:p>
            <w:pPr>
              <w:spacing w:after="0"/>
              <w:rPr>
                <w:sz w:val="20"/>
                <w:szCs w:val="20"/>
                <w:color w:val="auto"/>
              </w:rPr>
            </w:pPr>
            <w:r>
              <w:rPr>
                <w:rFonts w:ascii="Arial" w:cs="Arial" w:eastAsia="Arial" w:hAnsi="Arial"/>
                <w:sz w:val="14"/>
                <w:szCs w:val="14"/>
                <w:color w:val="auto"/>
              </w:rPr>
              <w:t>Denominator for basic and diluted weighted average shares</w:t>
            </w:r>
          </w:p>
        </w:tc>
        <w:tc>
          <w:tcPr>
            <w:tcW w:w="2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70,848,642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71,060,836</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70,990,105</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71,060,836</w:t>
            </w:r>
          </w:p>
        </w:tc>
        <w:tc>
          <w:tcPr>
            <w:tcW w:w="120" w:type="dxa"/>
            <w:vAlign w:val="bottom"/>
          </w:tcPr>
          <w:p>
            <w:pPr>
              <w:spacing w:after="0"/>
              <w:rPr>
                <w:sz w:val="14"/>
                <w:szCs w:val="14"/>
                <w:color w:val="auto"/>
              </w:rPr>
            </w:pPr>
          </w:p>
        </w:tc>
      </w:tr>
      <w:tr>
        <w:trPr>
          <w:trHeight w:val="162"/>
        </w:trPr>
        <w:tc>
          <w:tcPr>
            <w:tcW w:w="5620" w:type="dxa"/>
            <w:vAlign w:val="bottom"/>
            <w:shd w:val="clear" w:color="auto" w:fill="CCECFF"/>
          </w:tcPr>
          <w:p>
            <w:pPr>
              <w:spacing w:after="0"/>
              <w:rPr>
                <w:sz w:val="20"/>
                <w:szCs w:val="20"/>
                <w:color w:val="auto"/>
              </w:rPr>
            </w:pPr>
            <w:r>
              <w:rPr>
                <w:rFonts w:ascii="Arial" w:cs="Arial" w:eastAsia="Arial" w:hAnsi="Arial"/>
                <w:sz w:val="14"/>
                <w:szCs w:val="14"/>
                <w:color w:val="auto"/>
              </w:rPr>
              <w:t>Basic and diluted net increase in net assets per share resulting from operations</w:t>
            </w:r>
          </w:p>
        </w:tc>
        <w:tc>
          <w:tcPr>
            <w:tcW w:w="220" w:type="dxa"/>
            <w:vAlign w:val="bottom"/>
            <w:shd w:val="clear" w:color="auto" w:fill="CCECFF"/>
          </w:tcPr>
          <w:p>
            <w:pPr>
              <w:jc w:val="right"/>
              <w:ind w:right="68"/>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0.24</w:t>
            </w:r>
          </w:p>
        </w:tc>
        <w:tc>
          <w:tcPr>
            <w:tcW w:w="260" w:type="dxa"/>
            <w:vAlign w:val="bottom"/>
            <w:shd w:val="clear" w:color="auto" w:fill="CCECFF"/>
          </w:tcPr>
          <w:p>
            <w:pPr>
              <w:spacing w:after="0"/>
              <w:rPr>
                <w:sz w:val="14"/>
                <w:szCs w:val="14"/>
                <w:color w:val="auto"/>
              </w:rPr>
            </w:pPr>
          </w:p>
        </w:tc>
        <w:tc>
          <w:tcPr>
            <w:tcW w:w="240" w:type="dxa"/>
            <w:vAlign w:val="bottom"/>
            <w:shd w:val="clear" w:color="auto" w:fill="CCECFF"/>
          </w:tcPr>
          <w:p>
            <w:pPr>
              <w:jc w:val="right"/>
              <w:ind w:right="1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0.26</w:t>
            </w:r>
          </w:p>
        </w:tc>
        <w:tc>
          <w:tcPr>
            <w:tcW w:w="260" w:type="dxa"/>
            <w:vAlign w:val="bottom"/>
            <w:shd w:val="clear" w:color="auto" w:fill="CCECFF"/>
          </w:tcPr>
          <w:p>
            <w:pPr>
              <w:spacing w:after="0"/>
              <w:rPr>
                <w:sz w:val="14"/>
                <w:szCs w:val="14"/>
                <w:color w:val="auto"/>
              </w:rPr>
            </w:pPr>
          </w:p>
        </w:tc>
        <w:tc>
          <w:tcPr>
            <w:tcW w:w="260" w:type="dxa"/>
            <w:vAlign w:val="bottom"/>
            <w:shd w:val="clear" w:color="auto" w:fill="CCECFF"/>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0.50</w:t>
            </w:r>
          </w:p>
        </w:tc>
        <w:tc>
          <w:tcPr>
            <w:tcW w:w="500" w:type="dxa"/>
            <w:vAlign w:val="bottom"/>
            <w:gridSpan w:val="2"/>
            <w:shd w:val="clear" w:color="auto" w:fill="CCECFF"/>
          </w:tcPr>
          <w:p>
            <w:pPr>
              <w:jc w:val="right"/>
              <w:ind w:right="129"/>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0.77</w:t>
            </w:r>
          </w:p>
        </w:tc>
        <w:tc>
          <w:tcPr>
            <w:tcW w:w="120" w:type="dxa"/>
            <w:vAlign w:val="bottom"/>
            <w:shd w:val="clear" w:color="auto" w:fill="CCECFF"/>
          </w:tcPr>
          <w:p>
            <w:pPr>
              <w:spacing w:after="0"/>
              <w:rPr>
                <w:sz w:val="14"/>
                <w:szCs w:val="14"/>
                <w:color w:val="auto"/>
              </w:rPr>
            </w:pPr>
          </w:p>
        </w:tc>
      </w:tr>
    </w:tbl>
    <w:p>
      <w:pPr>
        <w:spacing w:after="0" w:line="1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8. CASH AND CASH EQUIVALENTS</w:t>
      </w:r>
    </w:p>
    <w:p>
      <w:pPr>
        <w:spacing w:after="0" w:line="140" w:lineRule="exact"/>
        <w:rPr>
          <w:sz w:val="20"/>
          <w:szCs w:val="20"/>
          <w:color w:val="auto"/>
        </w:rPr>
      </w:pPr>
    </w:p>
    <w:p>
      <w:pPr>
        <w:ind w:right="160" w:firstLine="432"/>
        <w:spacing w:after="0" w:line="245" w:lineRule="auto"/>
        <w:rPr>
          <w:sz w:val="20"/>
          <w:szCs w:val="20"/>
          <w:color w:val="auto"/>
        </w:rPr>
      </w:pPr>
      <w:r>
        <w:rPr>
          <w:rFonts w:ascii="Arial" w:cs="Arial" w:eastAsia="Arial" w:hAnsi="Arial"/>
          <w:sz w:val="13"/>
          <w:szCs w:val="13"/>
          <w:color w:val="auto"/>
        </w:rPr>
        <w:t>Cash equivalents represent cash in money market funds pending investment in longer-term portfolio holdings. Our portfolio may consist of temporary investments in U.S. Treasury Bills (of varying maturities), repurchase agreements, money market funds or repurchase agreement-like treasury securities. These temporary investments with original maturities of 90 days or less are deemed cash equivalents and are included in the Consolidated Schedule of Investments. At the end of each fiscal quarter, we may take proactive steps to preserve investment flexibility for the next quarter by investing in cash equivalents, which is dependent upon the composition of our total assets at quarter-end. We may accomplish this in several ways, including purchasing U.S. Treasury Bills and closing out positions on a net cash basis after quarter-end, temporarily drawing down on the Credit Facility, or utilizing repurchase agreements or other balance sheet transactions as are deemed appropriate for this purpose. These amounts are excluded from average adjusted gross assets for purposes of computing the Investment Adviser’s management fee. U.S. Treasury Bills with maturities greater than 60 days from the time of purchase are valued consistent with our valuation policy. As of June 30, 2018 and September 30, 2017, cash and cash equivalents consisted of money market funds in the amounts of $107.1 million and $38.2 million at fair value, respectively.</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1" w:name="page22"/>
    <w:bookmarkEnd w:id="21"/>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20"/>
                <w:szCs w:val="20"/>
                <w:color w:val="auto"/>
              </w:rPr>
            </w:pPr>
            <w:r>
              <w:rPr>
                <w:rFonts w:ascii="Arial" w:cs="Arial" w:eastAsia="Arial" w:hAnsi="Arial"/>
                <w:sz w:val="14"/>
                <w:szCs w:val="14"/>
                <w:b w:val="1"/>
                <w:bCs w:val="1"/>
                <w:color w:val="auto"/>
              </w:rPr>
              <w:t>9. FINANCIAL HIGHLIGHTS</w:t>
            </w: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6900" w:type="dxa"/>
            <w:vAlign w:val="bottom"/>
          </w:tcPr>
          <w:p>
            <w:pPr>
              <w:ind w:left="160"/>
              <w:spacing w:after="0"/>
              <w:rPr>
                <w:sz w:val="20"/>
                <w:szCs w:val="20"/>
                <w:color w:val="auto"/>
              </w:rPr>
            </w:pPr>
            <w:r>
              <w:rPr>
                <w:rFonts w:ascii="Arial" w:cs="Arial" w:eastAsia="Arial" w:hAnsi="Arial"/>
                <w:sz w:val="14"/>
                <w:szCs w:val="14"/>
                <w:color w:val="auto"/>
              </w:rPr>
              <w:t>Below are the financial highlights:</w:t>
            </w: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69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gridSpan w:val="4"/>
          </w:tcPr>
          <w:p>
            <w:pPr>
              <w:jc w:val="right"/>
              <w:ind w:right="9"/>
              <w:spacing w:after="0"/>
              <w:rPr>
                <w:sz w:val="20"/>
                <w:szCs w:val="20"/>
                <w:color w:val="auto"/>
              </w:rPr>
            </w:pPr>
            <w:r>
              <w:rPr>
                <w:rFonts w:ascii="Arial" w:cs="Arial" w:eastAsia="Arial" w:hAnsi="Arial"/>
                <w:sz w:val="14"/>
                <w:szCs w:val="14"/>
                <w:b w:val="1"/>
                <w:bCs w:val="1"/>
                <w:color w:val="auto"/>
                <w:w w:val="95"/>
              </w:rPr>
              <w:t>Nine Months Ended June 30,</w:t>
            </w: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
        </w:trPr>
        <w:tc>
          <w:tcPr>
            <w:tcW w:w="69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6"/>
        </w:trPr>
        <w:tc>
          <w:tcPr>
            <w:tcW w:w="6900" w:type="dxa"/>
            <w:vAlign w:val="bottom"/>
            <w:tcBorders>
              <w:bottom w:val="single" w:sz="8" w:color="CCECFF"/>
            </w:tcBorders>
          </w:tcPr>
          <w:p>
            <w:pPr>
              <w:spacing w:after="0"/>
              <w:rPr>
                <w:sz w:val="13"/>
                <w:szCs w:val="13"/>
                <w:color w:val="auto"/>
              </w:rPr>
            </w:pPr>
          </w:p>
        </w:tc>
        <w:tc>
          <w:tcPr>
            <w:tcW w:w="11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2018</w:t>
            </w:r>
          </w:p>
        </w:tc>
        <w:tc>
          <w:tcPr>
            <w:tcW w:w="780" w:type="dxa"/>
            <w:vAlign w:val="bottom"/>
            <w:tcBorders>
              <w:bottom w:val="single" w:sz="8" w:color="auto"/>
            </w:tcBorders>
          </w:tcPr>
          <w:p>
            <w:pPr>
              <w:spacing w:after="0"/>
              <w:rPr>
                <w:sz w:val="13"/>
                <w:szCs w:val="13"/>
                <w:color w:val="auto"/>
              </w:rPr>
            </w:pPr>
          </w:p>
        </w:tc>
        <w:tc>
          <w:tcPr>
            <w:tcW w:w="2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jc w:val="right"/>
              <w:ind w:right="748"/>
              <w:spacing w:after="0" w:line="155" w:lineRule="exact"/>
              <w:rPr>
                <w:sz w:val="20"/>
                <w:szCs w:val="20"/>
                <w:color w:val="auto"/>
              </w:rPr>
            </w:pPr>
            <w:r>
              <w:rPr>
                <w:rFonts w:ascii="Arial" w:cs="Arial" w:eastAsia="Arial" w:hAnsi="Arial"/>
                <w:sz w:val="14"/>
                <w:szCs w:val="14"/>
                <w:b w:val="1"/>
                <w:bCs w:val="1"/>
                <w:color w:val="auto"/>
              </w:rPr>
              <w:t>2017</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900" w:type="dxa"/>
            <w:vAlign w:val="bottom"/>
            <w:shd w:val="clear" w:color="auto" w:fill="CCECFF"/>
          </w:tcPr>
          <w:p>
            <w:pPr>
              <w:spacing w:after="0" w:line="155" w:lineRule="exact"/>
              <w:rPr>
                <w:sz w:val="20"/>
                <w:szCs w:val="20"/>
                <w:color w:val="auto"/>
              </w:rPr>
            </w:pPr>
            <w:r>
              <w:rPr>
                <w:rFonts w:ascii="Arial" w:cs="Arial" w:eastAsia="Arial" w:hAnsi="Arial"/>
                <w:sz w:val="14"/>
                <w:szCs w:val="14"/>
                <w:b w:val="1"/>
                <w:bCs w:val="1"/>
                <w:color w:val="auto"/>
              </w:rPr>
              <w:t>Per Share Data:</w:t>
            </w:r>
          </w:p>
        </w:tc>
        <w:tc>
          <w:tcPr>
            <w:tcW w:w="1140" w:type="dxa"/>
            <w:vAlign w:val="bottom"/>
            <w:shd w:val="clear" w:color="auto" w:fill="CCECFF"/>
          </w:tcPr>
          <w:p>
            <w:pPr>
              <w:spacing w:after="0"/>
              <w:rPr>
                <w:sz w:val="13"/>
                <w:szCs w:val="13"/>
                <w:color w:val="auto"/>
              </w:rPr>
            </w:pPr>
          </w:p>
        </w:tc>
        <w:tc>
          <w:tcPr>
            <w:tcW w:w="780" w:type="dxa"/>
            <w:vAlign w:val="bottom"/>
            <w:shd w:val="clear" w:color="auto" w:fill="CCECFF"/>
          </w:tcPr>
          <w:p>
            <w:pPr>
              <w:spacing w:after="0"/>
              <w:rPr>
                <w:sz w:val="13"/>
                <w:szCs w:val="13"/>
                <w:color w:val="auto"/>
              </w:rPr>
            </w:pP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160" w:type="dxa"/>
            <w:vAlign w:val="bottom"/>
            <w:shd w:val="clear" w:color="auto" w:fill="CCECFF"/>
          </w:tcPr>
          <w:p>
            <w:pPr>
              <w:spacing w:after="0"/>
              <w:rPr>
                <w:sz w:val="13"/>
                <w:szCs w:val="13"/>
                <w:color w:val="auto"/>
              </w:rPr>
            </w:pP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Net asset value, beginning of period</w:t>
            </w:r>
          </w:p>
        </w:tc>
        <w:tc>
          <w:tcPr>
            <w:tcW w:w="1140" w:type="dxa"/>
            <w:vAlign w:val="bottom"/>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9.10</w:t>
            </w:r>
          </w:p>
        </w:tc>
        <w:tc>
          <w:tcPr>
            <w:tcW w:w="240" w:type="dxa"/>
            <w:vAlign w:val="bottom"/>
          </w:tcPr>
          <w:p>
            <w:pPr>
              <w:spacing w:after="0"/>
              <w:rPr>
                <w:sz w:val="14"/>
                <w:szCs w:val="14"/>
                <w:color w:val="auto"/>
              </w:rPr>
            </w:pPr>
          </w:p>
        </w:tc>
        <w:tc>
          <w:tcPr>
            <w:tcW w:w="880" w:type="dxa"/>
            <w:vAlign w:val="bottom"/>
            <w:gridSpan w:val="2"/>
          </w:tcPr>
          <w:p>
            <w:pPr>
              <w:jc w:val="right"/>
              <w:ind w:right="64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9.05</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Net investment income </w:t>
            </w:r>
            <w:r>
              <w:rPr>
                <w:rFonts w:ascii="Arial" w:cs="Arial" w:eastAsia="Arial" w:hAnsi="Arial"/>
                <w:sz w:val="12"/>
                <w:szCs w:val="12"/>
                <w:color w:val="auto"/>
              </w:rPr>
              <w:t>(1)</w:t>
            </w:r>
          </w:p>
        </w:tc>
        <w:tc>
          <w:tcPr>
            <w:tcW w:w="114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0.55</w:t>
            </w: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0.61</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 xml:space="preserve">Net realized and unrealized (loss) gain </w:t>
            </w:r>
            <w:r>
              <w:rPr>
                <w:rFonts w:ascii="Arial" w:cs="Arial" w:eastAsia="Arial" w:hAnsi="Arial"/>
                <w:sz w:val="12"/>
                <w:szCs w:val="12"/>
                <w:color w:val="auto"/>
              </w:rPr>
              <w:t>(1)</w:t>
            </w:r>
          </w:p>
        </w:tc>
        <w:tc>
          <w:tcPr>
            <w:tcW w:w="11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(0.05)</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0.16</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900" w:type="dxa"/>
            <w:vAlign w:val="bottom"/>
            <w:tcBorders>
              <w:top w:val="single" w:sz="8" w:color="CCECFF"/>
            </w:tcBorders>
            <w:shd w:val="clear" w:color="auto" w:fill="CCECFF"/>
          </w:tcPr>
          <w:p>
            <w:pPr>
              <w:spacing w:after="0" w:line="155" w:lineRule="exact"/>
              <w:rPr>
                <w:sz w:val="20"/>
                <w:szCs w:val="20"/>
                <w:color w:val="auto"/>
              </w:rPr>
            </w:pPr>
            <w:r>
              <w:rPr>
                <w:rFonts w:ascii="Arial" w:cs="Arial" w:eastAsia="Arial" w:hAnsi="Arial"/>
                <w:sz w:val="14"/>
                <w:szCs w:val="14"/>
                <w:color w:val="auto"/>
              </w:rPr>
              <w:t xml:space="preserve">Net increase in net assets resulting from operations </w:t>
            </w:r>
            <w:r>
              <w:rPr>
                <w:rFonts w:ascii="Arial" w:cs="Arial" w:eastAsia="Arial" w:hAnsi="Arial"/>
                <w:sz w:val="12"/>
                <w:szCs w:val="12"/>
                <w:color w:val="auto"/>
              </w:rPr>
              <w:t>(1)</w:t>
            </w:r>
          </w:p>
        </w:tc>
        <w:tc>
          <w:tcPr>
            <w:tcW w:w="1140" w:type="dxa"/>
            <w:vAlign w:val="bottom"/>
            <w:tcBorders>
              <w:top w:val="single" w:sz="8" w:color="auto"/>
            </w:tcBorders>
            <w:shd w:val="clear" w:color="auto" w:fill="CCECFF"/>
          </w:tcPr>
          <w:p>
            <w:pPr>
              <w:spacing w:after="0"/>
              <w:rPr>
                <w:sz w:val="13"/>
                <w:szCs w:val="13"/>
                <w:color w:val="auto"/>
              </w:rPr>
            </w:pPr>
          </w:p>
        </w:tc>
        <w:tc>
          <w:tcPr>
            <w:tcW w:w="7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0.50</w:t>
            </w:r>
          </w:p>
        </w:tc>
        <w:tc>
          <w:tcPr>
            <w:tcW w:w="240" w:type="dxa"/>
            <w:vAlign w:val="bottom"/>
            <w:tcBorders>
              <w:top w:val="single" w:sz="8" w:color="CCECFF"/>
            </w:tcBorders>
            <w:shd w:val="clear" w:color="auto" w:fill="CCECFF"/>
          </w:tcPr>
          <w:p>
            <w:pPr>
              <w:spacing w:after="0"/>
              <w:rPr>
                <w:sz w:val="13"/>
                <w:szCs w:val="13"/>
                <w:color w:val="auto"/>
              </w:rPr>
            </w:pPr>
          </w:p>
        </w:tc>
        <w:tc>
          <w:tcPr>
            <w:tcW w:w="120" w:type="dxa"/>
            <w:vAlign w:val="bottom"/>
            <w:tcBorders>
              <w:top w:val="single" w:sz="8" w:color="CCECFF"/>
            </w:tcBorders>
            <w:shd w:val="clear" w:color="auto" w:fill="CCECFF"/>
          </w:tcPr>
          <w:p>
            <w:pPr>
              <w:spacing w:after="0"/>
              <w:rPr>
                <w:sz w:val="13"/>
                <w:szCs w:val="13"/>
                <w:color w:val="auto"/>
              </w:rPr>
            </w:pPr>
          </w:p>
        </w:tc>
        <w:tc>
          <w:tcPr>
            <w:tcW w:w="760" w:type="dxa"/>
            <w:vAlign w:val="bottom"/>
            <w:tcBorders>
              <w:top w:val="single" w:sz="8" w:color="auto"/>
            </w:tcBorders>
            <w:shd w:val="clear" w:color="auto" w:fill="CCECFF"/>
          </w:tcPr>
          <w:p>
            <w:pPr>
              <w:spacing w:after="0"/>
              <w:rPr>
                <w:sz w:val="13"/>
                <w:szCs w:val="13"/>
                <w:color w:val="auto"/>
              </w:rPr>
            </w:pPr>
          </w:p>
        </w:tc>
        <w:tc>
          <w:tcPr>
            <w:tcW w:w="11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0.77</w:t>
            </w:r>
          </w:p>
        </w:tc>
        <w:tc>
          <w:tcPr>
            <w:tcW w:w="14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 xml:space="preserve">Distributions to stockholders </w:t>
            </w:r>
            <w:r>
              <w:rPr>
                <w:rFonts w:ascii="Arial" w:cs="Arial" w:eastAsia="Arial" w:hAnsi="Arial"/>
                <w:sz w:val="12"/>
                <w:szCs w:val="12"/>
                <w:color w:val="auto"/>
              </w:rPr>
              <w:t>(1), (2)</w:t>
            </w:r>
          </w:p>
        </w:tc>
        <w:tc>
          <w:tcPr>
            <w:tcW w:w="114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(0.54)</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4"/>
                <w:szCs w:val="14"/>
                <w:color w:val="auto"/>
              </w:rPr>
              <w:t>(0.64)</w:t>
            </w:r>
          </w:p>
        </w:tc>
        <w:tc>
          <w:tcPr>
            <w:tcW w:w="0" w:type="dxa"/>
            <w:vAlign w:val="bottom"/>
          </w:tcPr>
          <w:p>
            <w:pPr>
              <w:spacing w:after="0"/>
              <w:rPr>
                <w:sz w:val="1"/>
                <w:szCs w:val="1"/>
                <w:color w:val="auto"/>
              </w:rPr>
            </w:pPr>
          </w:p>
        </w:tc>
      </w:tr>
      <w:tr>
        <w:trPr>
          <w:trHeight w:val="162"/>
        </w:trPr>
        <w:tc>
          <w:tcPr>
            <w:tcW w:w="69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Repurchase of common stock </w:t>
            </w:r>
            <w:r>
              <w:rPr>
                <w:rFonts w:ascii="Arial" w:cs="Arial" w:eastAsia="Arial" w:hAnsi="Arial"/>
                <w:sz w:val="12"/>
                <w:szCs w:val="12"/>
                <w:color w:val="auto"/>
              </w:rPr>
              <w:t>(1)</w:t>
            </w:r>
          </w:p>
        </w:tc>
        <w:tc>
          <w:tcPr>
            <w:tcW w:w="1140" w:type="dxa"/>
            <w:vAlign w:val="bottom"/>
            <w:shd w:val="clear" w:color="auto" w:fill="CCECFF"/>
          </w:tcPr>
          <w:p>
            <w:pPr>
              <w:spacing w:after="0"/>
              <w:rPr>
                <w:sz w:val="14"/>
                <w:szCs w:val="14"/>
                <w:color w:val="auto"/>
              </w:rPr>
            </w:pP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0.03</w:t>
            </w:r>
          </w:p>
        </w:tc>
        <w:tc>
          <w:tcPr>
            <w:tcW w:w="240" w:type="dxa"/>
            <w:vAlign w:val="bottom"/>
            <w:shd w:val="clear" w:color="auto" w:fill="CCECFF"/>
          </w:tcPr>
          <w:p>
            <w:pPr>
              <w:spacing w:after="0"/>
              <w:rPr>
                <w:sz w:val="14"/>
                <w:szCs w:val="14"/>
                <w:color w:val="auto"/>
              </w:rPr>
            </w:pPr>
          </w:p>
        </w:tc>
        <w:tc>
          <w:tcPr>
            <w:tcW w:w="1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69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Net asset value, end of period</w:t>
            </w:r>
          </w:p>
        </w:tc>
        <w:tc>
          <w:tcPr>
            <w:tcW w:w="1140" w:type="dxa"/>
            <w:vAlign w:val="bottom"/>
            <w:tcBorders>
              <w:top w:val="single" w:sz="8" w:color="auto"/>
              <w:bottom w:val="single" w:sz="8" w:color="auto"/>
            </w:tcBorders>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9.09</w:t>
            </w:r>
          </w:p>
        </w:tc>
        <w:tc>
          <w:tcPr>
            <w:tcW w:w="240" w:type="dxa"/>
            <w:vAlign w:val="bottom"/>
            <w:tcBorders>
              <w:bottom w:val="single" w:sz="8" w:color="CCECFF"/>
            </w:tcBorders>
          </w:tcPr>
          <w:p>
            <w:pPr>
              <w:spacing w:after="0"/>
              <w:rPr>
                <w:sz w:val="17"/>
                <w:szCs w:val="17"/>
                <w:color w:val="auto"/>
              </w:rPr>
            </w:pPr>
          </w:p>
        </w:tc>
        <w:tc>
          <w:tcPr>
            <w:tcW w:w="120" w:type="dxa"/>
            <w:vAlign w:val="bottom"/>
            <w:tcBorders>
              <w:bottom w:val="single" w:sz="8" w:color="CCECFF"/>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9.18</w:t>
            </w:r>
          </w:p>
        </w:tc>
        <w:tc>
          <w:tcPr>
            <w:tcW w:w="140" w:type="dxa"/>
            <w:vAlign w:val="bottom"/>
            <w:tcBorders>
              <w:bottom w:val="single" w:sz="8" w:color="CCECFF"/>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900" w:type="dxa"/>
            <w:vAlign w:val="bottom"/>
            <w:tcBorders>
              <w:bottom w:val="single" w:sz="8" w:color="CCECFF"/>
            </w:tcBorders>
            <w:shd w:val="clear" w:color="auto" w:fill="CCECFF"/>
          </w:tcPr>
          <w:p>
            <w:pPr>
              <w:spacing w:after="0" w:line="143" w:lineRule="exact"/>
              <w:rPr>
                <w:sz w:val="20"/>
                <w:szCs w:val="20"/>
                <w:color w:val="auto"/>
              </w:rPr>
            </w:pPr>
            <w:r>
              <w:rPr>
                <w:rFonts w:ascii="Arial" w:cs="Arial" w:eastAsia="Arial" w:hAnsi="Arial"/>
                <w:sz w:val="14"/>
                <w:szCs w:val="14"/>
                <w:color w:val="auto"/>
              </w:rPr>
              <w:t>Per share market value, end of period</w:t>
            </w:r>
          </w:p>
        </w:tc>
        <w:tc>
          <w:tcPr>
            <w:tcW w:w="1140" w:type="dxa"/>
            <w:vAlign w:val="bottom"/>
            <w:tcBorders>
              <w:bottom w:val="single" w:sz="8" w:color="auto"/>
            </w:tcBorders>
            <w:shd w:val="clear" w:color="auto" w:fill="CCECFF"/>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7.01</w:t>
            </w:r>
          </w:p>
        </w:tc>
        <w:tc>
          <w:tcPr>
            <w:tcW w:w="240" w:type="dxa"/>
            <w:vAlign w:val="bottom"/>
            <w:tcBorders>
              <w:bottom w:val="single" w:sz="8" w:color="CCECFF"/>
            </w:tcBorders>
            <w:shd w:val="clear" w:color="auto" w:fill="CCECFF"/>
          </w:tcPr>
          <w:p>
            <w:pPr>
              <w:spacing w:after="0"/>
              <w:rPr>
                <w:sz w:val="12"/>
                <w:szCs w:val="12"/>
                <w:color w:val="auto"/>
              </w:rPr>
            </w:pPr>
          </w:p>
        </w:tc>
        <w:tc>
          <w:tcPr>
            <w:tcW w:w="120" w:type="dxa"/>
            <w:vAlign w:val="bottom"/>
            <w:tcBorders>
              <w:bottom w:val="single" w:sz="8" w:color="CCECFF"/>
            </w:tcBorders>
            <w:shd w:val="clear" w:color="auto" w:fill="CCECFF"/>
          </w:tcPr>
          <w:p>
            <w:pPr>
              <w:spacing w:after="0"/>
              <w:rPr>
                <w:sz w:val="12"/>
                <w:szCs w:val="12"/>
                <w:color w:val="auto"/>
              </w:rPr>
            </w:pPr>
          </w:p>
        </w:tc>
        <w:tc>
          <w:tcPr>
            <w:tcW w:w="760" w:type="dxa"/>
            <w:vAlign w:val="bottom"/>
            <w:tcBorders>
              <w:bottom w:val="single" w:sz="8" w:color="auto"/>
            </w:tcBorders>
            <w:shd w:val="clear" w:color="auto" w:fill="CCECFF"/>
          </w:tcPr>
          <w:p>
            <w:pPr>
              <w:jc w:val="right"/>
              <w:ind w:right="649"/>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shd w:val="clear" w:color="auto" w:fill="CCECFF"/>
          </w:tcPr>
          <w:p>
            <w:pPr>
              <w:jc w:val="right"/>
              <w:spacing w:after="0" w:line="143" w:lineRule="exact"/>
              <w:rPr>
                <w:sz w:val="20"/>
                <w:szCs w:val="20"/>
                <w:color w:val="auto"/>
              </w:rPr>
            </w:pPr>
            <w:r>
              <w:rPr>
                <w:rFonts w:ascii="Arial" w:cs="Arial" w:eastAsia="Arial" w:hAnsi="Arial"/>
                <w:sz w:val="14"/>
                <w:szCs w:val="14"/>
                <w:color w:val="auto"/>
              </w:rPr>
              <w:t>7.39</w:t>
            </w:r>
          </w:p>
        </w:tc>
        <w:tc>
          <w:tcPr>
            <w:tcW w:w="140" w:type="dxa"/>
            <w:vAlign w:val="bottom"/>
            <w:tcBorders>
              <w:bottom w:val="single" w:sz="8" w:color="CCECFF"/>
            </w:tcBorders>
            <w:shd w:val="clear" w:color="auto" w:fill="CCEC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4"/>
                <w:szCs w:val="14"/>
                <w:color w:val="auto"/>
              </w:rPr>
              <w:t xml:space="preserve">Total return* </w:t>
            </w:r>
            <w:r>
              <w:rPr>
                <w:rFonts w:ascii="Arial" w:cs="Arial" w:eastAsia="Arial" w:hAnsi="Arial"/>
                <w:sz w:val="12"/>
                <w:szCs w:val="12"/>
                <w:color w:val="auto"/>
              </w:rPr>
              <w:t>(3)</w:t>
            </w: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020" w:type="dxa"/>
            <w:vAlign w:val="bottom"/>
            <w:gridSpan w:val="2"/>
          </w:tcPr>
          <w:p>
            <w:pPr>
              <w:jc w:val="right"/>
              <w:ind w:right="120"/>
              <w:spacing w:after="0" w:line="143" w:lineRule="exact"/>
              <w:rPr>
                <w:sz w:val="20"/>
                <w:szCs w:val="20"/>
                <w:color w:val="auto"/>
              </w:rPr>
            </w:pPr>
            <w:r>
              <w:rPr>
                <w:rFonts w:ascii="Arial" w:cs="Arial" w:eastAsia="Arial" w:hAnsi="Arial"/>
                <w:sz w:val="14"/>
                <w:szCs w:val="14"/>
                <w:color w:val="auto"/>
              </w:rPr>
              <w:t>0.64%</w:t>
            </w: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300" w:type="dxa"/>
            <w:vAlign w:val="bottom"/>
            <w:gridSpan w:val="2"/>
          </w:tcPr>
          <w:p>
            <w:pPr>
              <w:jc w:val="right"/>
              <w:ind w:right="20"/>
              <w:spacing w:after="0" w:line="143" w:lineRule="exact"/>
              <w:rPr>
                <w:sz w:val="20"/>
                <w:szCs w:val="20"/>
                <w:color w:val="auto"/>
              </w:rPr>
            </w:pPr>
            <w:r>
              <w:rPr>
                <w:rFonts w:ascii="Arial" w:cs="Arial" w:eastAsia="Arial" w:hAnsi="Arial"/>
                <w:sz w:val="14"/>
                <w:szCs w:val="14"/>
                <w:color w:val="auto"/>
              </w:rPr>
              <w:t>6.56%</w:t>
            </w:r>
          </w:p>
        </w:tc>
        <w:tc>
          <w:tcPr>
            <w:tcW w:w="0" w:type="dxa"/>
            <w:vAlign w:val="bottom"/>
          </w:tcPr>
          <w:p>
            <w:pPr>
              <w:spacing w:after="0"/>
              <w:rPr>
                <w:sz w:val="1"/>
                <w:szCs w:val="1"/>
                <w:color w:val="auto"/>
              </w:rPr>
            </w:pPr>
          </w:p>
        </w:tc>
      </w:tr>
      <w:tr>
        <w:trPr>
          <w:trHeight w:val="162"/>
        </w:trPr>
        <w:tc>
          <w:tcPr>
            <w:tcW w:w="6900" w:type="dxa"/>
            <w:vAlign w:val="bottom"/>
            <w:tcBorders>
              <w:bottom w:val="single" w:sz="8" w:color="CCECFF"/>
            </w:tcBorders>
            <w:shd w:val="clear" w:color="auto" w:fill="CCECFF"/>
          </w:tcPr>
          <w:p>
            <w:pPr>
              <w:spacing w:after="0"/>
              <w:rPr>
                <w:sz w:val="20"/>
                <w:szCs w:val="20"/>
                <w:color w:val="auto"/>
              </w:rPr>
            </w:pPr>
            <w:r>
              <w:rPr>
                <w:rFonts w:ascii="Arial" w:cs="Arial" w:eastAsia="Arial" w:hAnsi="Arial"/>
                <w:sz w:val="14"/>
                <w:szCs w:val="14"/>
                <w:color w:val="auto"/>
              </w:rPr>
              <w:t>Shares outstanding at end of period</w:t>
            </w:r>
          </w:p>
        </w:tc>
        <w:tc>
          <w:tcPr>
            <w:tcW w:w="1140" w:type="dxa"/>
            <w:vAlign w:val="bottom"/>
            <w:tcBorders>
              <w:bottom w:val="single" w:sz="8" w:color="auto"/>
            </w:tcBorders>
            <w:shd w:val="clear" w:color="auto" w:fill="CCECFF"/>
          </w:tcPr>
          <w:p>
            <w:pPr>
              <w:spacing w:after="0"/>
              <w:rPr>
                <w:sz w:val="14"/>
                <w:szCs w:val="14"/>
                <w:color w:val="auto"/>
              </w:rPr>
            </w:pPr>
          </w:p>
        </w:tc>
        <w:tc>
          <w:tcPr>
            <w:tcW w:w="7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69,988,077</w:t>
            </w:r>
          </w:p>
        </w:tc>
        <w:tc>
          <w:tcPr>
            <w:tcW w:w="240" w:type="dxa"/>
            <w:vAlign w:val="bottom"/>
            <w:tcBorders>
              <w:bottom w:val="single" w:sz="8" w:color="CCECFF"/>
            </w:tcBorders>
            <w:shd w:val="clear" w:color="auto" w:fill="CCECFF"/>
          </w:tcPr>
          <w:p>
            <w:pPr>
              <w:spacing w:after="0"/>
              <w:rPr>
                <w:sz w:val="14"/>
                <w:szCs w:val="14"/>
                <w:color w:val="auto"/>
              </w:rPr>
            </w:pPr>
          </w:p>
        </w:tc>
        <w:tc>
          <w:tcPr>
            <w:tcW w:w="120" w:type="dxa"/>
            <w:vAlign w:val="bottom"/>
            <w:tcBorders>
              <w:bottom w:val="single" w:sz="8" w:color="CCECFF"/>
            </w:tcBorders>
            <w:shd w:val="clear" w:color="auto" w:fill="CCECFF"/>
          </w:tcPr>
          <w:p>
            <w:pPr>
              <w:spacing w:after="0"/>
              <w:rPr>
                <w:sz w:val="14"/>
                <w:szCs w:val="14"/>
                <w:color w:val="auto"/>
              </w:rPr>
            </w:pPr>
          </w:p>
        </w:tc>
        <w:tc>
          <w:tcPr>
            <w:tcW w:w="760" w:type="dxa"/>
            <w:vAlign w:val="bottom"/>
            <w:tcBorders>
              <w:bottom w:val="single" w:sz="8" w:color="auto"/>
            </w:tcBorders>
            <w:shd w:val="clear" w:color="auto" w:fill="CCECFF"/>
          </w:tcPr>
          <w:p>
            <w:pPr>
              <w:spacing w:after="0"/>
              <w:rPr>
                <w:sz w:val="14"/>
                <w:szCs w:val="14"/>
                <w:color w:val="auto"/>
              </w:rPr>
            </w:pPr>
          </w:p>
        </w:tc>
        <w:tc>
          <w:tcPr>
            <w:tcW w:w="11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71,060,836</w:t>
            </w:r>
          </w:p>
        </w:tc>
        <w:tc>
          <w:tcPr>
            <w:tcW w:w="140" w:type="dxa"/>
            <w:vAlign w:val="bottom"/>
            <w:tcBorders>
              <w:bottom w:val="single" w:sz="8" w:color="CCECFF"/>
            </w:tcBorders>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900" w:type="dxa"/>
            <w:vAlign w:val="bottom"/>
            <w:vMerge w:val="restart"/>
          </w:tcPr>
          <w:p>
            <w:pPr>
              <w:spacing w:after="0"/>
              <w:rPr>
                <w:sz w:val="20"/>
                <w:szCs w:val="20"/>
                <w:color w:val="auto"/>
              </w:rPr>
            </w:pPr>
            <w:r>
              <w:rPr>
                <w:rFonts w:ascii="Arial" w:cs="Arial" w:eastAsia="Arial" w:hAnsi="Arial"/>
                <w:sz w:val="14"/>
                <w:szCs w:val="14"/>
                <w:b w:val="1"/>
                <w:bCs w:val="1"/>
                <w:color w:val="auto"/>
              </w:rPr>
              <w:t>Ratios**/ Supplemental Data:</w:t>
            </w:r>
          </w:p>
        </w:tc>
        <w:tc>
          <w:tcPr>
            <w:tcW w:w="1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CECFF"/>
          </w:tcPr>
          <w:p>
            <w:pPr>
              <w:spacing w:after="0"/>
              <w:rPr>
                <w:sz w:val="20"/>
                <w:szCs w:val="20"/>
                <w:color w:val="auto"/>
              </w:rPr>
            </w:pPr>
            <w:r>
              <w:rPr>
                <w:rFonts w:ascii="Arial" w:cs="Arial" w:eastAsia="Arial" w:hAnsi="Arial"/>
                <w:sz w:val="14"/>
                <w:szCs w:val="14"/>
                <w:color w:val="auto"/>
              </w:rPr>
              <w:t xml:space="preserve">Ratio of operating expenses to average net assets </w:t>
            </w:r>
            <w:r>
              <w:rPr>
                <w:rFonts w:ascii="Arial" w:cs="Arial" w:eastAsia="Arial" w:hAnsi="Arial"/>
                <w:sz w:val="12"/>
                <w:szCs w:val="12"/>
                <w:color w:val="auto"/>
              </w:rPr>
              <w:t>(4), (5), (6)</w:t>
            </w:r>
          </w:p>
        </w:tc>
        <w:tc>
          <w:tcPr>
            <w:tcW w:w="11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4.94%</w:t>
            </w:r>
          </w:p>
        </w:tc>
        <w:tc>
          <w:tcPr>
            <w:tcW w:w="1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5.84%</w:t>
            </w: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Ratio of interest and expenses on debt to average net assets</w:t>
            </w:r>
          </w:p>
        </w:tc>
        <w:tc>
          <w:tcPr>
            <w:tcW w:w="11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3.59%</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20"/>
        </w:trPr>
        <w:tc>
          <w:tcPr>
            <w:tcW w:w="6900" w:type="dxa"/>
            <w:vAlign w:val="bottom"/>
            <w:vMerge w:val="restart"/>
            <w:shd w:val="clear" w:color="auto" w:fill="CCECFF"/>
          </w:tcPr>
          <w:p>
            <w:pPr>
              <w:spacing w:after="0"/>
              <w:rPr>
                <w:sz w:val="20"/>
                <w:szCs w:val="20"/>
                <w:color w:val="auto"/>
              </w:rPr>
            </w:pPr>
            <w:r>
              <w:rPr>
                <w:rFonts w:ascii="Arial" w:cs="Arial" w:eastAsia="Arial" w:hAnsi="Arial"/>
                <w:sz w:val="14"/>
                <w:szCs w:val="14"/>
                <w:color w:val="auto"/>
              </w:rPr>
              <w:t xml:space="preserve">Ratio of total expenses to average net assets </w:t>
            </w:r>
            <w:r>
              <w:rPr>
                <w:rFonts w:ascii="Arial" w:cs="Arial" w:eastAsia="Arial" w:hAnsi="Arial"/>
                <w:sz w:val="12"/>
                <w:szCs w:val="12"/>
                <w:color w:val="auto"/>
              </w:rPr>
              <w:t>(5), (6)</w:t>
            </w:r>
          </w:p>
        </w:tc>
        <w:tc>
          <w:tcPr>
            <w:tcW w:w="1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shd w:val="clear" w:color="auto" w:fill="CCECFF"/>
          </w:tcPr>
          <w:p>
            <w:pPr>
              <w:spacing w:after="0" w:line="20" w:lineRule="exact"/>
              <w:rPr>
                <w:sz w:val="1"/>
                <w:szCs w:val="1"/>
                <w:color w:val="auto"/>
              </w:rPr>
            </w:pPr>
          </w:p>
        </w:tc>
        <w:tc>
          <w:tcPr>
            <w:tcW w:w="120" w:type="dxa"/>
            <w:vAlign w:val="bottom"/>
            <w:shd w:val="clear" w:color="auto" w:fill="CCEC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C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900" w:type="dxa"/>
            <w:vAlign w:val="bottom"/>
            <w:vMerge w:val="continue"/>
            <w:shd w:val="clear" w:color="auto" w:fill="CCECFF"/>
          </w:tcPr>
          <w:p>
            <w:pPr>
              <w:spacing w:after="0"/>
              <w:rPr>
                <w:sz w:val="13"/>
                <w:szCs w:val="13"/>
                <w:color w:val="auto"/>
              </w:rPr>
            </w:pPr>
          </w:p>
        </w:tc>
        <w:tc>
          <w:tcPr>
            <w:tcW w:w="1140" w:type="dxa"/>
            <w:vAlign w:val="bottom"/>
            <w:shd w:val="clear" w:color="auto" w:fill="CCECFF"/>
          </w:tcPr>
          <w:p>
            <w:pPr>
              <w:spacing w:after="0"/>
              <w:rPr>
                <w:sz w:val="13"/>
                <w:szCs w:val="13"/>
                <w:color w:val="auto"/>
              </w:rPr>
            </w:pPr>
          </w:p>
        </w:tc>
        <w:tc>
          <w:tcPr>
            <w:tcW w:w="1020" w:type="dxa"/>
            <w:vAlign w:val="bottom"/>
            <w:gridSpan w:val="2"/>
            <w:shd w:val="clear" w:color="auto" w:fill="CCECFF"/>
          </w:tcPr>
          <w:p>
            <w:pPr>
              <w:jc w:val="right"/>
              <w:ind w:right="120"/>
              <w:spacing w:after="0" w:line="155" w:lineRule="exact"/>
              <w:rPr>
                <w:sz w:val="20"/>
                <w:szCs w:val="20"/>
                <w:color w:val="auto"/>
              </w:rPr>
            </w:pPr>
            <w:r>
              <w:rPr>
                <w:rFonts w:ascii="Arial" w:cs="Arial" w:eastAsia="Arial" w:hAnsi="Arial"/>
                <w:sz w:val="14"/>
                <w:szCs w:val="14"/>
                <w:color w:val="auto"/>
              </w:rPr>
              <w:t>8.53%</w:t>
            </w:r>
          </w:p>
        </w:tc>
        <w:tc>
          <w:tcPr>
            <w:tcW w:w="120" w:type="dxa"/>
            <w:vAlign w:val="bottom"/>
            <w:shd w:val="clear" w:color="auto" w:fill="CCECFF"/>
          </w:tcPr>
          <w:p>
            <w:pPr>
              <w:spacing w:after="0"/>
              <w:rPr>
                <w:sz w:val="13"/>
                <w:szCs w:val="13"/>
                <w:color w:val="auto"/>
              </w:rPr>
            </w:pPr>
          </w:p>
        </w:tc>
        <w:tc>
          <w:tcPr>
            <w:tcW w:w="760" w:type="dxa"/>
            <w:vAlign w:val="bottom"/>
            <w:shd w:val="clear" w:color="auto" w:fill="CCECFF"/>
          </w:tcPr>
          <w:p>
            <w:pPr>
              <w:spacing w:after="0"/>
              <w:rPr>
                <w:sz w:val="13"/>
                <w:szCs w:val="13"/>
                <w:color w:val="auto"/>
              </w:rPr>
            </w:pPr>
          </w:p>
        </w:tc>
        <w:tc>
          <w:tcPr>
            <w:tcW w:w="1300" w:type="dxa"/>
            <w:vAlign w:val="bottom"/>
            <w:gridSpan w:val="2"/>
            <w:shd w:val="clear" w:color="auto" w:fill="CCECFF"/>
          </w:tcPr>
          <w:p>
            <w:pPr>
              <w:jc w:val="right"/>
              <w:ind w:right="20"/>
              <w:spacing w:after="0" w:line="155" w:lineRule="exact"/>
              <w:rPr>
                <w:sz w:val="20"/>
                <w:szCs w:val="20"/>
                <w:color w:val="auto"/>
              </w:rPr>
            </w:pPr>
            <w:r>
              <w:rPr>
                <w:rFonts w:ascii="Arial" w:cs="Arial" w:eastAsia="Arial" w:hAnsi="Arial"/>
                <w:sz w:val="14"/>
                <w:szCs w:val="14"/>
                <w:color w:val="auto"/>
              </w:rPr>
              <w:t>10.67%</w:t>
            </w: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 xml:space="preserve">Ratio of net investment income to average net assets </w:t>
            </w:r>
            <w:r>
              <w:rPr>
                <w:rFonts w:ascii="Arial" w:cs="Arial" w:eastAsia="Arial" w:hAnsi="Arial"/>
                <w:sz w:val="12"/>
                <w:szCs w:val="12"/>
                <w:color w:val="auto"/>
              </w:rPr>
              <w:t>(6)</w:t>
            </w:r>
          </w:p>
        </w:tc>
        <w:tc>
          <w:tcPr>
            <w:tcW w:w="114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8.13%</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4"/>
                <w:szCs w:val="14"/>
                <w:color w:val="auto"/>
              </w:rPr>
              <w:t>9.16%</w:t>
            </w:r>
          </w:p>
        </w:tc>
        <w:tc>
          <w:tcPr>
            <w:tcW w:w="0" w:type="dxa"/>
            <w:vAlign w:val="bottom"/>
          </w:tcPr>
          <w:p>
            <w:pPr>
              <w:spacing w:after="0"/>
              <w:rPr>
                <w:sz w:val="1"/>
                <w:szCs w:val="1"/>
                <w:color w:val="auto"/>
              </w:rPr>
            </w:pPr>
          </w:p>
        </w:tc>
      </w:tr>
      <w:tr>
        <w:trPr>
          <w:trHeight w:val="162"/>
        </w:trPr>
        <w:tc>
          <w:tcPr>
            <w:tcW w:w="6900" w:type="dxa"/>
            <w:vAlign w:val="bottom"/>
            <w:shd w:val="clear" w:color="auto" w:fill="CCECFF"/>
          </w:tcPr>
          <w:p>
            <w:pPr>
              <w:spacing w:after="0"/>
              <w:rPr>
                <w:sz w:val="20"/>
                <w:szCs w:val="20"/>
                <w:color w:val="auto"/>
              </w:rPr>
            </w:pPr>
            <w:r>
              <w:rPr>
                <w:rFonts w:ascii="Arial" w:cs="Arial" w:eastAsia="Arial" w:hAnsi="Arial"/>
                <w:sz w:val="14"/>
                <w:szCs w:val="14"/>
                <w:color w:val="auto"/>
              </w:rPr>
              <w:t>Net assets at end of period</w:t>
            </w:r>
          </w:p>
        </w:tc>
        <w:tc>
          <w:tcPr>
            <w:tcW w:w="1140" w:type="dxa"/>
            <w:vAlign w:val="bottom"/>
            <w:shd w:val="clear" w:color="auto" w:fill="CCECFF"/>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CFF"/>
          </w:tcPr>
          <w:p>
            <w:pPr>
              <w:jc w:val="right"/>
              <w:spacing w:after="0"/>
              <w:rPr>
                <w:sz w:val="20"/>
                <w:szCs w:val="20"/>
                <w:color w:val="auto"/>
              </w:rPr>
            </w:pPr>
            <w:r>
              <w:rPr>
                <w:rFonts w:ascii="Arial" w:cs="Arial" w:eastAsia="Arial" w:hAnsi="Arial"/>
                <w:sz w:val="14"/>
                <w:szCs w:val="14"/>
                <w:color w:val="auto"/>
                <w:w w:val="97"/>
              </w:rPr>
              <w:t>636,092,684</w:t>
            </w:r>
          </w:p>
        </w:tc>
        <w:tc>
          <w:tcPr>
            <w:tcW w:w="240" w:type="dxa"/>
            <w:vAlign w:val="bottom"/>
            <w:shd w:val="clear" w:color="auto" w:fill="CCECFF"/>
          </w:tcPr>
          <w:p>
            <w:pPr>
              <w:spacing w:after="0"/>
              <w:rPr>
                <w:sz w:val="14"/>
                <w:szCs w:val="14"/>
                <w:color w:val="auto"/>
              </w:rPr>
            </w:pPr>
          </w:p>
        </w:tc>
        <w:tc>
          <w:tcPr>
            <w:tcW w:w="880" w:type="dxa"/>
            <w:vAlign w:val="bottom"/>
            <w:gridSpan w:val="2"/>
            <w:shd w:val="clear" w:color="auto" w:fill="CCECFF"/>
          </w:tcPr>
          <w:p>
            <w:pPr>
              <w:jc w:val="right"/>
              <w:ind w:right="649"/>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652,175,782</w:t>
            </w:r>
          </w:p>
        </w:tc>
        <w:tc>
          <w:tcPr>
            <w:tcW w:w="14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900" w:type="dxa"/>
            <w:vAlign w:val="bottom"/>
            <w:tcBorders>
              <w:bottom w:val="single" w:sz="8" w:color="CCECFF"/>
            </w:tcBorders>
          </w:tcPr>
          <w:p>
            <w:pPr>
              <w:spacing w:after="0" w:line="155" w:lineRule="exact"/>
              <w:rPr>
                <w:sz w:val="20"/>
                <w:szCs w:val="20"/>
                <w:color w:val="auto"/>
              </w:rPr>
            </w:pPr>
            <w:r>
              <w:rPr>
                <w:rFonts w:ascii="Arial" w:cs="Arial" w:eastAsia="Arial" w:hAnsi="Arial"/>
                <w:sz w:val="14"/>
                <w:szCs w:val="14"/>
                <w:color w:val="auto"/>
              </w:rPr>
              <w:t xml:space="preserve">Weighted average debt outstanding </w:t>
            </w:r>
            <w:r>
              <w:rPr>
                <w:rFonts w:ascii="Arial" w:cs="Arial" w:eastAsia="Arial" w:hAnsi="Arial"/>
                <w:sz w:val="12"/>
                <w:szCs w:val="12"/>
                <w:color w:val="auto"/>
              </w:rPr>
              <w:t>(7)</w:t>
            </w:r>
          </w:p>
        </w:tc>
        <w:tc>
          <w:tcPr>
            <w:tcW w:w="1140" w:type="dxa"/>
            <w:vAlign w:val="bottom"/>
            <w:tcBorders>
              <w:top w:val="single" w:sz="8" w:color="auto"/>
              <w:bottom w:val="single" w:sz="8" w:color="auto"/>
            </w:tcBorders>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7"/>
              </w:rPr>
              <w:t>503,885,801</w:t>
            </w:r>
          </w:p>
        </w:tc>
        <w:tc>
          <w:tcPr>
            <w:tcW w:w="240" w:type="dxa"/>
            <w:vAlign w:val="bottom"/>
            <w:tcBorders>
              <w:bottom w:val="single" w:sz="8" w:color="CCECFF"/>
            </w:tcBorders>
          </w:tcPr>
          <w:p>
            <w:pPr>
              <w:spacing w:after="0"/>
              <w:rPr>
                <w:sz w:val="13"/>
                <w:szCs w:val="13"/>
                <w:color w:val="auto"/>
              </w:rPr>
            </w:pPr>
          </w:p>
        </w:tc>
        <w:tc>
          <w:tcPr>
            <w:tcW w:w="120" w:type="dxa"/>
            <w:vAlign w:val="bottom"/>
            <w:tcBorders>
              <w:bottom w:val="single" w:sz="8" w:color="CCECFF"/>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649"/>
              <w:spacing w:after="0"/>
              <w:rPr>
                <w:sz w:val="20"/>
                <w:szCs w:val="20"/>
                <w:color w:val="auto"/>
              </w:rPr>
            </w:pPr>
            <w:r>
              <w:rPr>
                <w:rFonts w:ascii="Arial" w:cs="Arial" w:eastAsia="Arial" w:hAnsi="Arial"/>
                <w:sz w:val="10"/>
                <w:szCs w:val="10"/>
                <w:color w:val="auto"/>
                <w:w w:val="71"/>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628,559,362</w:t>
            </w:r>
          </w:p>
        </w:tc>
        <w:tc>
          <w:tcPr>
            <w:tcW w:w="140" w:type="dxa"/>
            <w:vAlign w:val="bottom"/>
            <w:tcBorders>
              <w:bottom w:val="single" w:sz="8" w:color="CCEC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90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 xml:space="preserve">Weighted average debt per share </w:t>
            </w:r>
            <w:r>
              <w:rPr>
                <w:rFonts w:ascii="Arial" w:cs="Arial" w:eastAsia="Arial" w:hAnsi="Arial"/>
                <w:sz w:val="12"/>
                <w:szCs w:val="12"/>
                <w:color w:val="auto"/>
              </w:rPr>
              <w:t>(1), (7)</w:t>
            </w:r>
          </w:p>
        </w:tc>
        <w:tc>
          <w:tcPr>
            <w:tcW w:w="1140" w:type="dxa"/>
            <w:vAlign w:val="bottom"/>
            <w:shd w:val="clear" w:color="auto" w:fill="CCECFF"/>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7.10</w:t>
            </w:r>
          </w:p>
        </w:tc>
        <w:tc>
          <w:tcPr>
            <w:tcW w:w="240" w:type="dxa"/>
            <w:vAlign w:val="bottom"/>
            <w:shd w:val="clear" w:color="auto" w:fill="CCECFF"/>
          </w:tcPr>
          <w:p>
            <w:pPr>
              <w:spacing w:after="0"/>
              <w:rPr>
                <w:sz w:val="13"/>
                <w:szCs w:val="13"/>
                <w:color w:val="auto"/>
              </w:rPr>
            </w:pPr>
          </w:p>
        </w:tc>
        <w:tc>
          <w:tcPr>
            <w:tcW w:w="120" w:type="dxa"/>
            <w:vAlign w:val="bottom"/>
            <w:shd w:val="clear" w:color="auto" w:fill="CCECFF"/>
          </w:tcPr>
          <w:p>
            <w:pPr>
              <w:spacing w:after="0"/>
              <w:rPr>
                <w:sz w:val="13"/>
                <w:szCs w:val="13"/>
                <w:color w:val="auto"/>
              </w:rPr>
            </w:pPr>
          </w:p>
        </w:tc>
        <w:tc>
          <w:tcPr>
            <w:tcW w:w="760" w:type="dxa"/>
            <w:vAlign w:val="bottom"/>
            <w:shd w:val="clear" w:color="auto" w:fill="CCECFF"/>
          </w:tcPr>
          <w:p>
            <w:pPr>
              <w:jc w:val="right"/>
              <w:ind w:right="649"/>
              <w:spacing w:after="0"/>
              <w:rPr>
                <w:sz w:val="20"/>
                <w:szCs w:val="20"/>
                <w:color w:val="auto"/>
              </w:rPr>
            </w:pPr>
            <w:r>
              <w:rPr>
                <w:rFonts w:ascii="Arial" w:cs="Arial" w:eastAsia="Arial" w:hAnsi="Arial"/>
                <w:sz w:val="10"/>
                <w:szCs w:val="10"/>
                <w:color w:val="auto"/>
                <w:w w:val="71"/>
              </w:rPr>
              <w:t>$</w:t>
            </w:r>
          </w:p>
        </w:tc>
        <w:tc>
          <w:tcPr>
            <w:tcW w:w="116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8.85</w:t>
            </w:r>
          </w:p>
        </w:tc>
        <w:tc>
          <w:tcPr>
            <w:tcW w:w="14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900" w:type="dxa"/>
            <w:vAlign w:val="bottom"/>
          </w:tcPr>
          <w:p>
            <w:pPr>
              <w:spacing w:after="0"/>
              <w:rPr>
                <w:sz w:val="20"/>
                <w:szCs w:val="20"/>
                <w:color w:val="auto"/>
              </w:rPr>
            </w:pPr>
            <w:r>
              <w:rPr>
                <w:rFonts w:ascii="Arial" w:cs="Arial" w:eastAsia="Arial" w:hAnsi="Arial"/>
                <w:sz w:val="14"/>
                <w:szCs w:val="14"/>
                <w:color w:val="auto"/>
              </w:rPr>
              <w:t xml:space="preserve">Asset coverage per unit </w:t>
            </w:r>
            <w:r>
              <w:rPr>
                <w:rFonts w:ascii="Arial" w:cs="Arial" w:eastAsia="Arial" w:hAnsi="Arial"/>
                <w:sz w:val="12"/>
                <w:szCs w:val="12"/>
                <w:color w:val="auto"/>
              </w:rPr>
              <w:t>(8)</w:t>
            </w:r>
          </w:p>
        </w:tc>
        <w:tc>
          <w:tcPr>
            <w:tcW w:w="1140" w:type="dxa"/>
            <w:vAlign w:val="bottom"/>
          </w:tcPr>
          <w:p>
            <w:pPr>
              <w:jc w:val="right"/>
              <w:ind w:right="1026"/>
              <w:spacing w:after="0"/>
              <w:rPr>
                <w:sz w:val="20"/>
                <w:szCs w:val="20"/>
                <w:color w:val="auto"/>
              </w:rPr>
            </w:pPr>
            <w:r>
              <w:rPr>
                <w:rFonts w:ascii="Arial" w:cs="Arial" w:eastAsia="Arial" w:hAnsi="Arial"/>
                <w:sz w:val="10"/>
                <w:szCs w:val="10"/>
                <w:color w:val="auto"/>
                <w:w w:val="71"/>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3,188</w:t>
            </w:r>
          </w:p>
        </w:tc>
        <w:tc>
          <w:tcPr>
            <w:tcW w:w="240" w:type="dxa"/>
            <w:vAlign w:val="bottom"/>
          </w:tcPr>
          <w:p>
            <w:pPr>
              <w:spacing w:after="0"/>
              <w:rPr>
                <w:sz w:val="14"/>
                <w:szCs w:val="14"/>
                <w:color w:val="auto"/>
              </w:rPr>
            </w:pPr>
          </w:p>
        </w:tc>
        <w:tc>
          <w:tcPr>
            <w:tcW w:w="880" w:type="dxa"/>
            <w:vAlign w:val="bottom"/>
            <w:gridSpan w:val="2"/>
          </w:tcPr>
          <w:p>
            <w:pPr>
              <w:jc w:val="right"/>
              <w:ind w:right="649"/>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2,981</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00" w:type="dxa"/>
            <w:vAlign w:val="bottom"/>
            <w:shd w:val="clear" w:color="auto" w:fill="CCECFF"/>
          </w:tcPr>
          <w:p>
            <w:pPr>
              <w:spacing w:after="0"/>
              <w:rPr>
                <w:sz w:val="20"/>
                <w:szCs w:val="20"/>
                <w:color w:val="auto"/>
              </w:rPr>
            </w:pPr>
            <w:r>
              <w:rPr>
                <w:rFonts w:ascii="Arial" w:cs="Arial" w:eastAsia="Arial" w:hAnsi="Arial"/>
                <w:sz w:val="14"/>
                <w:szCs w:val="14"/>
                <w:color w:val="auto"/>
              </w:rPr>
              <w:t>Portfolio turnover ratio</w:t>
            </w:r>
          </w:p>
        </w:tc>
        <w:tc>
          <w:tcPr>
            <w:tcW w:w="1140" w:type="dxa"/>
            <w:vAlign w:val="bottom"/>
            <w:shd w:val="clear" w:color="auto" w:fill="CCECFF"/>
          </w:tcPr>
          <w:p>
            <w:pPr>
              <w:spacing w:after="0"/>
              <w:rPr>
                <w:sz w:val="14"/>
                <w:szCs w:val="14"/>
                <w:color w:val="auto"/>
              </w:rPr>
            </w:pPr>
          </w:p>
        </w:tc>
        <w:tc>
          <w:tcPr>
            <w:tcW w:w="1020" w:type="dxa"/>
            <w:vAlign w:val="bottom"/>
            <w:gridSpan w:val="2"/>
            <w:shd w:val="clear" w:color="auto" w:fill="CCECFF"/>
          </w:tcPr>
          <w:p>
            <w:pPr>
              <w:jc w:val="right"/>
              <w:ind w:right="120"/>
              <w:spacing w:after="0"/>
              <w:rPr>
                <w:sz w:val="20"/>
                <w:szCs w:val="20"/>
                <w:color w:val="auto"/>
              </w:rPr>
            </w:pPr>
            <w:r>
              <w:rPr>
                <w:rFonts w:ascii="Arial" w:cs="Arial" w:eastAsia="Arial" w:hAnsi="Arial"/>
                <w:sz w:val="14"/>
                <w:szCs w:val="14"/>
                <w:color w:val="auto"/>
              </w:rPr>
              <w:t>53.32%</w:t>
            </w:r>
          </w:p>
        </w:tc>
        <w:tc>
          <w:tcPr>
            <w:tcW w:w="120" w:type="dxa"/>
            <w:vAlign w:val="bottom"/>
            <w:shd w:val="clear" w:color="auto" w:fill="CCECFF"/>
          </w:tcPr>
          <w:p>
            <w:pPr>
              <w:spacing w:after="0"/>
              <w:rPr>
                <w:sz w:val="14"/>
                <w:szCs w:val="14"/>
                <w:color w:val="auto"/>
              </w:rPr>
            </w:pPr>
          </w:p>
        </w:tc>
        <w:tc>
          <w:tcPr>
            <w:tcW w:w="760" w:type="dxa"/>
            <w:vAlign w:val="bottom"/>
            <w:shd w:val="clear" w:color="auto" w:fill="CCECFF"/>
          </w:tcPr>
          <w:p>
            <w:pPr>
              <w:spacing w:after="0"/>
              <w:rPr>
                <w:sz w:val="14"/>
                <w:szCs w:val="14"/>
                <w:color w:val="auto"/>
              </w:rPr>
            </w:pPr>
          </w:p>
        </w:tc>
        <w:tc>
          <w:tcPr>
            <w:tcW w:w="1300" w:type="dxa"/>
            <w:vAlign w:val="bottom"/>
            <w:gridSpan w:val="2"/>
            <w:shd w:val="clear" w:color="auto" w:fill="CCECFF"/>
          </w:tcPr>
          <w:p>
            <w:pPr>
              <w:jc w:val="right"/>
              <w:ind w:right="20"/>
              <w:spacing w:after="0"/>
              <w:rPr>
                <w:sz w:val="20"/>
                <w:szCs w:val="20"/>
                <w:color w:val="auto"/>
              </w:rPr>
            </w:pPr>
            <w:r>
              <w:rPr>
                <w:rFonts w:ascii="Arial" w:cs="Arial" w:eastAsia="Arial" w:hAnsi="Arial"/>
                <w:sz w:val="14"/>
                <w:szCs w:val="14"/>
                <w:color w:val="auto"/>
              </w:rPr>
              <w:t>42.73%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13455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204" w:lineRule="exact"/>
        <w:rPr>
          <w:sz w:val="20"/>
          <w:szCs w:val="20"/>
          <w:color w:val="auto"/>
        </w:rPr>
      </w:pPr>
    </w:p>
    <w:p>
      <w:pPr>
        <w:ind w:right="8240" w:firstLine="8"/>
        <w:spacing w:after="0" w:line="276" w:lineRule="auto"/>
        <w:tabs>
          <w:tab w:leader="none" w:pos="364" w:val="left"/>
        </w:tabs>
        <w:numPr>
          <w:ilvl w:val="0"/>
          <w:numId w:val="15"/>
        </w:numPr>
        <w:rPr>
          <w:rFonts w:ascii="Arial" w:cs="Arial" w:eastAsia="Arial" w:hAnsi="Arial"/>
          <w:sz w:val="13"/>
          <w:szCs w:val="13"/>
          <w:color w:val="auto"/>
        </w:rPr>
      </w:pPr>
      <w:r>
        <w:rPr>
          <w:rFonts w:ascii="Arial" w:cs="Arial" w:eastAsia="Arial" w:hAnsi="Arial"/>
          <w:sz w:val="13"/>
          <w:szCs w:val="13"/>
          <w:color w:val="auto"/>
        </w:rPr>
        <w:t>Not annualized for periods less than one year. ** Annualized for periods less than one year.</w:t>
      </w:r>
    </w:p>
    <w:p>
      <w:pPr>
        <w:ind w:left="380" w:hanging="372"/>
        <w:spacing w:after="0"/>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Based on the weighted average shares outstanding for the respective periods.</w:t>
      </w:r>
    </w:p>
    <w:p>
      <w:pPr>
        <w:spacing w:after="0" w:line="14" w:lineRule="exact"/>
        <w:rPr>
          <w:rFonts w:ascii="Arial" w:cs="Arial" w:eastAsia="Arial" w:hAnsi="Arial"/>
          <w:sz w:val="12"/>
          <w:szCs w:val="12"/>
          <w:color w:val="auto"/>
        </w:rPr>
      </w:pPr>
    </w:p>
    <w:p>
      <w:pPr>
        <w:ind w:left="380" w:right="20" w:hanging="372"/>
        <w:spacing w:after="0" w:line="261" w:lineRule="auto"/>
        <w:tabs>
          <w:tab w:leader="none" w:pos="38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 tax status of distributions is calculated in accordance with income tax regulations, which may differ from amounts determined under GAAP, and reported on Form 1099-DIV each calendar year.</w:t>
      </w:r>
    </w:p>
    <w:p>
      <w:pPr>
        <w:ind w:left="360" w:hanging="352"/>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Based on the change in market price per share during the periods and takes into account distributions, if any, reinvested in accordance with our dividend reinvestment plan.</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Excludes debt related costs.</w:t>
      </w:r>
    </w:p>
    <w:p>
      <w:pPr>
        <w:spacing w:after="0" w:line="14" w:lineRule="exact"/>
        <w:rPr>
          <w:rFonts w:ascii="Arial" w:cs="Arial" w:eastAsia="Arial" w:hAnsi="Arial"/>
          <w:sz w:val="12"/>
          <w:szCs w:val="12"/>
          <w:color w:val="auto"/>
        </w:rPr>
      </w:pPr>
    </w:p>
    <w:p>
      <w:pPr>
        <w:ind w:left="360" w:right="820" w:hanging="352"/>
        <w:spacing w:after="0" w:line="281" w:lineRule="auto"/>
        <w:tabs>
          <w:tab w:leader="none" w:pos="360" w:val="left"/>
        </w:tabs>
        <w:numPr>
          <w:ilvl w:val="0"/>
          <w:numId w:val="16"/>
        </w:numPr>
        <w:rPr>
          <w:rFonts w:ascii="Arial" w:cs="Arial" w:eastAsia="Arial" w:hAnsi="Arial"/>
          <w:sz w:val="11"/>
          <w:szCs w:val="11"/>
          <w:color w:val="auto"/>
        </w:rPr>
      </w:pPr>
      <w:r>
        <w:rPr>
          <w:rFonts w:ascii="Arial" w:cs="Arial" w:eastAsia="Arial" w:hAnsi="Arial"/>
          <w:sz w:val="13"/>
          <w:szCs w:val="13"/>
          <w:color w:val="auto"/>
        </w:rPr>
        <w:t>For the nine months ended June 30, 2018 and 2017, the ratio of operating expenses before the waiver of certain Management Fees to average net assets was 5.24% and 6.73%, respectively, and the ratio of total expenses before the waiver of certain Management Fees to average net assets was 8.83% and 11.55%, respectively.</w:t>
      </w:r>
    </w:p>
    <w:p>
      <w:pPr>
        <w:ind w:left="360" w:hanging="352"/>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Does not annualize non-recurring provision for taxes.</w:t>
      </w:r>
    </w:p>
    <w:p>
      <w:pPr>
        <w:spacing w:after="0" w:line="14" w:lineRule="exact"/>
        <w:rPr>
          <w:rFonts w:ascii="Arial" w:cs="Arial" w:eastAsia="Arial" w:hAnsi="Arial"/>
          <w:sz w:val="12"/>
          <w:szCs w:val="12"/>
          <w:color w:val="auto"/>
        </w:rPr>
      </w:pPr>
    </w:p>
    <w:p>
      <w:pPr>
        <w:ind w:left="360" w:hanging="352"/>
        <w:spacing w:after="0"/>
        <w:tabs>
          <w:tab w:leader="none" w:pos="3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Includes SBA debentures outstanding.</w:t>
      </w:r>
    </w:p>
    <w:p>
      <w:pPr>
        <w:spacing w:after="0" w:line="14" w:lineRule="exact"/>
        <w:rPr>
          <w:rFonts w:ascii="Arial" w:cs="Arial" w:eastAsia="Arial" w:hAnsi="Arial"/>
          <w:sz w:val="12"/>
          <w:szCs w:val="12"/>
          <w:color w:val="auto"/>
        </w:rPr>
      </w:pPr>
    </w:p>
    <w:p>
      <w:pPr>
        <w:ind w:left="360" w:right="120" w:hanging="352"/>
        <w:spacing w:after="0" w:line="272" w:lineRule="auto"/>
        <w:tabs>
          <w:tab w:leader="none" w:pos="360" w:val="left"/>
        </w:tabs>
        <w:numPr>
          <w:ilvl w:val="0"/>
          <w:numId w:val="16"/>
        </w:numPr>
        <w:rPr>
          <w:rFonts w:ascii="Arial" w:cs="Arial" w:eastAsia="Arial" w:hAnsi="Arial"/>
          <w:sz w:val="12"/>
          <w:szCs w:val="12"/>
          <w:color w:val="auto"/>
        </w:rPr>
      </w:pPr>
      <w:r>
        <w:rPr>
          <w:rFonts w:ascii="Arial" w:cs="Arial" w:eastAsia="Arial" w:hAnsi="Arial"/>
          <w:sz w:val="14"/>
          <w:szCs w:val="14"/>
          <w:color w:val="auto"/>
        </w:rPr>
        <w:t>The asset coverage ratio for a class of senior securities representing indebtedness is calculated as our consolidated total assets, less all liabilities and indebtedness not represented by senior securities, divided by the senior securities representing indebtedness. This asset coverage ratio is multiplied by $1,000 to determine the asset coverage per unit. These amounts exclude SBA debentures from our asset coverage per unit computation pursuant to exemptive relief received from the SEC in June 2011.</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10. DEBT</w:t>
      </w:r>
    </w:p>
    <w:p>
      <w:pPr>
        <w:spacing w:after="0" w:line="140"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Our annualized weighted average cost of debt for the nine months ended June 30, 2018 and 2017, inclusive of the fee on the undrawn commitment and amendment costs on the Credit Facility, amortized upfront fees on SBA debentures and debt issuance costs, was 4.59% and 4.99%, respectively. As of June 30,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Credit Facility</w:t>
      </w:r>
    </w:p>
    <w:p>
      <w:pPr>
        <w:spacing w:after="0" w:line="136" w:lineRule="exact"/>
        <w:rPr>
          <w:sz w:val="20"/>
          <w:szCs w:val="20"/>
          <w:color w:val="auto"/>
        </w:rPr>
      </w:pPr>
    </w:p>
    <w:p>
      <w:pPr>
        <w:ind w:right="20" w:firstLine="438"/>
        <w:spacing w:after="0" w:line="231" w:lineRule="auto"/>
        <w:rPr>
          <w:sz w:val="20"/>
          <w:szCs w:val="20"/>
          <w:color w:val="auto"/>
        </w:rPr>
      </w:pPr>
      <w:r>
        <w:rPr>
          <w:rFonts w:ascii="Arial" w:cs="Arial" w:eastAsia="Arial" w:hAnsi="Arial"/>
          <w:sz w:val="14"/>
          <w:szCs w:val="14"/>
          <w:color w:val="auto"/>
        </w:rPr>
        <w:t>As of June 30, 2018, we had a $445 million multi-currency Credit Facility with certain lenders and SunTrust Bank, acting as administrative agent, and JPMorgan Chase Bank, N.A., acting as syndication agent for the lenders. As of June 30, 2018 and September 30, 2017, there was $41.5 million and $79.4 million, respectively, in outstanding borrowings under the Credit Facility. The Credit Facility had a weighted average interest rate of 2.94% and 2.42%, respectively, exclusive of the fee on undrawn commitments of 0.375%, as of June 30, 2018 and September 30, 2017. The Credit Facility is a five-year revolving facility with a stated maturity date of May 25, 2022, a one-year term-out period following its fourth year and pricing set at 225 basis points over LIBOR. The Credit Facility is secured by substantially all of our assets excluding assets held by our SBIC Funds.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SBA Debentures</w:t>
      </w:r>
    </w:p>
    <w:p>
      <w:pPr>
        <w:spacing w:after="0" w:line="136" w:lineRule="exact"/>
        <w:rPr>
          <w:sz w:val="20"/>
          <w:szCs w:val="20"/>
          <w:color w:val="auto"/>
        </w:rPr>
      </w:pPr>
    </w:p>
    <w:p>
      <w:pPr>
        <w:ind w:right="120" w:firstLine="434"/>
        <w:spacing w:after="0" w:line="268" w:lineRule="auto"/>
        <w:rPr>
          <w:sz w:val="20"/>
          <w:szCs w:val="20"/>
          <w:color w:val="auto"/>
        </w:rPr>
      </w:pPr>
      <w:r>
        <w:rPr>
          <w:rFonts w:ascii="Arial" w:cs="Arial" w:eastAsia="Arial" w:hAnsi="Arial"/>
          <w:sz w:val="12"/>
          <w:szCs w:val="12"/>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$30.0 million as of June 30, 2018. We have funded SBIC</w:t>
      </w:r>
    </w:p>
    <w:p>
      <w:pPr>
        <w:spacing w:after="0" w:line="1" w:lineRule="exact"/>
        <w:rPr>
          <w:sz w:val="20"/>
          <w:szCs w:val="20"/>
          <w:color w:val="auto"/>
        </w:rPr>
      </w:pPr>
    </w:p>
    <w:p>
      <w:pPr>
        <w:ind w:left="5560" w:right="4440" w:hanging="5552"/>
        <w:spacing w:after="0" w:line="778" w:lineRule="auto"/>
        <w:tabs>
          <w:tab w:leader="none" w:pos="142" w:val="left"/>
        </w:tabs>
        <w:numPr>
          <w:ilvl w:val="0"/>
          <w:numId w:val="17"/>
        </w:numPr>
        <w:rPr>
          <w:rFonts w:ascii="Arial" w:cs="Arial" w:eastAsia="Arial" w:hAnsi="Arial"/>
          <w:sz w:val="14"/>
          <w:szCs w:val="14"/>
          <w:color w:val="auto"/>
        </w:rPr>
      </w:pPr>
      <w:r>
        <w:rPr>
          <w:rFonts w:ascii="Arial" w:cs="Arial" w:eastAsia="Arial" w:hAnsi="Arial"/>
          <w:sz w:val="14"/>
          <w:szCs w:val="14"/>
          <w:color w:val="auto"/>
        </w:rPr>
        <w:t>with $75.0 million of equity capital and it had SBA debentures outstanding of $150.0 million as of June 30, 2018. SBA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14946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2" w:name="page23"/>
    <w:bookmarkEnd w:id="22"/>
    <w:p>
      <w:pPr>
        <w:ind w:left="3220"/>
        <w:spacing w:after="0"/>
        <w:rPr>
          <w:sz w:val="20"/>
          <w:szCs w:val="20"/>
          <w:color w:val="auto"/>
        </w:rPr>
      </w:pPr>
      <w:r>
        <w:rPr>
          <w:rFonts w:ascii="Arial" w:cs="Arial" w:eastAsia="Arial" w:hAnsi="Arial"/>
          <w:sz w:val="14"/>
          <w:szCs w:val="14"/>
          <w:b w:val="1"/>
          <w:bCs w:val="1"/>
          <w:color w:val="auto"/>
        </w:rPr>
        <w:t>PENNANTPARK INVESTMENT CORPORATION AND SUBSIDIARIES</w:t>
      </w:r>
    </w:p>
    <w:p>
      <w:pPr>
        <w:ind w:left="3200"/>
        <w:spacing w:after="0" w:line="225" w:lineRule="auto"/>
        <w:rPr>
          <w:sz w:val="20"/>
          <w:szCs w:val="20"/>
          <w:color w:val="auto"/>
        </w:rPr>
      </w:pPr>
      <w:r>
        <w:rPr>
          <w:rFonts w:ascii="Arial" w:cs="Arial" w:eastAsia="Arial" w:hAnsi="Arial"/>
          <w:sz w:val="14"/>
          <w:szCs w:val="14"/>
          <w:b w:val="1"/>
          <w:bCs w:val="1"/>
          <w:color w:val="auto"/>
        </w:rPr>
        <w:t>NOTES TO CONSOLIDATED FINANCIAL STATEMENTS—(Continued)</w:t>
      </w:r>
    </w:p>
    <w:p>
      <w:pPr>
        <w:jc w:val="center"/>
        <w:ind w:right="60"/>
        <w:spacing w:after="0" w:line="221" w:lineRule="auto"/>
        <w:rPr>
          <w:sz w:val="20"/>
          <w:szCs w:val="20"/>
          <w:color w:val="auto"/>
        </w:rPr>
      </w:pPr>
      <w:r>
        <w:rPr>
          <w:rFonts w:ascii="Arial" w:cs="Arial" w:eastAsia="Arial" w:hAnsi="Arial"/>
          <w:sz w:val="14"/>
          <w:szCs w:val="14"/>
          <w:b w:val="1"/>
          <w:bCs w:val="1"/>
          <w:color w:val="auto"/>
        </w:rPr>
        <w:t>JUNE 30, 2018</w:t>
      </w:r>
    </w:p>
    <w:p>
      <w:pPr>
        <w:spacing w:after="0" w:line="1" w:lineRule="exact"/>
        <w:rPr>
          <w:sz w:val="20"/>
          <w:szCs w:val="20"/>
          <w:color w:val="auto"/>
        </w:rPr>
      </w:pPr>
    </w:p>
    <w:p>
      <w:pPr>
        <w:jc w:val="center"/>
        <w:ind w:right="60"/>
        <w:spacing w:after="0"/>
        <w:rPr>
          <w:sz w:val="20"/>
          <w:szCs w:val="20"/>
          <w:color w:val="auto"/>
        </w:rPr>
      </w:pPr>
      <w:r>
        <w:rPr>
          <w:rFonts w:ascii="Arial" w:cs="Arial" w:eastAsia="Arial" w:hAnsi="Arial"/>
          <w:sz w:val="14"/>
          <w:szCs w:val="14"/>
          <w:b w:val="1"/>
          <w:bCs w:val="1"/>
          <w:color w:val="auto"/>
        </w:rPr>
        <w:t>(Unaudited)</w:t>
      </w:r>
    </w:p>
    <w:p>
      <w:pPr>
        <w:spacing w:after="0" w:line="192" w:lineRule="exact"/>
        <w:rPr>
          <w:sz w:val="20"/>
          <w:szCs w:val="20"/>
          <w:color w:val="auto"/>
        </w:rPr>
      </w:pPr>
    </w:p>
    <w:p>
      <w:pPr>
        <w:jc w:val="both"/>
        <w:ind w:right="200"/>
        <w:spacing w:after="0" w:line="238" w:lineRule="auto"/>
        <w:rPr>
          <w:sz w:val="20"/>
          <w:szCs w:val="20"/>
          <w:color w:val="auto"/>
        </w:rPr>
      </w:pPr>
      <w:r>
        <w:rPr>
          <w:rFonts w:ascii="Arial" w:cs="Arial" w:eastAsia="Arial" w:hAnsi="Arial"/>
          <w:sz w:val="14"/>
          <w:szCs w:val="14"/>
          <w:color w:val="auto"/>
        </w:rPr>
        <w:t>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115"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As of June 30, 2018 and September 30, 2017, our SBIC Funds had $300.0 million in debt commitments, respectively, of which $180.0 million and $199.0 million was drawn, respectively. As of June 30, 2018 and September 30, 2017, the unamortized fees on the SBA debentures was $4.8 million and $4.6 million, respectively. The SBA debentures’ upfront fees of 3.43% consist of a commitment fee of 1.00% and an issuance discount of 2.43%, which are being amortized.</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660" w:type="dxa"/>
            <w:vAlign w:val="bottom"/>
            <w:gridSpan w:val="2"/>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0" w:type="dxa"/>
            <w:vAlign w:val="bottom"/>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As of June 30, 2018</w:t>
            </w:r>
          </w:p>
        </w:tc>
        <w:tc>
          <w:tcPr>
            <w:tcW w:w="0" w:type="dxa"/>
            <w:vAlign w:val="bottom"/>
          </w:tcPr>
          <w:p>
            <w:pPr>
              <w:spacing w:after="0"/>
              <w:rPr>
                <w:sz w:val="1"/>
                <w:szCs w:val="1"/>
                <w:color w:val="auto"/>
              </w:rPr>
            </w:pPr>
          </w:p>
        </w:tc>
      </w:tr>
      <w:tr>
        <w:trPr>
          <w:trHeight w:val="124"/>
        </w:trPr>
        <w:tc>
          <w:tcPr>
            <w:tcW w:w="34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vMerge w:val="restart"/>
          </w:tcPr>
          <w:p>
            <w:pPr>
              <w:spacing w:after="0"/>
              <w:rPr>
                <w:sz w:val="10"/>
                <w:szCs w:val="10"/>
                <w:color w:val="auto"/>
              </w:rPr>
            </w:pPr>
          </w:p>
        </w:tc>
        <w:tc>
          <w:tcPr>
            <w:tcW w:w="20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10"/>
                <w:szCs w:val="10"/>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00" w:type="dxa"/>
            <w:vAlign w:val="bottom"/>
            <w:vMerge w:val="restart"/>
          </w:tcPr>
          <w:p>
            <w:pPr>
              <w:spacing w:after="0"/>
              <w:rPr>
                <w:sz w:val="10"/>
                <w:szCs w:val="10"/>
                <w:color w:val="auto"/>
              </w:rPr>
            </w:pPr>
          </w:p>
        </w:tc>
        <w:tc>
          <w:tcPr>
            <w:tcW w:w="340" w:type="dxa"/>
            <w:vAlign w:val="bottom"/>
          </w:tcPr>
          <w:p>
            <w:pPr>
              <w:spacing w:after="0"/>
              <w:rPr>
                <w:sz w:val="10"/>
                <w:szCs w:val="10"/>
                <w:color w:val="auto"/>
              </w:rPr>
            </w:pPr>
          </w:p>
        </w:tc>
        <w:tc>
          <w:tcPr>
            <w:tcW w:w="26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19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C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4"/>
              </w:rPr>
              <w:t>Principal 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21, 2011</w:t>
            </w:r>
          </w:p>
        </w:tc>
        <w:tc>
          <w:tcPr>
            <w:tcW w:w="22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2021</w:t>
            </w:r>
          </w:p>
        </w:tc>
        <w:tc>
          <w:tcPr>
            <w:tcW w:w="220" w:type="dxa"/>
            <w:vAlign w:val="bottom"/>
            <w:shd w:val="clear" w:color="auto" w:fill="CCECFF"/>
          </w:tcPr>
          <w:p>
            <w:pPr>
              <w:spacing w:after="0"/>
              <w:rPr>
                <w:sz w:val="13"/>
                <w:szCs w:val="13"/>
                <w:color w:val="auto"/>
              </w:rPr>
            </w:pPr>
          </w:p>
        </w:tc>
        <w:tc>
          <w:tcPr>
            <w:tcW w:w="2360" w:type="dxa"/>
            <w:vAlign w:val="bottom"/>
            <w:gridSpan w:val="2"/>
            <w:shd w:val="clear" w:color="auto" w:fill="CCECFF"/>
          </w:tcPr>
          <w:p>
            <w:pPr>
              <w:ind w:left="1680"/>
              <w:spacing w:after="0" w:line="155" w:lineRule="exact"/>
              <w:rPr>
                <w:sz w:val="20"/>
                <w:szCs w:val="20"/>
                <w:color w:val="auto"/>
              </w:rPr>
            </w:pPr>
            <w:r>
              <w:rPr>
                <w:rFonts w:ascii="Arial" w:cs="Arial" w:eastAsia="Arial" w:hAnsi="Arial"/>
                <w:sz w:val="14"/>
                <w:szCs w:val="14"/>
                <w:color w:val="auto"/>
              </w:rPr>
              <w:t>3.35%</w:t>
            </w: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25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March 23, 2016</w:t>
            </w:r>
          </w:p>
        </w:tc>
        <w:tc>
          <w:tcPr>
            <w:tcW w:w="2280" w:type="dxa"/>
            <w:vAlign w:val="bottom"/>
            <w:gridSpan w:val="2"/>
          </w:tcPr>
          <w:p>
            <w:pPr>
              <w:spacing w:after="0"/>
              <w:rPr>
                <w:sz w:val="20"/>
                <w:szCs w:val="20"/>
                <w:color w:val="auto"/>
              </w:rPr>
            </w:pPr>
            <w:r>
              <w:rPr>
                <w:rFonts w:ascii="Arial" w:cs="Arial" w:eastAsia="Arial" w:hAnsi="Arial"/>
                <w:sz w:val="14"/>
                <w:szCs w:val="14"/>
                <w:color w:val="auto"/>
              </w:rPr>
              <w:t>March 1, 2026</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2.86</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22,500,000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2026</w:t>
            </w:r>
          </w:p>
        </w:tc>
        <w:tc>
          <w:tcPr>
            <w:tcW w:w="1960" w:type="dxa"/>
            <w:vAlign w:val="bottom"/>
            <w:shd w:val="clear" w:color="auto" w:fill="CCECFF"/>
          </w:tcPr>
          <w:p>
            <w:pPr>
              <w:ind w:left="1680"/>
              <w:spacing w:after="0"/>
              <w:rPr>
                <w:sz w:val="20"/>
                <w:szCs w:val="20"/>
                <w:color w:val="auto"/>
              </w:rPr>
            </w:pPr>
            <w:r>
              <w:rPr>
                <w:rFonts w:ascii="Arial" w:cs="Arial" w:eastAsia="Arial" w:hAnsi="Arial"/>
                <w:sz w:val="14"/>
                <w:szCs w:val="14"/>
                <w:color w:val="auto"/>
                <w:w w:val="95"/>
              </w:rPr>
              <w:t>2.41</w:t>
            </w:r>
          </w:p>
        </w:tc>
        <w:tc>
          <w:tcPr>
            <w:tcW w:w="4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September 20, 2017</w:t>
            </w:r>
          </w:p>
        </w:tc>
        <w:tc>
          <w:tcPr>
            <w:tcW w:w="2280" w:type="dxa"/>
            <w:vAlign w:val="bottom"/>
            <w:gridSpan w:val="2"/>
          </w:tcPr>
          <w:p>
            <w:pPr>
              <w:spacing w:after="0"/>
              <w:rPr>
                <w:sz w:val="20"/>
                <w:szCs w:val="20"/>
                <w:color w:val="auto"/>
              </w:rPr>
            </w:pPr>
            <w:r>
              <w:rPr>
                <w:rFonts w:ascii="Arial" w:cs="Arial" w:eastAsia="Arial" w:hAnsi="Arial"/>
                <w:sz w:val="14"/>
                <w:szCs w:val="14"/>
                <w:color w:val="auto"/>
              </w:rPr>
              <w:t>September 1, 2027</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2.87</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2028</w:t>
            </w:r>
          </w:p>
        </w:tc>
        <w:tc>
          <w:tcPr>
            <w:tcW w:w="1960" w:type="dxa"/>
            <w:vAlign w:val="bottom"/>
            <w:tcBorders>
              <w:bottom w:val="single" w:sz="8" w:color="auto"/>
            </w:tcBorders>
            <w:shd w:val="clear" w:color="auto" w:fill="CCECFF"/>
          </w:tcPr>
          <w:p>
            <w:pPr>
              <w:ind w:left="1680"/>
              <w:spacing w:after="0"/>
              <w:rPr>
                <w:sz w:val="20"/>
                <w:szCs w:val="20"/>
                <w:color w:val="auto"/>
              </w:rPr>
            </w:pPr>
            <w:r>
              <w:rPr>
                <w:rFonts w:ascii="Arial" w:cs="Arial" w:eastAsia="Arial" w:hAnsi="Arial"/>
                <w:sz w:val="14"/>
                <w:szCs w:val="14"/>
                <w:color w:val="auto"/>
                <w:w w:val="95"/>
              </w:rPr>
              <w:t>3.53</w:t>
            </w:r>
          </w:p>
        </w:tc>
        <w:tc>
          <w:tcPr>
            <w:tcW w:w="40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2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2"/>
          </w:tcPr>
          <w:p>
            <w:pPr>
              <w:ind w:left="1680"/>
              <w:spacing w:after="0" w:line="155" w:lineRule="exact"/>
              <w:rPr>
                <w:sz w:val="20"/>
                <w:szCs w:val="20"/>
                <w:color w:val="auto"/>
              </w:rPr>
            </w:pPr>
            <w:r>
              <w:rPr>
                <w:rFonts w:ascii="Arial" w:cs="Arial" w:eastAsia="Arial" w:hAnsi="Arial"/>
                <w:sz w:val="14"/>
                <w:szCs w:val="14"/>
                <w:color w:val="auto"/>
              </w:rPr>
              <w:t>3.15%</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2500" w:type="dxa"/>
            <w:vAlign w:val="bottom"/>
          </w:tcPr>
          <w:p>
            <w:pPr>
              <w:jc w:val="right"/>
              <w:spacing w:after="0" w:line="155" w:lineRule="exact"/>
              <w:rPr>
                <w:sz w:val="20"/>
                <w:szCs w:val="20"/>
                <w:color w:val="auto"/>
              </w:rPr>
            </w:pPr>
            <w:r>
              <w:rPr>
                <w:rFonts w:ascii="Arial" w:cs="Arial" w:eastAsia="Arial" w:hAnsi="Arial"/>
                <w:sz w:val="14"/>
                <w:szCs w:val="14"/>
                <w:color w:val="auto"/>
              </w:rPr>
              <w:t>180,000,000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4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vMerge w:val="restart"/>
          </w:tcPr>
          <w:p>
            <w:pPr>
              <w:spacing w:after="0"/>
              <w:rPr>
                <w:sz w:val="24"/>
                <w:szCs w:val="24"/>
                <w:color w:val="auto"/>
              </w:rPr>
            </w:pPr>
          </w:p>
        </w:tc>
        <w:tc>
          <w:tcPr>
            <w:tcW w:w="20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0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As of September 30, 2017</w:t>
            </w: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19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C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4"/>
              </w:rPr>
              <w:t>Principal 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29, 2011</w:t>
            </w:r>
          </w:p>
        </w:tc>
        <w:tc>
          <w:tcPr>
            <w:tcW w:w="22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2021</w:t>
            </w:r>
          </w:p>
        </w:tc>
        <w:tc>
          <w:tcPr>
            <w:tcW w:w="220" w:type="dxa"/>
            <w:vAlign w:val="bottom"/>
            <w:shd w:val="clear" w:color="auto" w:fill="CCECFF"/>
          </w:tcPr>
          <w:p>
            <w:pPr>
              <w:spacing w:after="0"/>
              <w:rPr>
                <w:sz w:val="13"/>
                <w:szCs w:val="13"/>
                <w:color w:val="auto"/>
              </w:rPr>
            </w:pPr>
          </w:p>
        </w:tc>
        <w:tc>
          <w:tcPr>
            <w:tcW w:w="2360" w:type="dxa"/>
            <w:vAlign w:val="bottom"/>
            <w:gridSpan w:val="2"/>
            <w:shd w:val="clear" w:color="auto" w:fill="CCECFF"/>
          </w:tcPr>
          <w:p>
            <w:pPr>
              <w:ind w:left="1680"/>
              <w:spacing w:after="0" w:line="155" w:lineRule="exact"/>
              <w:rPr>
                <w:sz w:val="20"/>
                <w:szCs w:val="20"/>
                <w:color w:val="auto"/>
              </w:rPr>
            </w:pPr>
            <w:r>
              <w:rPr>
                <w:rFonts w:ascii="Arial" w:cs="Arial" w:eastAsia="Arial" w:hAnsi="Arial"/>
                <w:sz w:val="14"/>
                <w:szCs w:val="14"/>
                <w:color w:val="auto"/>
              </w:rPr>
              <w:t>4.37%</w:t>
            </w: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25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September 21, 2011</w:t>
            </w:r>
          </w:p>
        </w:tc>
        <w:tc>
          <w:tcPr>
            <w:tcW w:w="2280" w:type="dxa"/>
            <w:vAlign w:val="bottom"/>
            <w:gridSpan w:val="2"/>
          </w:tcPr>
          <w:p>
            <w:pPr>
              <w:spacing w:after="0"/>
              <w:rPr>
                <w:sz w:val="20"/>
                <w:szCs w:val="20"/>
                <w:color w:val="auto"/>
              </w:rPr>
            </w:pPr>
            <w:r>
              <w:rPr>
                <w:rFonts w:ascii="Arial" w:cs="Arial" w:eastAsia="Arial" w:hAnsi="Arial"/>
                <w:sz w:val="14"/>
                <w:szCs w:val="14"/>
                <w:color w:val="auto"/>
              </w:rPr>
              <w:t>September 1, 2021</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3.38</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105,000,000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23, 2016</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2026</w:t>
            </w:r>
          </w:p>
        </w:tc>
        <w:tc>
          <w:tcPr>
            <w:tcW w:w="1960" w:type="dxa"/>
            <w:vAlign w:val="bottom"/>
            <w:shd w:val="clear" w:color="auto" w:fill="CCECFF"/>
          </w:tcPr>
          <w:p>
            <w:pPr>
              <w:ind w:left="1680"/>
              <w:spacing w:after="0"/>
              <w:rPr>
                <w:sz w:val="20"/>
                <w:szCs w:val="20"/>
                <w:color w:val="auto"/>
              </w:rPr>
            </w:pPr>
            <w:r>
              <w:rPr>
                <w:rFonts w:ascii="Arial" w:cs="Arial" w:eastAsia="Arial" w:hAnsi="Arial"/>
                <w:sz w:val="14"/>
                <w:szCs w:val="14"/>
                <w:color w:val="auto"/>
                <w:w w:val="95"/>
              </w:rPr>
              <w:t>2.86</w:t>
            </w:r>
          </w:p>
        </w:tc>
        <w:tc>
          <w:tcPr>
            <w:tcW w:w="4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2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2.41</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1960" w:type="dxa"/>
            <w:vAlign w:val="bottom"/>
            <w:tcBorders>
              <w:bottom w:val="single" w:sz="8" w:color="auto"/>
            </w:tcBorders>
            <w:shd w:val="clear" w:color="auto" w:fill="CCECFF"/>
          </w:tcPr>
          <w:p>
            <w:pPr>
              <w:ind w:left="1680"/>
              <w:spacing w:after="0"/>
              <w:rPr>
                <w:sz w:val="20"/>
                <w:szCs w:val="20"/>
                <w:color w:val="auto"/>
              </w:rPr>
            </w:pPr>
            <w:r>
              <w:rPr>
                <w:rFonts w:ascii="Arial" w:cs="Arial" w:eastAsia="Arial" w:hAnsi="Arial"/>
                <w:sz w:val="14"/>
                <w:szCs w:val="14"/>
                <w:color w:val="auto"/>
                <w:w w:val="95"/>
              </w:rPr>
              <w:t>2.87</w:t>
            </w:r>
          </w:p>
        </w:tc>
        <w:tc>
          <w:tcPr>
            <w:tcW w:w="40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2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2"/>
          </w:tcPr>
          <w:p>
            <w:pPr>
              <w:ind w:left="1680"/>
              <w:spacing w:after="0" w:line="155" w:lineRule="exact"/>
              <w:rPr>
                <w:sz w:val="20"/>
                <w:szCs w:val="20"/>
                <w:color w:val="auto"/>
              </w:rPr>
            </w:pPr>
            <w:r>
              <w:rPr>
                <w:rFonts w:ascii="Arial" w:cs="Arial" w:eastAsia="Arial" w:hAnsi="Arial"/>
                <w:sz w:val="14"/>
                <w:szCs w:val="14"/>
                <w:color w:val="auto"/>
              </w:rPr>
              <w:t>3.19%</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2500" w:type="dxa"/>
            <w:vAlign w:val="bottom"/>
          </w:tcPr>
          <w:p>
            <w:pPr>
              <w:jc w:val="right"/>
              <w:spacing w:after="0" w:line="155" w:lineRule="exact"/>
              <w:rPr>
                <w:sz w:val="20"/>
                <w:szCs w:val="20"/>
                <w:color w:val="auto"/>
              </w:rPr>
            </w:pPr>
            <w:r>
              <w:rPr>
                <w:rFonts w:ascii="Arial" w:cs="Arial" w:eastAsia="Arial" w:hAnsi="Arial"/>
                <w:sz w:val="14"/>
                <w:szCs w:val="14"/>
                <w:color w:val="auto"/>
              </w:rPr>
              <w:t>199,000,000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6" w:lineRule="exact"/>
        <w:rPr>
          <w:sz w:val="20"/>
          <w:szCs w:val="20"/>
          <w:color w:val="auto"/>
        </w:rPr>
      </w:pPr>
    </w:p>
    <w:p>
      <w:pPr>
        <w:spacing w:after="0"/>
        <w:tabs>
          <w:tab w:leader="none" w:pos="360" w:val="left"/>
        </w:tabs>
        <w:rPr>
          <w:sz w:val="20"/>
          <w:szCs w:val="20"/>
          <w:color w:val="auto"/>
        </w:rPr>
      </w:pPr>
      <w:r>
        <w:rPr>
          <w:rFonts w:ascii="Arial" w:cs="Arial" w:eastAsia="Arial" w:hAnsi="Arial"/>
          <w:sz w:val="12"/>
          <w:szCs w:val="12"/>
          <w:color w:val="auto"/>
        </w:rPr>
        <w:t>(1)</w:t>
      </w:r>
      <w:r>
        <w:rPr>
          <w:sz w:val="20"/>
          <w:szCs w:val="20"/>
          <w:color w:val="auto"/>
        </w:rPr>
        <w:tab/>
      </w:r>
      <w:r>
        <w:rPr>
          <w:rFonts w:ascii="Arial" w:cs="Arial" w:eastAsia="Arial" w:hAnsi="Arial"/>
          <w:sz w:val="14"/>
          <w:szCs w:val="14"/>
          <w:color w:val="auto"/>
        </w:rPr>
        <w:t>Excluding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16" w:lineRule="exact"/>
        <w:rPr>
          <w:sz w:val="20"/>
          <w:szCs w:val="20"/>
          <w:color w:val="auto"/>
        </w:rPr>
      </w:pPr>
    </w:p>
    <w:p>
      <w:pPr>
        <w:ind w:right="220" w:firstLine="456"/>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2018, our SBIC Funds were in compliance with their regulatory requirements.</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2019 Notes</w:t>
      </w:r>
    </w:p>
    <w:p>
      <w:pPr>
        <w:spacing w:after="0" w:line="136" w:lineRule="exact"/>
        <w:rPr>
          <w:sz w:val="20"/>
          <w:szCs w:val="20"/>
          <w:color w:val="auto"/>
        </w:rPr>
      </w:pPr>
    </w:p>
    <w:p>
      <w:pPr>
        <w:ind w:right="100" w:firstLine="456"/>
        <w:spacing w:after="0" w:line="233" w:lineRule="auto"/>
        <w:rPr>
          <w:sz w:val="20"/>
          <w:szCs w:val="20"/>
          <w:color w:val="auto"/>
        </w:rPr>
      </w:pPr>
      <w:r>
        <w:rPr>
          <w:rFonts w:ascii="Arial" w:cs="Arial" w:eastAsia="Arial" w:hAnsi="Arial"/>
          <w:sz w:val="14"/>
          <w:szCs w:val="14"/>
          <w:color w:val="auto"/>
        </w:rPr>
        <w:t>As of June 30, 2018 and September 30, 2017, we had $250.0 million in aggregate principal amount of 2019 Notes outstanding.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w:t>
      </w:r>
    </w:p>
    <w:p>
      <w:pPr>
        <w:spacing w:after="0" w:line="11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11. COMMITMENTS AND CONTINGENCIES</w:t>
      </w:r>
    </w:p>
    <w:p>
      <w:pPr>
        <w:spacing w:after="0" w:line="140" w:lineRule="exact"/>
        <w:rPr>
          <w:sz w:val="20"/>
          <w:szCs w:val="20"/>
          <w:color w:val="auto"/>
        </w:rPr>
      </w:pPr>
    </w:p>
    <w:p>
      <w:pPr>
        <w:ind w:firstLine="456"/>
        <w:spacing w:after="0" w:line="231" w:lineRule="auto"/>
        <w:rPr>
          <w:sz w:val="20"/>
          <w:szCs w:val="20"/>
          <w:color w:val="auto"/>
        </w:rPr>
      </w:pPr>
      <w:r>
        <w:rPr>
          <w:rFonts w:ascii="Arial" w:cs="Arial" w:eastAsia="Arial" w:hAnsi="Arial"/>
          <w:sz w:val="14"/>
          <w:szCs w:val="14"/>
          <w:color w:val="auto"/>
        </w:rPr>
        <w:t>From time to time, we, the Investment Adviser or the Administrator may be a party to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 Unfunded debt and equity investments, if any, are disclosed in the Consolidated Schedules of Investments. Under these arrangements, we may be required to supply a letter of credit to a third party if the portfolio company were to request a letter of credit. As of June 30, 2018 and September 30, 2017, we had $64.5 million and $21.6 million, respectively, in commitments to fund investments. For the same periods, there were no letters of credit issued.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12. STOCK REPURCHASE PROGRAM</w:t>
      </w:r>
    </w:p>
    <w:p>
      <w:pPr>
        <w:spacing w:after="0" w:line="140" w:lineRule="exact"/>
        <w:rPr>
          <w:sz w:val="20"/>
          <w:szCs w:val="20"/>
          <w:color w:val="auto"/>
        </w:rPr>
      </w:pPr>
    </w:p>
    <w:p>
      <w:pPr>
        <w:ind w:right="180" w:firstLine="376"/>
        <w:spacing w:after="0" w:line="277" w:lineRule="auto"/>
        <w:rPr>
          <w:sz w:val="20"/>
          <w:szCs w:val="20"/>
          <w:color w:val="auto"/>
        </w:rPr>
      </w:pPr>
      <w:r>
        <w:rPr>
          <w:rFonts w:ascii="Arial" w:cs="Arial" w:eastAsia="Arial" w:hAnsi="Arial"/>
          <w:sz w:val="12"/>
          <w:szCs w:val="12"/>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During both the three and nine months ended June 30, 2018, we repurchased 1.1 million shares of common stock in open market transactions for an aggregate cost (including transaction costs) of $7.8 million. During both the three and nine months ended June 30, 2017, we did not make any repurchases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289" w:lineRule="exact"/>
        <w:rPr>
          <w:sz w:val="20"/>
          <w:szCs w:val="20"/>
          <w:color w:val="auto"/>
        </w:rPr>
      </w:pPr>
    </w:p>
    <w:p>
      <w:pPr>
        <w:ind w:right="5240"/>
        <w:spacing w:after="0" w:line="442" w:lineRule="auto"/>
        <w:rPr>
          <w:sz w:val="20"/>
          <w:szCs w:val="20"/>
          <w:color w:val="auto"/>
        </w:rPr>
      </w:pPr>
      <w:r>
        <w:rPr>
          <w:rFonts w:ascii="Arial" w:cs="Arial" w:eastAsia="Arial" w:hAnsi="Arial"/>
          <w:sz w:val="14"/>
          <w:szCs w:val="14"/>
          <w:color w:val="auto"/>
        </w:rPr>
        <w:t xml:space="preserve">To the Board of Directors and Stockholders of PennantPark Investment Corporation and its Subsidiaries </w:t>
      </w:r>
      <w:r>
        <w:rPr>
          <w:rFonts w:ascii="Arial" w:cs="Arial" w:eastAsia="Arial" w:hAnsi="Arial"/>
          <w:sz w:val="14"/>
          <w:szCs w:val="14"/>
          <w:b w:val="1"/>
          <w:bCs w:val="1"/>
          <w:color w:val="auto"/>
        </w:rPr>
        <w:t>Results of Review of Interim Financial Statements</w:t>
      </w:r>
    </w:p>
    <w:p>
      <w:pPr>
        <w:spacing w:after="0" w:line="1" w:lineRule="exact"/>
        <w:rPr>
          <w:sz w:val="20"/>
          <w:szCs w:val="20"/>
          <w:color w:val="auto"/>
        </w:rPr>
      </w:pPr>
    </w:p>
    <w:p>
      <w:pPr>
        <w:ind w:right="220"/>
        <w:spacing w:after="0" w:line="251" w:lineRule="auto"/>
        <w:rPr>
          <w:sz w:val="20"/>
          <w:szCs w:val="20"/>
          <w:color w:val="auto"/>
        </w:rPr>
      </w:pPr>
      <w:r>
        <w:rPr>
          <w:rFonts w:ascii="Arial" w:cs="Arial" w:eastAsia="Arial" w:hAnsi="Arial"/>
          <w:sz w:val="13"/>
          <w:szCs w:val="13"/>
          <w:color w:val="auto"/>
        </w:rPr>
        <w:t>We have reviewed the accompanying consolidated statement of assets and liabilities of PennantPark Investment Corporation and its Subsidiaries (collectively referred to as the “Company”), including the consolidated schedule of investments, as of June 30, 2018, the related consolidated statements of operations for the three-month and nine-month periods ended June 30, 2018 and 2017, the related consolidated statements of changes in net assets and cash flows for the nine-month periods ended June 30, 2018 and 2017 and the related notes to the consolidated financial statements (collectively, the interim financial statements). Based on our reviews, we are not aware of any material modifications that should be made to the condensed financial statements referred to above for them to be in conformity with accounting principles generally accepted in the United States of America.</w:t>
      </w:r>
    </w:p>
    <w:p>
      <w:pPr>
        <w:spacing w:after="0" w:line="109"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We have previously audited, in accordance with the standards of the Public Company Accounting Oversight Board (United States) (PCAOB), the consolidated statement of assets and liabilities of the Company, including the consolidated schedule of investments, as of September 30, 2017, and the related consolidated statement of operations, changes in net assets, and cash flows for the year then ended (not presented herein); and in our report dated November 29, 2017, we expressed an unqualified opinion on those financial statements. In our opinion, the information set forth in the accompanying consolidated statements of assets and liabilities as of September 30, 2017, is fairly stated, in all material respects, in relation to the balance sheet from which it has been derived.</w:t>
      </w:r>
    </w:p>
    <w:p>
      <w:pPr>
        <w:spacing w:after="0" w:line="1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Review Results</w:t>
      </w:r>
    </w:p>
    <w:p>
      <w:pPr>
        <w:spacing w:after="0" w:line="140" w:lineRule="exact"/>
        <w:rPr>
          <w:sz w:val="20"/>
          <w:szCs w:val="20"/>
          <w:color w:val="auto"/>
        </w:rPr>
      </w:pPr>
    </w:p>
    <w:p>
      <w:pPr>
        <w:ind w:right="40"/>
        <w:spacing w:after="0" w:line="231" w:lineRule="auto"/>
        <w:rPr>
          <w:sz w:val="20"/>
          <w:szCs w:val="20"/>
          <w:color w:val="auto"/>
        </w:rPr>
      </w:pPr>
      <w:r>
        <w:rPr>
          <w:rFonts w:ascii="Arial" w:cs="Arial" w:eastAsia="Arial" w:hAnsi="Arial"/>
          <w:sz w:val="14"/>
          <w:szCs w:val="14"/>
          <w:color w:val="auto"/>
        </w:rPr>
        <w:t>These interim financial statements are the responsibility of the Company’s management. We conducted our reviews in accordance with the standards of the PCAOB. A review of interim financial information consists principally of applying analytical procedures and making inquiries of persons responsible for financial and accounting matters. It is substantially less in scope than an audit conducted in accordance with the standards of the PCAOB, the objective of which is the expression of an opinion regarding the financial statements taken as a whole. Accordingly, we do not express such an opinion.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16" w:lineRule="exact"/>
        <w:rPr>
          <w:sz w:val="20"/>
          <w:szCs w:val="20"/>
          <w:color w:val="auto"/>
        </w:rPr>
      </w:pPr>
    </w:p>
    <w:p>
      <w:pPr>
        <w:spacing w:after="0"/>
        <w:rPr>
          <w:sz w:val="20"/>
          <w:szCs w:val="20"/>
          <w:color w:val="auto"/>
        </w:rPr>
      </w:pPr>
      <w:r>
        <w:rPr>
          <w:rFonts w:ascii="Arial" w:cs="Arial" w:eastAsia="Arial" w:hAnsi="Arial"/>
          <w:sz w:val="14"/>
          <w:szCs w:val="14"/>
          <w:color w:val="auto"/>
        </w:rPr>
        <w:t>/s/ RSM US LLP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New York, New York</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August 8, 2018</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4" w:name="page25"/>
    <w:bookmarkEnd w:id="24"/>
    <w:p>
      <w:pPr>
        <w:spacing w:after="0"/>
        <w:tabs>
          <w:tab w:leader="none" w:pos="138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MANAGEMENT’S DISCUSSION AND ANALYSIS OF FINANCIAL CONDITION AND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FORWARD-LOOKING STATEMENTS</w:t>
      </w:r>
    </w:p>
    <w:p>
      <w:pPr>
        <w:spacing w:after="0" w:line="140" w:lineRule="exact"/>
        <w:rPr>
          <w:sz w:val="20"/>
          <w:szCs w:val="20"/>
          <w:color w:val="auto"/>
        </w:rPr>
      </w:pPr>
    </w:p>
    <w:p>
      <w:pPr>
        <w:ind w:right="80" w:firstLine="434"/>
        <w:spacing w:after="0" w:line="233" w:lineRule="auto"/>
        <w:rPr>
          <w:sz w:val="20"/>
          <w:szCs w:val="20"/>
          <w:color w:val="auto"/>
        </w:rPr>
      </w:pPr>
      <w:r>
        <w:rPr>
          <w:rFonts w:ascii="Arial" w:cs="Arial" w:eastAsia="Arial" w:hAnsi="Arial"/>
          <w:sz w:val="14"/>
          <w:szCs w:val="14"/>
          <w:color w:val="auto"/>
        </w:rPr>
        <w:t>This Report, including Management’s Discussion and Analysis of Financial Condition and Results of Operations, contains statements that constitute forward-looking statements, which relate to us and our consolidated subsidiaries regarding future events or our future performance or future financial condition. These forward-looking statements are not historical facts, but rather are based on current expectations, estimates and projections about our Company, our industry, our beliefs and our assumptions. The forward-looking statements contained in this Report involve risks and uncertainties, including statements as to:</w:t>
      </w:r>
    </w:p>
    <w:p>
      <w:pPr>
        <w:spacing w:after="0" w:line="117" w:lineRule="exact"/>
        <w:rPr>
          <w:sz w:val="20"/>
          <w:szCs w:val="20"/>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future operating results;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business prospects and the prospects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dependence of our future success on the general economy and its impact on the industries in which we invest;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a protracted decline in the liquidity of credit markets on our business;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investments that we expect to make;</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fluctuations in interest rates and foreign exchange rates on our business and our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contractual arrangements and relationships with third parties;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valuation of our investments in portfolio companies, particularly those having no liquid trading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of our prospective portfolio companies to achieve their objectives;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our expected financings and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adequacy of our cash resources and working capital;</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timing of cash flows, if any, from the operations of our prospective portfolio companies;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price and volume fluctuations in the stock market;</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ability of our Investment Adviser to locate suitable investments for us and to monitor and administer our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future legislation and regulation on our business and our portfolio companies; and</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8"/>
        </w:numPr>
        <w:rPr>
          <w:rFonts w:ascii="Arial" w:cs="Arial" w:eastAsia="Arial" w:hAnsi="Arial"/>
          <w:sz w:val="14"/>
          <w:szCs w:val="14"/>
          <w:color w:val="auto"/>
        </w:rPr>
      </w:pPr>
      <w:r>
        <w:rPr>
          <w:rFonts w:ascii="Arial" w:cs="Arial" w:eastAsia="Arial" w:hAnsi="Arial"/>
          <w:sz w:val="14"/>
          <w:szCs w:val="14"/>
          <w:color w:val="auto"/>
        </w:rPr>
        <w:t>the impact of European sovereign debt, Brexit and other world economic and political issues.</w:t>
      </w:r>
    </w:p>
    <w:p>
      <w:pPr>
        <w:spacing w:after="0" w:line="136" w:lineRule="exact"/>
        <w:rPr>
          <w:sz w:val="20"/>
          <w:szCs w:val="20"/>
          <w:color w:val="auto"/>
        </w:rPr>
      </w:pPr>
    </w:p>
    <w:p>
      <w:pPr>
        <w:ind w:firstLine="434"/>
        <w:spacing w:after="0" w:line="253" w:lineRule="auto"/>
        <w:rPr>
          <w:sz w:val="20"/>
          <w:szCs w:val="20"/>
          <w:color w:val="auto"/>
        </w:rPr>
      </w:pPr>
      <w:r>
        <w:rPr>
          <w:rFonts w:ascii="Arial" w:cs="Arial" w:eastAsia="Arial" w:hAnsi="Arial"/>
          <w:sz w:val="14"/>
          <w:szCs w:val="14"/>
          <w:color w:val="auto"/>
        </w:rPr>
        <w:t>We use words such as “anticipates,” “believes,” “expects,” “intends,” “seeks,” “plans,” “estimates” and similar expressions to identify forward-looking statements. You should not place undue influence on the forward-looking statements as our actual results could differ materially from those projected in the forward-looking statements for any reason.</w:t>
      </w:r>
    </w:p>
    <w:p>
      <w:pPr>
        <w:spacing w:after="0" w:line="106" w:lineRule="exact"/>
        <w:rPr>
          <w:sz w:val="20"/>
          <w:szCs w:val="20"/>
          <w:color w:val="auto"/>
        </w:rPr>
      </w:pPr>
    </w:p>
    <w:p>
      <w:pPr>
        <w:jc w:val="both"/>
        <w:ind w:right="280" w:firstLine="434"/>
        <w:spacing w:after="0" w:line="233" w:lineRule="auto"/>
        <w:rPr>
          <w:sz w:val="20"/>
          <w:szCs w:val="20"/>
          <w:color w:val="auto"/>
        </w:rPr>
      </w:pPr>
      <w:r>
        <w:rPr>
          <w:rFonts w:ascii="Arial" w:cs="Arial" w:eastAsia="Arial" w:hAnsi="Arial"/>
          <w:sz w:val="14"/>
          <w:szCs w:val="14"/>
          <w:color w:val="auto"/>
        </w:rPr>
        <w:t>Although we believe that the assumptions on which these forward-looking statements are based are reasonable, any of those assumptions could prove to be inaccurate, and, as a result, the forward-looking statements based on those assumptions also could be inaccurate. Important assumptions include our ability to originate new loans and investments, certain margins and levels of profitability and the availability of additional capital. In light of these and other uncertainties, the inclusion of a projection or forward-looking statement in this Report should not be regarded as a representation by us that our plans and objectives will be achieved.</w:t>
      </w:r>
    </w:p>
    <w:p>
      <w:pPr>
        <w:spacing w:after="0" w:line="117"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Report, whether as a result of new information, future events or otherwise, you are advised to consult any additional disclosures that we may make directly to you or through reports that we in the future may file with the SEC, including reports on Form 10-Q/K and current reports on Form 8-K.</w:t>
      </w:r>
    </w:p>
    <w:p>
      <w:pPr>
        <w:spacing w:after="0" w:line="117" w:lineRule="exact"/>
        <w:rPr>
          <w:sz w:val="20"/>
          <w:szCs w:val="20"/>
          <w:color w:val="auto"/>
        </w:rPr>
      </w:pPr>
    </w:p>
    <w:p>
      <w:pPr>
        <w:ind w:right="160" w:firstLine="434"/>
        <w:spacing w:after="0" w:line="253" w:lineRule="auto"/>
        <w:rPr>
          <w:sz w:val="20"/>
          <w:szCs w:val="20"/>
          <w:color w:val="auto"/>
        </w:rPr>
      </w:pPr>
      <w:r>
        <w:rPr>
          <w:rFonts w:ascii="Arial" w:cs="Arial" w:eastAsia="Arial" w:hAnsi="Arial"/>
          <w:sz w:val="14"/>
          <w:szCs w:val="14"/>
          <w:color w:val="auto"/>
        </w:rPr>
        <w:t>You should understand that under Section 27A(b)(2)(B) of the Securities Act and Section 21E(b)(2)(B) of the Exchange Act, the “safe harbor” provisions of the Private Securities Litigation Reform Act of 1995 do not apply to forward-looking statements made in periodic reports we file under the Exchange Act.</w:t>
      </w:r>
    </w:p>
    <w:p>
      <w:pPr>
        <w:spacing w:after="0" w:line="106" w:lineRule="exact"/>
        <w:rPr>
          <w:sz w:val="20"/>
          <w:szCs w:val="20"/>
          <w:color w:val="auto"/>
        </w:rPr>
      </w:pPr>
    </w:p>
    <w:p>
      <w:pPr>
        <w:ind w:right="200" w:firstLine="434"/>
        <w:spacing w:after="0" w:line="253" w:lineRule="auto"/>
        <w:rPr>
          <w:sz w:val="20"/>
          <w:szCs w:val="20"/>
          <w:color w:val="auto"/>
        </w:rPr>
      </w:pPr>
      <w:r>
        <w:rPr>
          <w:rFonts w:ascii="Arial" w:cs="Arial" w:eastAsia="Arial" w:hAnsi="Arial"/>
          <w:sz w:val="14"/>
          <w:szCs w:val="14"/>
          <w:color w:val="auto"/>
        </w:rPr>
        <w:t>The following analysis of our financial condition and results of operations should be read in conjunction with our Consolidated Financial Statements and the related notes thereto contained elsewhere in this Report.</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Overview</w:t>
      </w:r>
    </w:p>
    <w:p>
      <w:pPr>
        <w:spacing w:after="0" w:line="136" w:lineRule="exact"/>
        <w:rPr>
          <w:sz w:val="20"/>
          <w:szCs w:val="20"/>
          <w:color w:val="auto"/>
        </w:rPr>
      </w:pPr>
    </w:p>
    <w:p>
      <w:pPr>
        <w:ind w:right="460" w:firstLine="434"/>
        <w:spacing w:after="0" w:line="290" w:lineRule="auto"/>
        <w:rPr>
          <w:sz w:val="20"/>
          <w:szCs w:val="20"/>
          <w:color w:val="auto"/>
        </w:rPr>
      </w:pPr>
      <w:r>
        <w:rPr>
          <w:rFonts w:ascii="Arial" w:cs="Arial" w:eastAsia="Arial" w:hAnsi="Arial"/>
          <w:sz w:val="13"/>
          <w:szCs w:val="13"/>
          <w:color w:val="auto"/>
        </w:rPr>
        <w:t>PennantPark Investment Corporation is a BDC whose objectives are to generate both current income and capital appreciation while seeking to preserve capital through debt and equity investments primarily made to U.S. middle-market companies in the form of first lien secured debt, second lien secured debt and subordinated debt and equity investments.</w:t>
      </w:r>
    </w:p>
    <w:p>
      <w:pPr>
        <w:spacing w:after="0" w:line="84" w:lineRule="exact"/>
        <w:rPr>
          <w:sz w:val="20"/>
          <w:szCs w:val="20"/>
          <w:color w:val="auto"/>
        </w:rPr>
      </w:pPr>
    </w:p>
    <w:p>
      <w:pPr>
        <w:ind w:right="40" w:firstLine="434"/>
        <w:spacing w:after="0" w:line="245" w:lineRule="auto"/>
        <w:rPr>
          <w:sz w:val="20"/>
          <w:szCs w:val="20"/>
          <w:color w:val="auto"/>
        </w:rPr>
      </w:pPr>
      <w:r>
        <w:rPr>
          <w:rFonts w:ascii="Arial" w:cs="Arial" w:eastAsia="Arial" w:hAnsi="Arial"/>
          <w:sz w:val="13"/>
          <w:szCs w:val="13"/>
          <w:color w:val="auto"/>
        </w:rPr>
        <w:t>We believe middle-market companies offer attractive risk-reward to investors due to the limited amount of capital available for such companies. We seek to create a diversified portfolio that includes first lien secured debt, second lien secured debt, subordinated debt and equity investments by investing approximately $10 million to $50 million of capital, on average, in the securities of middle-market companies. We expect this investment size to vary proportionately with the size of our capital base. We use the term “middle-market” to refer to companies with annual revenues between $50 million and $1 billion. The companies in which we invest are typically highly leveraged, and, in most cases, are not rated by national rating agencies. If such companies were rated, we believe that they would typically receive a rating below investment grade (between BB and CCC under the Standard &amp; Poor’s system) from the national rating agencies. Securities rated below investment grade are often referred to as “leveraged loans” or “high yield” securities or “junk bonds” and are often higher risk compared to debt instruments that are rated above investment grade and have speculative characteristics. Our debt investments may generally range in maturity from three to ten years and are made to U.S. and, to a limited extent, non-U.S. corporations, partnerships and other business entities which operate in various industries and geographical regions.</w:t>
      </w:r>
    </w:p>
    <w:p>
      <w:pPr>
        <w:spacing w:after="0" w:line="332"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3" w:right="459" w:bottom="1440" w:gutter="0" w:footer="0" w:header="0"/>
        </w:sectPr>
      </w:pPr>
    </w:p>
    <w:bookmarkStart w:id="25" w:name="page26"/>
    <w:bookmarkEnd w:id="25"/>
    <w:p>
      <w:pPr>
        <w:ind w:right="20" w:firstLine="496"/>
        <w:spacing w:after="0" w:line="238" w:lineRule="auto"/>
        <w:rPr>
          <w:sz w:val="20"/>
          <w:szCs w:val="20"/>
          <w:color w:val="auto"/>
        </w:rPr>
      </w:pPr>
      <w:r>
        <w:rPr>
          <w:rFonts w:ascii="Arial" w:cs="Arial" w:eastAsia="Arial" w:hAnsi="Arial"/>
          <w:sz w:val="14"/>
          <w:szCs w:val="14"/>
          <w:color w:val="auto"/>
        </w:rPr>
        <w:t>Our investment activity depends on many factors, including the amount of debt and equity capital available to middle-market companies, the level of merger and acquisition activity for such companies, the general economic environment and the competitive environment for the types of investments we make. We have used, and expect to continue to use, our debt capital, proceeds from the rotation of our portfolio and proceeds from public and private offerings of securities to finance our investment objectives.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Organization and Structure of PennantPark Investment Corporation</w:t>
      </w:r>
    </w:p>
    <w:p>
      <w:pPr>
        <w:spacing w:after="0" w:line="136" w:lineRule="exact"/>
        <w:rPr>
          <w:sz w:val="20"/>
          <w:szCs w:val="20"/>
          <w:color w:val="auto"/>
        </w:rPr>
      </w:pPr>
    </w:p>
    <w:p>
      <w:pPr>
        <w:ind w:right="360" w:firstLine="434"/>
        <w:spacing w:after="0" w:line="290" w:lineRule="auto"/>
        <w:rPr>
          <w:sz w:val="20"/>
          <w:szCs w:val="20"/>
          <w:color w:val="auto"/>
        </w:rPr>
      </w:pPr>
      <w:r>
        <w:rPr>
          <w:rFonts w:ascii="Arial" w:cs="Arial" w:eastAsia="Arial" w:hAnsi="Arial"/>
          <w:sz w:val="13"/>
          <w:szCs w:val="13"/>
          <w:color w:val="auto"/>
        </w:rPr>
        <w:t>PennantPark Investment Corporation, a Maryland corporation organized in January 2007, is a closed-end, externally managed, non-diversified investment company that has elected to be treated as a BDC under the 1940 Act. In addition, for federal income tax purposes we have elected to be treated, and intend to qualify annually, as a RIC under the Code.</w:t>
      </w:r>
    </w:p>
    <w:p>
      <w:pPr>
        <w:spacing w:after="0" w:line="84"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Our wholly owned subsidiaries, SBIC I and SBIC II, were organized as Delaware limited partnerships in 2010 and 2012, respectively. SBIC I and SBIC II received licenses from the SBA to operate as SBICs under Section 301(c) of the 1958 Act. Our SBIC Funds’ objectives are to generate both current income and capital appreciation through debt and equity investments generally by investing with us in SBA eligible businesses that meet the investment selection criteria used by PennantPark Investment.</w:t>
      </w:r>
    </w:p>
    <w:p>
      <w:pPr>
        <w:spacing w:after="0" w:line="115" w:lineRule="exact"/>
        <w:rPr>
          <w:sz w:val="20"/>
          <w:szCs w:val="20"/>
          <w:color w:val="auto"/>
        </w:rPr>
      </w:pPr>
    </w:p>
    <w:p>
      <w:pPr>
        <w:ind w:right="80" w:firstLine="434"/>
        <w:spacing w:after="0" w:line="227" w:lineRule="auto"/>
        <w:rPr>
          <w:sz w:val="20"/>
          <w:szCs w:val="20"/>
          <w:color w:val="auto"/>
        </w:rPr>
      </w:pPr>
      <w:r>
        <w:rPr>
          <w:rFonts w:ascii="Arial" w:cs="Arial" w:eastAsia="Arial" w:hAnsi="Arial"/>
          <w:sz w:val="14"/>
          <w:szCs w:val="14"/>
          <w:color w:val="auto"/>
        </w:rPr>
        <w:t>Our investment activities are managed by the Investment Adviser. Under our Investment Management Agreement, we have agreed to pay our Investment Adviser an annual base management fee based on our average adjusted gross assets as well as an incentive fee based on our investment performance. PennantPark Investment, through the Investment Adviser, provides similar services to our SBIC Funds’ under their investment management agreements. Our SBIC Funds investment management agreements do not affect the management and incentive fees on a consolidated basis. We have also entered into an Administration Agreement with the Administrator. Under our Administration Agreement, we have agreed to reimburse the Administrator for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 PennantPark Investment, through the Administrator, provides similar services to our SBIC Funds under their administration agreements with us. Our board of directors, a majority of whom are independent of us, provides overall supervision of our activities, and the Investment Adviser supervises our day-to-day activities.</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Revenues</w:t>
      </w:r>
    </w:p>
    <w:p>
      <w:pPr>
        <w:spacing w:after="0" w:line="136" w:lineRule="exact"/>
        <w:rPr>
          <w:sz w:val="20"/>
          <w:szCs w:val="20"/>
          <w:color w:val="auto"/>
        </w:rPr>
      </w:pPr>
    </w:p>
    <w:p>
      <w:pPr>
        <w:ind w:right="40" w:firstLine="434"/>
        <w:spacing w:after="0" w:line="226" w:lineRule="auto"/>
        <w:rPr>
          <w:sz w:val="20"/>
          <w:szCs w:val="20"/>
          <w:color w:val="auto"/>
        </w:rPr>
      </w:pPr>
      <w:r>
        <w:rPr>
          <w:rFonts w:ascii="Arial" w:cs="Arial" w:eastAsia="Arial" w:hAnsi="Arial"/>
          <w:sz w:val="14"/>
          <w:szCs w:val="14"/>
          <w:color w:val="auto"/>
        </w:rPr>
        <w:t>We generate revenue in the form of interest income on the debt securities we hold and capital gains and dividends, if any, on investment securities that we may acquire in portfolio companies. Our debt investments, whether in the form of first lien secured debt, second lien secured debt or subordinated debt, typically have a term of three to ten years and bear interest at a fixed or a floating rate. Interest on debt securities is generally payable quarterly or semiannually. In some cases, our investments provide for deferred interest payments and PIK interest. The principal amount of the debt securities and any accrued but unpaid interest generally becomes due at the maturity date. In addition, we may generate revenue in the form of amendment, commitment, origination, structuring or diligence fees, fees for providing significant managerial assistance and possibly consulting fees. Loan origination fees, OID and market discount or premium and deferred financing cost on financing costs on liabilities, which we do not fair value, are capitalized and accreted or amortized using the effective interest method as interest income or, in the case of deferred financing costs, as interest expense.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jc w:val="both"/>
        <w:ind w:right="140" w:firstLine="434"/>
        <w:spacing w:after="0" w:line="233" w:lineRule="auto"/>
        <w:rPr>
          <w:sz w:val="20"/>
          <w:szCs w:val="20"/>
          <w:color w:val="auto"/>
        </w:rPr>
      </w:pPr>
      <w:r>
        <w:rPr>
          <w:rFonts w:ascii="Arial" w:cs="Arial" w:eastAsia="Arial" w:hAnsi="Arial"/>
          <w:sz w:val="14"/>
          <w:szCs w:val="14"/>
          <w:color w:val="auto"/>
        </w:rPr>
        <w:t>Our primary operating expenses include the payment of a management fee and the payment of an incentive fee to our Investment Adviser, if any, our allocable portion of overhead under our Administration Agreement and other operating costs as detailed below. Our management fee compensates our Investment Adviser for its work in identifying, evaluating, negotiating, consummating and monitoring our investments. Additionally, we pay interest expense on the outstanding debt and unused commitment fees on undrawn amounts, under our various debt facilities. We bear all other direct or indirect costs and expenses of our operations and transactions, including:</w:t>
      </w:r>
    </w:p>
    <w:p>
      <w:pPr>
        <w:spacing w:after="0" w:line="117" w:lineRule="exact"/>
        <w:rPr>
          <w:sz w:val="20"/>
          <w:szCs w:val="20"/>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cost of calculating our net asset value, including the cost of any third-party valuation services;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the cost of effecting sales and repurchases of shares of our common stock and other securities;</w:t>
      </w:r>
    </w:p>
    <w:p>
      <w:pPr>
        <w:spacing w:after="0" w:line="136" w:lineRule="exact"/>
        <w:rPr>
          <w:rFonts w:ascii="Arial" w:cs="Arial" w:eastAsia="Arial" w:hAnsi="Arial"/>
          <w:sz w:val="14"/>
          <w:szCs w:val="14"/>
          <w:color w:val="auto"/>
        </w:rPr>
      </w:pPr>
    </w:p>
    <w:p>
      <w:pPr>
        <w:ind w:left="920" w:right="20" w:hanging="372"/>
        <w:spacing w:after="0" w:line="253" w:lineRule="auto"/>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fees payable to third parties relating to, or associated with, making investments, including fees and expenses associated with performing due diligence and reviews of prospective investments or complementary businesses;</w:t>
      </w:r>
    </w:p>
    <w:p>
      <w:pPr>
        <w:spacing w:after="0" w:line="10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expenses incurred by the Investment Adviser in performing due diligence and reviews of investments;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transfer agent and custodial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fees and expenses associated with marketing efforts;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federal and state registration fees and any exchange listing fees;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federal, state, local and foreign taxes;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independent directors’ fees and expenses;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brokerage commissions;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fidelity bond, directors and officers, errors and omissions liability insurance and other insurance premiums;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direct costs such as printing, mailing, long distance telephone and staff;</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fees and expenses associated with independent audits and outside legal costs;</w:t>
      </w:r>
    </w:p>
    <w:p>
      <w:pPr>
        <w:spacing w:after="0" w:line="136" w:lineRule="exact"/>
        <w:rPr>
          <w:rFonts w:ascii="Arial" w:cs="Arial" w:eastAsia="Arial" w:hAnsi="Arial"/>
          <w:sz w:val="14"/>
          <w:szCs w:val="14"/>
          <w:color w:val="auto"/>
        </w:rPr>
      </w:pPr>
    </w:p>
    <w:p>
      <w:pPr>
        <w:ind w:left="920" w:hanging="372"/>
        <w:spacing w:after="0"/>
        <w:tabs>
          <w:tab w:leader="none" w:pos="9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costs associated with our reporting and compliance obligations under the 1940 Act, the 1958 Act and applicable federal and state securities laws; and</w:t>
      </w:r>
    </w:p>
    <w:p>
      <w:pPr>
        <w:spacing w:after="0" w:line="136" w:lineRule="exact"/>
        <w:rPr>
          <w:rFonts w:ascii="Arial" w:cs="Arial" w:eastAsia="Arial" w:hAnsi="Arial"/>
          <w:sz w:val="14"/>
          <w:szCs w:val="14"/>
          <w:color w:val="auto"/>
        </w:rPr>
      </w:pPr>
    </w:p>
    <w:p>
      <w:pPr>
        <w:jc w:val="both"/>
        <w:ind w:left="920" w:hanging="372"/>
        <w:spacing w:after="0" w:line="264" w:lineRule="auto"/>
        <w:tabs>
          <w:tab w:leader="none" w:pos="9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all other expenses incurred by either the Administrator or us in connection with administering our business, including payments under our Administration Agreement that will be based upon our allocable portion of overhead, and other expenses incurred by the Administrator in performing its obligations under our Administration Agreement, including rent and our allocable portion of the costs of compensation and related expenses of our Chief Compliance Officer, Chief Financial Officer and their respective staffs.</w:t>
      </w: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26" w:name="page27"/>
    <w:bookmarkEnd w:id="26"/>
    <w:p>
      <w:pPr>
        <w:ind w:right="220" w:firstLine="434"/>
        <w:spacing w:after="0" w:line="253" w:lineRule="auto"/>
        <w:rPr>
          <w:sz w:val="20"/>
          <w:szCs w:val="20"/>
          <w:color w:val="auto"/>
        </w:rPr>
      </w:pPr>
      <w:r>
        <w:rPr>
          <w:rFonts w:ascii="Arial" w:cs="Arial" w:eastAsia="Arial" w:hAnsi="Arial"/>
          <w:sz w:val="14"/>
          <w:szCs w:val="14"/>
          <w:color w:val="auto"/>
        </w:rPr>
        <w:t>Generally, during periods of asset growth, we expect our general and administrative expenses to be relatively stable or to decline as a percentage of total assets and increase during periods of asset declines. Incentive fees, interest expense and costs relating to future offerings of securities would be additive to the expenses described above.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PORTFOLIO AND INVESTMENT ACTIVITY</w:t>
      </w:r>
    </w:p>
    <w:p>
      <w:pPr>
        <w:spacing w:after="0" w:line="140" w:lineRule="exact"/>
        <w:rPr>
          <w:sz w:val="20"/>
          <w:szCs w:val="20"/>
          <w:color w:val="auto"/>
        </w:rPr>
      </w:pPr>
    </w:p>
    <w:p>
      <w:pPr>
        <w:ind w:right="100" w:firstLine="434"/>
        <w:spacing w:after="0" w:line="231" w:lineRule="auto"/>
        <w:rPr>
          <w:sz w:val="20"/>
          <w:szCs w:val="20"/>
          <w:color w:val="auto"/>
        </w:rPr>
      </w:pPr>
      <w:r>
        <w:rPr>
          <w:rFonts w:ascii="Arial" w:cs="Arial" w:eastAsia="Arial" w:hAnsi="Arial"/>
          <w:sz w:val="14"/>
          <w:szCs w:val="14"/>
          <w:color w:val="auto"/>
        </w:rPr>
        <w:t>As of June 30, 2018, our portfolio totaled $1,024.7 million and consisted of $442.5 million of first lien secured debt, $391.5 million of second lien secured debt, $33.8 million of subordinated debt and $156.9 million of preferred and common equity. Our debt portfolio consisted of 91% variable-rate investments and 9% fixed-rate investments. As of June 30, 2018, we had no portfolio companies on non-accrual. Overall, the portfolio had net unrealized depreciation of $106.6 million as of June 30, 2018. Our overall portfolio consisted of 51 companies with an average investment size of $20.1 million, had a weighted average yield on interest bearing debt investments of 11.4% and was invested 43% in first lien secured debt, 38% in second lien secured debt, 3% in subordinated debt and 16% in preferred and common equity.</w:t>
      </w:r>
    </w:p>
    <w:p>
      <w:pPr>
        <w:spacing w:after="0" w:line="116" w:lineRule="exact"/>
        <w:rPr>
          <w:sz w:val="20"/>
          <w:szCs w:val="20"/>
          <w:color w:val="auto"/>
        </w:rPr>
      </w:pPr>
    </w:p>
    <w:p>
      <w:pPr>
        <w:ind w:firstLine="438"/>
        <w:spacing w:after="0" w:line="251" w:lineRule="auto"/>
        <w:rPr>
          <w:sz w:val="20"/>
          <w:szCs w:val="20"/>
          <w:color w:val="auto"/>
        </w:rPr>
      </w:pPr>
      <w:r>
        <w:rPr>
          <w:rFonts w:ascii="Arial" w:cs="Arial" w:eastAsia="Arial" w:hAnsi="Arial"/>
          <w:sz w:val="13"/>
          <w:szCs w:val="13"/>
          <w:color w:val="auto"/>
        </w:rPr>
        <w:t>As of September 30, 2017, our portfolio totaled $1,153.6 million and consisted of $466.1 million of first lien secured debt, $399.5 million of second lien secured debt, $120.7 million of subordinated debt and $167.3 million of preferred and common equity. Our debt portfolio consisted of 82% variable-rate investments (including 13% where LIBOR was below the floor) and 18% fixed-rate investments. As of September 30, 2017, we had no portfolio companies on non-accrual. Overall, the portfolio had net unrealized depreciation of $56.4 million as of September 30, 2017. Our overall portfolio consisted of 55 companies with an average investment size of $21.0 million, had a weighted average yield on interest bearing debt investments of 11.5% and was invested 40% in first lien secured debt, 35% in second lien secured debt, 10% in subordinated debt and 15% in preferred and common equity.</w:t>
      </w:r>
    </w:p>
    <w:p>
      <w:pPr>
        <w:spacing w:after="0" w:line="109" w:lineRule="exact"/>
        <w:rPr>
          <w:sz w:val="20"/>
          <w:szCs w:val="20"/>
          <w:color w:val="auto"/>
        </w:rPr>
      </w:pPr>
    </w:p>
    <w:p>
      <w:pPr>
        <w:jc w:val="both"/>
        <w:ind w:right="140" w:firstLine="434"/>
        <w:spacing w:after="0" w:line="264" w:lineRule="auto"/>
        <w:rPr>
          <w:sz w:val="20"/>
          <w:szCs w:val="20"/>
          <w:color w:val="auto"/>
        </w:rPr>
      </w:pPr>
      <w:r>
        <w:rPr>
          <w:rFonts w:ascii="Arial" w:cs="Arial" w:eastAsia="Arial" w:hAnsi="Arial"/>
          <w:sz w:val="13"/>
          <w:szCs w:val="13"/>
          <w:color w:val="auto"/>
        </w:rPr>
        <w:t>For the three months ended June 30, 2018, we invested $187.9 million in five new and 12 existing portfolio companies with a weighted average yield on debt investments of 10.5%. Sales and repayments of investments for the three months ended June 30, 2018 totaled $117.7 million. For the nine months ended June 30, 2018, we invested $423.3 million in 13 new and 25 existing portfolio companies with a weighted average yield on debt investments of 10.2%. Sales and repayments of investments for the nine months ended June 30, 2018 totaled $556.4 million.</w:t>
      </w:r>
    </w:p>
    <w:p>
      <w:pPr>
        <w:spacing w:after="0" w:line="101" w:lineRule="exact"/>
        <w:rPr>
          <w:sz w:val="20"/>
          <w:szCs w:val="20"/>
          <w:color w:val="auto"/>
        </w:rPr>
      </w:pPr>
    </w:p>
    <w:p>
      <w:pPr>
        <w:jc w:val="both"/>
        <w:ind w:right="140" w:firstLine="434"/>
        <w:spacing w:after="0" w:line="264" w:lineRule="auto"/>
        <w:rPr>
          <w:sz w:val="20"/>
          <w:szCs w:val="20"/>
          <w:color w:val="auto"/>
        </w:rPr>
      </w:pPr>
      <w:r>
        <w:rPr>
          <w:rFonts w:ascii="Arial" w:cs="Arial" w:eastAsia="Arial" w:hAnsi="Arial"/>
          <w:sz w:val="13"/>
          <w:szCs w:val="13"/>
          <w:color w:val="auto"/>
        </w:rPr>
        <w:t>For the three months ended June 30, 2017, we invested $89.1 million in two new and six existing portfolio companies with a weighted average yield on debt investments of 10.6%. Sales and repayments of investments for the three months ended June 30, 2017 totaled $199.1 million. For the nine months ended June 30, 2017, we invested $378.8 million in 14 new and 20 existing portfolio companies with a weighted average yield on debt investments of 10.8%. Sales and repayments of investments for the nine months ended June 30, 2017 totaled $465.4 million.</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ACCOUNTING POLICIES</w:t>
      </w:r>
    </w:p>
    <w:p>
      <w:pPr>
        <w:spacing w:after="0" w:line="140" w:lineRule="exact"/>
        <w:rPr>
          <w:sz w:val="20"/>
          <w:szCs w:val="20"/>
          <w:color w:val="auto"/>
        </w:rPr>
      </w:pPr>
    </w:p>
    <w:p>
      <w:pPr>
        <w:ind w:right="100" w:firstLine="434"/>
        <w:spacing w:after="0" w:line="247" w:lineRule="auto"/>
        <w:rPr>
          <w:sz w:val="20"/>
          <w:szCs w:val="20"/>
          <w:color w:val="auto"/>
        </w:rPr>
      </w:pPr>
      <w:r>
        <w:rPr>
          <w:rFonts w:ascii="Arial" w:cs="Arial" w:eastAsia="Arial" w:hAnsi="Arial"/>
          <w:sz w:val="13"/>
          <w:szCs w:val="13"/>
          <w:color w:val="auto"/>
        </w:rPr>
        <w:t>The preparation of our Consolidated Financial Statements in conformity with GAAP requires management to make estimates and assumptions that affect the reported amount of our assets and liabilities at the date of the Consolidated Financial Statements and the reported amounts of income and expenses during the reported periods. In the opinion of management, all adjustments, which are of a normal recurring nature, considered necessary for the fair presentation of financial statements have been included. Actual results could differ from these estimates due to changes in the economic and regulatory environment, financial markets and any other parameters used in determining such estimates and assumptions. We may reclassify certain prior period amounts to conform to the current period presentation. We have eliminated all intercompany balances and transactions. References to ASC serve as a single source of accounting literature. Subsequent events are evaluated and disclosed as appropriate for events occurring through the date the Consolidated Financial Statements are issued. In addition to the discussion below, we describe our critical accounting policies in the notes to our Consolidated Financial Statements.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Valuations</w:t>
      </w:r>
    </w:p>
    <w:p>
      <w:pPr>
        <w:spacing w:after="0" w:line="136" w:lineRule="exact"/>
        <w:rPr>
          <w:sz w:val="20"/>
          <w:szCs w:val="20"/>
          <w:color w:val="auto"/>
        </w:rPr>
      </w:pPr>
    </w:p>
    <w:p>
      <w:pPr>
        <w:ind w:right="100" w:firstLine="434"/>
        <w:spacing w:after="0" w:line="247" w:lineRule="auto"/>
        <w:rPr>
          <w:sz w:val="20"/>
          <w:szCs w:val="20"/>
          <w:color w:val="auto"/>
        </w:rPr>
      </w:pPr>
      <w:r>
        <w:rPr>
          <w:rFonts w:ascii="Arial" w:cs="Arial" w:eastAsia="Arial" w:hAnsi="Arial"/>
          <w:sz w:val="13"/>
          <w:szCs w:val="13"/>
          <w:color w:val="auto"/>
        </w:rPr>
        <w:t>We expect that there may not be readily available market values for many of the investments which are or will be in our portfolio, and we value such investments at fair value as determined in good faith by or under the direction of our board of directors using a documented valuation policy and a consistently applied valuation process, as described in this Report. With respect to investments for which there is no readily available market value, the factors that the board of directors may take into account in pricing our investments at fair value include, as relevant, the nature and realizable value of any collateral, the portfolio company’s ability to make payments and its earnings and discounted cash flow, the markets in which the portfolio company does business, comparison to publicly traded securities and other relevant factors. When an external event such as a purchase transaction, public offering or subsequent equity sale occurs, we consider the pricing indicated by the external event to corroborate or revise our valuation. Due to the inherent uncertainty of determining the fair value of investments that do not have a readily available market value, the price used in an actual transaction may be different than our valuation and the difference may be material.</w:t>
      </w:r>
    </w:p>
    <w:p>
      <w:pPr>
        <w:spacing w:after="0" w:line="111" w:lineRule="exact"/>
        <w:rPr>
          <w:sz w:val="20"/>
          <w:szCs w:val="20"/>
          <w:color w:val="auto"/>
        </w:rPr>
      </w:pPr>
    </w:p>
    <w:p>
      <w:pPr>
        <w:ind w:right="320" w:firstLine="434"/>
        <w:spacing w:after="0" w:line="290" w:lineRule="auto"/>
        <w:rPr>
          <w:sz w:val="20"/>
          <w:szCs w:val="20"/>
          <w:color w:val="auto"/>
        </w:rPr>
      </w:pPr>
      <w:r>
        <w:rPr>
          <w:rFonts w:ascii="Arial" w:cs="Arial" w:eastAsia="Arial" w:hAnsi="Arial"/>
          <w:sz w:val="13"/>
          <w:szCs w:val="13"/>
          <w:color w:val="auto"/>
        </w:rPr>
        <w:t>Our portfolio generally consists of illiquid securities, including debt and equity investments. With respect to investments for which market quotations are not readily available, or for which market quotations are deemed not reflective of the fair value, our board of directors undertakes a multi-step valuation process each quarter, as described below:</w:t>
      </w:r>
    </w:p>
    <w:p>
      <w:pPr>
        <w:spacing w:after="0" w:line="84" w:lineRule="exact"/>
        <w:rPr>
          <w:sz w:val="20"/>
          <w:szCs w:val="20"/>
          <w:color w:val="auto"/>
        </w:rPr>
      </w:pPr>
    </w:p>
    <w:p>
      <w:pPr>
        <w:ind w:left="820" w:right="100" w:hanging="367"/>
        <w:spacing w:after="0" w:line="253" w:lineRule="auto"/>
        <w:tabs>
          <w:tab w:leader="none" w:pos="8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quarterly valuation process begins with each portfolio company or investment being initially valued by the investment professionals of our Investment Adviser responsible for the portfolio investment;</w:t>
      </w:r>
    </w:p>
    <w:p>
      <w:pPr>
        <w:spacing w:after="0" w:line="106" w:lineRule="exact"/>
        <w:rPr>
          <w:rFonts w:ascii="Arial" w:cs="Arial" w:eastAsia="Arial" w:hAnsi="Arial"/>
          <w:sz w:val="14"/>
          <w:szCs w:val="14"/>
          <w:color w:val="auto"/>
        </w:rPr>
      </w:pPr>
    </w:p>
    <w:p>
      <w:pPr>
        <w:ind w:left="820" w:hanging="367"/>
        <w:spacing w:after="0"/>
        <w:tabs>
          <w:tab w:leader="none" w:pos="8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Preliminary valuation conclusions are then documented and discussed with the management of our Investment Adviser;</w:t>
      </w:r>
    </w:p>
    <w:p>
      <w:pPr>
        <w:spacing w:after="0" w:line="136" w:lineRule="exact"/>
        <w:rPr>
          <w:rFonts w:ascii="Arial" w:cs="Arial" w:eastAsia="Arial" w:hAnsi="Arial"/>
          <w:sz w:val="14"/>
          <w:szCs w:val="14"/>
          <w:color w:val="auto"/>
        </w:rPr>
      </w:pPr>
    </w:p>
    <w:p>
      <w:pPr>
        <w:jc w:val="both"/>
        <w:ind w:left="820" w:right="160" w:hanging="367"/>
        <w:spacing w:after="0" w:line="264" w:lineRule="auto"/>
        <w:tabs>
          <w:tab w:leader="none" w:pos="8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Our board of directors also engages independent valuation firms to conduct independent appraisals of our investments for which market quotations are not readily available or are readily available but deemed not reflective of the fair value of the investment. The independent valuation firms review management’s preliminary valuations in light of their own independent assessment and also in light of any market quotations obtained from an independent pricing service, broker, dealer or market maker;</w:t>
      </w:r>
    </w:p>
    <w:p>
      <w:pPr>
        <w:spacing w:after="0" w:line="100" w:lineRule="exact"/>
        <w:rPr>
          <w:rFonts w:ascii="Arial" w:cs="Arial" w:eastAsia="Arial" w:hAnsi="Arial"/>
          <w:sz w:val="13"/>
          <w:szCs w:val="13"/>
          <w:color w:val="auto"/>
        </w:rPr>
      </w:pPr>
    </w:p>
    <w:p>
      <w:pPr>
        <w:ind w:left="820" w:right="400" w:hanging="367"/>
        <w:spacing w:after="0" w:line="238" w:lineRule="auto"/>
        <w:tabs>
          <w:tab w:leader="none" w:pos="8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audit committee of our board of directors reviews the preliminary valuations of our Investment Adviser and those of the independent valuation firms on a quarterly basis, periodically assesses the valuation methodologies of the independent valuation firms, and responds to and supplements the valuation recommendations of the independent valuation firms to reflect any comments; and</w:t>
      </w:r>
    </w:p>
    <w:p>
      <w:pPr>
        <w:spacing w:after="0" w:line="115" w:lineRule="exact"/>
        <w:rPr>
          <w:rFonts w:ascii="Arial" w:cs="Arial" w:eastAsia="Arial" w:hAnsi="Arial"/>
          <w:sz w:val="14"/>
          <w:szCs w:val="14"/>
          <w:color w:val="auto"/>
        </w:rPr>
      </w:pPr>
    </w:p>
    <w:p>
      <w:pPr>
        <w:ind w:left="820" w:right="160" w:hanging="367"/>
        <w:spacing w:after="0" w:line="253" w:lineRule="auto"/>
        <w:tabs>
          <w:tab w:leader="none" w:pos="820" w:val="left"/>
        </w:tabs>
        <w:numPr>
          <w:ilvl w:val="0"/>
          <w:numId w:val="20"/>
        </w:numPr>
        <w:rPr>
          <w:rFonts w:ascii="Arial" w:cs="Arial" w:eastAsia="Arial" w:hAnsi="Arial"/>
          <w:sz w:val="14"/>
          <w:szCs w:val="14"/>
          <w:color w:val="auto"/>
        </w:rPr>
      </w:pPr>
      <w:r>
        <w:rPr>
          <w:rFonts w:ascii="Arial" w:cs="Arial" w:eastAsia="Arial" w:hAnsi="Arial"/>
          <w:sz w:val="14"/>
          <w:szCs w:val="14"/>
          <w:color w:val="auto"/>
        </w:rPr>
        <w:t>Our board of directors discusses these valuations and determines the fair value of each investment in our portfolio in good faith, based on the input of our Investment Adviser, the respective independent valuation firms and the audit committee.</w:t>
      </w:r>
    </w:p>
    <w:p>
      <w:pPr>
        <w:spacing w:after="0" w:line="106" w:lineRule="exact"/>
        <w:rPr>
          <w:sz w:val="20"/>
          <w:szCs w:val="20"/>
          <w:color w:val="auto"/>
        </w:rPr>
      </w:pPr>
    </w:p>
    <w:p>
      <w:pPr>
        <w:ind w:right="380" w:firstLine="434"/>
        <w:spacing w:after="0" w:line="283" w:lineRule="auto"/>
        <w:rPr>
          <w:sz w:val="20"/>
          <w:szCs w:val="20"/>
          <w:color w:val="auto"/>
        </w:rPr>
      </w:pPr>
      <w:r>
        <w:rPr>
          <w:rFonts w:ascii="Arial" w:cs="Arial" w:eastAsia="Arial" w:hAnsi="Arial"/>
          <w:sz w:val="12"/>
          <w:szCs w:val="12"/>
          <w:color w:val="auto"/>
        </w:rPr>
        <w:t>Our board of directors generally uses market quotations to assess the value of our investments for which market quotations are readily available. We obtain these market values from independent pricing services or at the bid prices obtained from at least two brokers or dealers, if available, or otherwise from a principal market maker or a primary market dealer. The Investment Adviser assesses the source and reliability of bids from brokers or dealers. If the board of directors has a bona fide reason to believe any such market quote does not reflect the fair value of an investment, it may independently value such investments by using the valuation procedure that it uses with respect to assets for which market quotations are not readily available.</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7" w:name="page28"/>
    <w:bookmarkEnd w:id="27"/>
    <w:p>
      <w:pPr>
        <w:ind w:firstLine="434"/>
        <w:spacing w:after="0" w:line="251" w:lineRule="auto"/>
        <w:rPr>
          <w:sz w:val="20"/>
          <w:szCs w:val="20"/>
          <w:color w:val="auto"/>
        </w:rPr>
      </w:pPr>
      <w:r>
        <w:rPr>
          <w:rFonts w:ascii="Arial" w:cs="Arial" w:eastAsia="Arial" w:hAnsi="Arial"/>
          <w:sz w:val="13"/>
          <w:szCs w:val="13"/>
          <w:color w:val="auto"/>
        </w:rPr>
        <w:t>Fair value, as defined under ASC 820, is the price that we would receive upon selling an investment or pay to transfer a liability in an orderly transaction to a market participant in the principal or most advantageous market for the investment or liability. ASC 820 emphasizes that valuation techniques maximize the use of observable market inputs and minimize the use of unobservable inputs. Inputs refer broadly to the assumptions that market participants would use in pricing an asset or liability, including assumptions about risk. Inputs may be observable or unobservable. Observable inputs reflect the assumptions market participants would use in pricing an asset or liability based on market data obtained from sources independent of us. Unobservable inputs reflect the assumptions market participants would use in pricing an asset or liability based on the best information available to us on the reporting period date.</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ASC 820 classifies the inputs used to measure these fair values into the following hierarchies:</w:t>
      </w:r>
    </w:p>
    <w:p>
      <w:pPr>
        <w:spacing w:after="0" w:line="136"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Inputs that are quoted prices (unadjusted) in active markets for identical assets or liabilities, accessible by us at the measurement date.</w:t>
      </w:r>
    </w:p>
    <w:p>
      <w:pPr>
        <w:spacing w:after="0" w:line="136" w:lineRule="exact"/>
        <w:rPr>
          <w:sz w:val="20"/>
          <w:szCs w:val="20"/>
          <w:color w:val="auto"/>
        </w:rPr>
      </w:pPr>
    </w:p>
    <w:p>
      <w:pPr>
        <w:ind w:left="1460" w:right="100" w:hanging="809"/>
        <w:spacing w:after="0" w:line="290" w:lineRule="auto"/>
        <w:tabs>
          <w:tab w:leader="none" w:pos="1440" w:val="left"/>
        </w:tabs>
        <w:rPr>
          <w:sz w:val="20"/>
          <w:szCs w:val="20"/>
          <w:color w:val="auto"/>
        </w:rPr>
      </w:pPr>
      <w:r>
        <w:rPr>
          <w:rFonts w:ascii="Arial" w:cs="Arial" w:eastAsia="Arial" w:hAnsi="Arial"/>
          <w:sz w:val="14"/>
          <w:szCs w:val="14"/>
          <w:color w:val="auto"/>
        </w:rPr>
        <w:t>Level 2:</w:t>
      </w:r>
      <w:r>
        <w:rPr>
          <w:sz w:val="20"/>
          <w:szCs w:val="20"/>
          <w:color w:val="auto"/>
        </w:rPr>
        <w:tab/>
      </w:r>
      <w:r>
        <w:rPr>
          <w:rFonts w:ascii="Arial" w:cs="Arial" w:eastAsia="Arial" w:hAnsi="Arial"/>
          <w:sz w:val="13"/>
          <w:szCs w:val="13"/>
          <w:color w:val="auto"/>
        </w:rPr>
        <w:t>Inputs that are quoted prices for similar assets or liabilities in active markets, or that are quoted prices for identical or similar assets or liabilities in markets that are not active and inputs that are observable for the asset or liability, either directly or indirectly, for substantially the full term, if applicable, of the financial instrument.</w:t>
      </w:r>
    </w:p>
    <w:p>
      <w:pPr>
        <w:spacing w:after="0" w:line="84" w:lineRule="exact"/>
        <w:rPr>
          <w:sz w:val="20"/>
          <w:szCs w:val="20"/>
          <w:color w:val="auto"/>
        </w:rPr>
      </w:pPr>
    </w:p>
    <w:p>
      <w:pPr>
        <w:ind w:left="640"/>
        <w:spacing w:after="0"/>
        <w:tabs>
          <w:tab w:leader="none" w:pos="1440" w:val="left"/>
        </w:tabs>
        <w:rPr>
          <w:sz w:val="20"/>
          <w:szCs w:val="20"/>
          <w:color w:val="auto"/>
        </w:rPr>
      </w:pPr>
      <w:r>
        <w:rPr>
          <w:rFonts w:ascii="Arial" w:cs="Arial" w:eastAsia="Arial" w:hAnsi="Arial"/>
          <w:sz w:val="14"/>
          <w:szCs w:val="14"/>
          <w:color w:val="auto"/>
        </w:rPr>
        <w:t>Level 3:</w:t>
      </w:r>
      <w:r>
        <w:rPr>
          <w:sz w:val="20"/>
          <w:szCs w:val="20"/>
          <w:color w:val="auto"/>
        </w:rPr>
        <w:tab/>
      </w:r>
      <w:r>
        <w:rPr>
          <w:rFonts w:ascii="Arial" w:cs="Arial" w:eastAsia="Arial" w:hAnsi="Arial"/>
          <w:sz w:val="12"/>
          <w:szCs w:val="12"/>
          <w:color w:val="auto"/>
        </w:rPr>
        <w:t>Inputs that are unobservable for an asset or liability because they are based on our own assumptions about how market participants would price the asset or liability.</w:t>
      </w:r>
    </w:p>
    <w:p>
      <w:pPr>
        <w:spacing w:after="0" w:line="136"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A financial instrument’s categorization within the valuation hierarchy is based upon the lowest level of input that is significant to the fair value measurement. Generally, most of our investments and our Credit Facility are classified as Level 3. Our 2019 Notes are classified as Level 2. Due to the inherent uncertainty of determining the fair value of investments that do not have a readily available market value, the price used in an actual transaction may be different than our valuation and those differences may be material.</w:t>
      </w:r>
    </w:p>
    <w:p>
      <w:pPr>
        <w:spacing w:after="0" w:line="115" w:lineRule="exact"/>
        <w:rPr>
          <w:sz w:val="20"/>
          <w:szCs w:val="20"/>
          <w:color w:val="auto"/>
        </w:rPr>
      </w:pPr>
    </w:p>
    <w:p>
      <w:pPr>
        <w:ind w:right="200" w:firstLine="434"/>
        <w:spacing w:after="0" w:line="335" w:lineRule="auto"/>
        <w:rPr>
          <w:sz w:val="20"/>
          <w:szCs w:val="20"/>
          <w:color w:val="auto"/>
        </w:rPr>
      </w:pPr>
      <w:r>
        <w:rPr>
          <w:rFonts w:ascii="Arial" w:cs="Arial" w:eastAsia="Arial" w:hAnsi="Arial"/>
          <w:sz w:val="12"/>
          <w:szCs w:val="12"/>
          <w:color w:val="auto"/>
        </w:rPr>
        <w:t>In addition to using the above inputs in cash equivalents, investments, our 2019 Notes and our Credit Facility valuations, we employ the valuation policy approved by our board of directors that is consistent with ASC 820. Consistent with our valuation policy, we evaluate the source of inputs, including any markets in which our investments are trading, in determining fair value.</w:t>
      </w:r>
    </w:p>
    <w:p>
      <w:pPr>
        <w:spacing w:after="0" w:line="60" w:lineRule="exact"/>
        <w:rPr>
          <w:sz w:val="20"/>
          <w:szCs w:val="20"/>
          <w:color w:val="auto"/>
        </w:rPr>
      </w:pPr>
    </w:p>
    <w:p>
      <w:pPr>
        <w:ind w:right="60" w:firstLine="435"/>
        <w:spacing w:after="0" w:line="242" w:lineRule="auto"/>
        <w:rPr>
          <w:sz w:val="20"/>
          <w:szCs w:val="20"/>
          <w:color w:val="auto"/>
        </w:rPr>
      </w:pPr>
      <w:r>
        <w:rPr>
          <w:rFonts w:ascii="Arial" w:cs="Arial" w:eastAsia="Arial" w:hAnsi="Arial"/>
          <w:sz w:val="13"/>
          <w:szCs w:val="13"/>
          <w:color w:val="auto"/>
        </w:rPr>
        <w:t>The carrying value of our consolidated financial liabilities approximates fair value. We have adopted the principles under ASC 825-10, which provides companies with an option to report selected financial assets and liabilities at fair value, and made an irrevocable election to apply ASC 825-10 to our Credit Facility, the 2019 Notes and, prior to their redemption, the 2025 Notes. We elected to use the fair value option for the Credit Facility, the 2019 Notes and the 2025 Notes to align the measurement attributes of both our assets and liabilities while mitigating volatility in earnings from using different measurement attributes. During the three and nine months ended June 30, 2018, we did not incur any expenses relating to amendment costs on the Credit Facility. For both of the same periods in the prior year, we incurred $3.9 million in expenses relating to amendment costs on the Credit Facility. ASC 825-10 establishes presentation and disclosure requirements designed to facilitate comparisons between companies that choose different measurement attributes for similar types of assets and liabilities and to more easily understand the effect on earnings of a company’s choice to use fair value. ASC 825-10 also requires entities to display the fair value of the selected assets and liabilities on the face of the Consolidated Statements of Assets and Liabilities and changes in fair value of the Credit Facility, the 2019 Notes and, prior to their redemption, the 2025 Notes are reported in our Consolidated Statements of Operations. We elected not to apply ASC 825-10 to any other financial assets or liabilities, including the SBA debentures. For the three and nine months ended June 30, 2018, our Credit Facility and the 2019 Notes had a net change in unrealized depreciation of $1.6 million and $3.1 million, respectively. For the three and nine months ended June 30, 2017, our Credit Facility, the 2019 Notes and the 2025 Notes had a net change in unrealized appreciation of $2.1 million and $2.4 million, respectively. As of June 30, 2018 and September 30, 2017, net unrealized depreciation (appreciation) on our Credit Facility and the 2019 Notes totaled $0.8 million and $(2.3) million, respectively. We use a nationally recognized independent valuation service to measure the fair value of our Credit Facility and the 2019 Notes in a manner consistent with the valuation process that the board of directors uses to value our investments.</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36" w:lineRule="exact"/>
        <w:rPr>
          <w:sz w:val="20"/>
          <w:szCs w:val="20"/>
          <w:color w:val="auto"/>
        </w:rPr>
      </w:pPr>
    </w:p>
    <w:p>
      <w:pPr>
        <w:ind w:right="100" w:firstLine="438"/>
        <w:spacing w:after="0" w:line="247" w:lineRule="auto"/>
        <w:rPr>
          <w:sz w:val="20"/>
          <w:szCs w:val="20"/>
          <w:color w:val="auto"/>
        </w:rPr>
      </w:pPr>
      <w:r>
        <w:rPr>
          <w:rFonts w:ascii="Arial" w:cs="Arial" w:eastAsia="Arial" w:hAnsi="Arial"/>
          <w:sz w:val="13"/>
          <w:szCs w:val="13"/>
          <w:color w:val="auto"/>
        </w:rPr>
        <w:t>We record interest income on an accrual basis to the extent that we expect to collect such amounts. For loans and debt investments with contractual PIK interest, which represents interest accrued and added to the loan balance that generally becomes due at maturity, we will generally not accrue PIK interest when the portfolio company valuation indicates that such PIK interest is not collectable. We do not accrue as a receivable interest on loans and debt investments if we have reason to doubt our ability to collect such interest. Loan origination fees, OID, market discount or premium and deferred financing costs on liabilities, which we do not fair value, are capitalized and then accreted or amortized using the effective interest method as interest income or, in the case of deferred financing costs, as interest expense. We record prepayment penalties on loans and debt investments as income. Dividend income, if any, is recognized on an accrual basis on the ex-dividend date to the extent that we expect to collect such amounts. From time to time, the Company receives certain fees from portfolio companies, which are non-recurring in nature. Such fees include loan prepayment penalties, structuring fees and amendment fees, and are recorded as other investment income when earned.</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 and Net Change in Unrealized Appreciation or Depreciation</w:t>
      </w:r>
    </w:p>
    <w:p>
      <w:pPr>
        <w:spacing w:after="0" w:line="136" w:lineRule="exact"/>
        <w:rPr>
          <w:sz w:val="20"/>
          <w:szCs w:val="20"/>
          <w:color w:val="auto"/>
        </w:rPr>
      </w:pPr>
    </w:p>
    <w:p>
      <w:pPr>
        <w:ind w:right="40" w:firstLine="434"/>
        <w:spacing w:after="0" w:line="233" w:lineRule="auto"/>
        <w:rPr>
          <w:sz w:val="20"/>
          <w:szCs w:val="20"/>
          <w:color w:val="auto"/>
        </w:rPr>
      </w:pPr>
      <w:r>
        <w:rPr>
          <w:rFonts w:ascii="Arial" w:cs="Arial" w:eastAsia="Arial" w:hAnsi="Arial"/>
          <w:sz w:val="14"/>
          <w:szCs w:val="14"/>
          <w:color w:val="auto"/>
        </w:rPr>
        <w:t>We measure realized gains or losses by the difference between the net proceeds from the repayment or sale and the amortized cost basis of the investment, using the specific identification method, without regard to unrealized appreciation or depreciation previously recognized, but considering unamortized upfront fees and prepayment penalties. Net change in unrealized appreciation or depreciation reflects the change in the fair value of our portfolio investments, our Credit Facility, the 2019 Notes and, prior to their redemption, the 2025 Notes during the reporting period, including any reversal of previously recorded unrealized appreciation or depreciation, when gains or losses are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Translation</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4"/>
          <w:szCs w:val="14"/>
          <w:color w:val="auto"/>
        </w:rPr>
        <w:t>Our books and records are maintained in U.S. dollars. Any foreign currency amounts are translated into U.S. dollars on the following basis:</w:t>
      </w:r>
    </w:p>
    <w:p>
      <w:pPr>
        <w:spacing w:after="0" w:line="136" w:lineRule="exact"/>
        <w:rPr>
          <w:sz w:val="20"/>
          <w:szCs w:val="20"/>
          <w:color w:val="auto"/>
        </w:rPr>
      </w:pPr>
    </w:p>
    <w:p>
      <w:pPr>
        <w:ind w:left="1180" w:hanging="362"/>
        <w:spacing w:after="0"/>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Fair value of investment securities, other assets and liabilities – at the exchange rates prevailing at the end of the applicable period; and</w:t>
      </w:r>
    </w:p>
    <w:p>
      <w:pPr>
        <w:spacing w:after="0" w:line="136" w:lineRule="exact"/>
        <w:rPr>
          <w:rFonts w:ascii="Arial" w:cs="Arial" w:eastAsia="Arial" w:hAnsi="Arial"/>
          <w:sz w:val="14"/>
          <w:szCs w:val="14"/>
          <w:color w:val="auto"/>
        </w:rPr>
      </w:pPr>
    </w:p>
    <w:p>
      <w:pPr>
        <w:ind w:left="1180" w:hanging="362"/>
        <w:spacing w:after="0"/>
        <w:tabs>
          <w:tab w:leader="none" w:pos="1180" w:val="left"/>
        </w:tabs>
        <w:numPr>
          <w:ilvl w:val="0"/>
          <w:numId w:val="21"/>
        </w:numPr>
        <w:rPr>
          <w:rFonts w:ascii="Arial" w:cs="Arial" w:eastAsia="Arial" w:hAnsi="Arial"/>
          <w:sz w:val="14"/>
          <w:szCs w:val="14"/>
          <w:color w:val="auto"/>
        </w:rPr>
      </w:pPr>
      <w:r>
        <w:rPr>
          <w:rFonts w:ascii="Arial" w:cs="Arial" w:eastAsia="Arial" w:hAnsi="Arial"/>
          <w:sz w:val="14"/>
          <w:szCs w:val="14"/>
          <w:color w:val="auto"/>
        </w:rPr>
        <w:t>Purchases and sales of investment securities, income and expenses – at the exchange rates prevailing on the respective dates of such transactions.</w:t>
      </w:r>
    </w:p>
    <w:p>
      <w:pPr>
        <w:spacing w:after="0" w:line="136" w:lineRule="exact"/>
        <w:rPr>
          <w:sz w:val="20"/>
          <w:szCs w:val="20"/>
          <w:color w:val="auto"/>
        </w:rPr>
      </w:pPr>
    </w:p>
    <w:p>
      <w:pPr>
        <w:ind w:right="160" w:firstLine="452"/>
        <w:spacing w:after="0" w:line="238" w:lineRule="auto"/>
        <w:rPr>
          <w:sz w:val="20"/>
          <w:szCs w:val="20"/>
          <w:color w:val="auto"/>
        </w:rPr>
      </w:pPr>
      <w:r>
        <w:rPr>
          <w:rFonts w:ascii="Arial" w:cs="Arial" w:eastAsia="Arial" w:hAnsi="Arial"/>
          <w:sz w:val="14"/>
          <w:szCs w:val="14"/>
          <w:color w:val="auto"/>
        </w:rPr>
        <w:t>Although net assets and fair values are presented based on the applicable foreign exchange rates described above, we do not isolate that portion of the results of operations due to changes in foreign exchange rates on investments, other assets and debt from the fluctuations arising from changes in fair value of investments and liabilities held. Such fluctuations are included with the net realized and unrealized gain or loss from investments and liabilities.</w:t>
      </w:r>
    </w:p>
    <w:p>
      <w:pPr>
        <w:spacing w:after="0" w:line="200" w:lineRule="exact"/>
        <w:rPr>
          <w:sz w:val="20"/>
          <w:szCs w:val="20"/>
          <w:color w:val="auto"/>
        </w:rPr>
      </w:pPr>
    </w:p>
    <w:p>
      <w:pPr>
        <w:spacing w:after="0" w:line="280"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28" w:name="page29"/>
    <w:bookmarkEnd w:id="28"/>
    <w:p>
      <w:pPr>
        <w:spacing w:after="0"/>
        <w:rPr>
          <w:sz w:val="20"/>
          <w:szCs w:val="20"/>
          <w:color w:val="auto"/>
        </w:rPr>
      </w:pPr>
      <w:r>
        <w:rPr>
          <w:rFonts w:ascii="Arial" w:cs="Arial" w:eastAsia="Arial" w:hAnsi="Arial"/>
          <w:sz w:val="14"/>
          <w:szCs w:val="14"/>
          <w:b w:val="1"/>
          <w:bCs w:val="1"/>
          <w:i w:val="1"/>
          <w:iCs w:val="1"/>
          <w:color w:val="auto"/>
        </w:rPr>
        <w:t>Payment-in-Kind, or, PIK Interest</w:t>
      </w:r>
    </w:p>
    <w:p>
      <w:pPr>
        <w:spacing w:after="0" w:line="136" w:lineRule="exact"/>
        <w:rPr>
          <w:sz w:val="20"/>
          <w:szCs w:val="20"/>
          <w:color w:val="auto"/>
        </w:rPr>
      </w:pPr>
    </w:p>
    <w:p>
      <w:pPr>
        <w:ind w:right="100" w:firstLine="434"/>
        <w:spacing w:after="0" w:line="238" w:lineRule="auto"/>
        <w:rPr>
          <w:sz w:val="20"/>
          <w:szCs w:val="20"/>
          <w:color w:val="auto"/>
        </w:rPr>
      </w:pPr>
      <w:r>
        <w:rPr>
          <w:rFonts w:ascii="Arial" w:cs="Arial" w:eastAsia="Arial" w:hAnsi="Arial"/>
          <w:sz w:val="14"/>
          <w:szCs w:val="14"/>
          <w:color w:val="auto"/>
        </w:rPr>
        <w:t>We have investments in our portfolio which contain a PIK interest provision. PIK interest is added to the principal balance of the investment and is recorded as income. In order for us to maintain our ability to be subject to tax as a RIC, substantially all of this income must be paid out to stockholders in the form of dividends for U.S. federal income tax purposes, even though we may not have collected any cash with respect to interest on PIK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Federal Income Taxes</w:t>
      </w:r>
    </w:p>
    <w:p>
      <w:pPr>
        <w:spacing w:after="0" w:line="136" w:lineRule="exact"/>
        <w:rPr>
          <w:sz w:val="20"/>
          <w:szCs w:val="20"/>
          <w:color w:val="auto"/>
        </w:rPr>
      </w:pPr>
    </w:p>
    <w:p>
      <w:pPr>
        <w:ind w:right="80" w:firstLine="434"/>
        <w:spacing w:after="0" w:line="255" w:lineRule="auto"/>
        <w:rPr>
          <w:sz w:val="20"/>
          <w:szCs w:val="20"/>
          <w:color w:val="auto"/>
        </w:rPr>
      </w:pPr>
      <w:r>
        <w:rPr>
          <w:rFonts w:ascii="Arial" w:cs="Arial" w:eastAsia="Arial" w:hAnsi="Arial"/>
          <w:sz w:val="13"/>
          <w:szCs w:val="13"/>
          <w:color w:val="auto"/>
        </w:rPr>
        <w:t>We have elected to be treated, and intend to qualify annually to maintain our election to be treated, as a RIC under Subchapter M of the Code. To maintain our RIC tax election, we must, among other requirements, meet certain annual source-of-income and quarterly asset diversification requirements. We also must annually distribute dividends for U.S. federal income tax purposes to our stockholders out of the assets legally available for distribution of an amount generally at least equal to 90% of the sum of our net ordinary income and realized net short-term capital gains in excess of realized net long-term capital losses, or investment company taxable income, determined without regard to any deduction for dividends paid.</w:t>
      </w:r>
    </w:p>
    <w:p>
      <w:pPr>
        <w:spacing w:after="0" w:line="107" w:lineRule="exact"/>
        <w:rPr>
          <w:sz w:val="20"/>
          <w:szCs w:val="20"/>
          <w:color w:val="auto"/>
        </w:rPr>
      </w:pPr>
    </w:p>
    <w:p>
      <w:pPr>
        <w:ind w:right="20" w:firstLine="434"/>
        <w:spacing w:after="0" w:line="247" w:lineRule="auto"/>
        <w:rPr>
          <w:sz w:val="20"/>
          <w:szCs w:val="20"/>
          <w:color w:val="auto"/>
        </w:rPr>
      </w:pPr>
      <w:r>
        <w:rPr>
          <w:rFonts w:ascii="Arial" w:cs="Arial" w:eastAsia="Arial" w:hAnsi="Arial"/>
          <w:sz w:val="13"/>
          <w:szCs w:val="13"/>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the excess, if any, of our capital gains over our capital losses, or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maintaining our ability to be taxed as a RIC, in order to provide us with additional liquidity.</w:t>
      </w:r>
    </w:p>
    <w:p>
      <w:pPr>
        <w:spacing w:after="0" w:line="111" w:lineRule="exact"/>
        <w:rPr>
          <w:sz w:val="20"/>
          <w:szCs w:val="20"/>
          <w:color w:val="auto"/>
        </w:rPr>
      </w:pPr>
    </w:p>
    <w:p>
      <w:pPr>
        <w:ind w:right="340" w:firstLine="434"/>
        <w:spacing w:after="0" w:line="296" w:lineRule="auto"/>
        <w:rPr>
          <w:sz w:val="20"/>
          <w:szCs w:val="20"/>
          <w:color w:val="auto"/>
        </w:rPr>
      </w:pPr>
      <w:r>
        <w:rPr>
          <w:rFonts w:ascii="Arial" w:cs="Arial" w:eastAsia="Arial" w:hAnsi="Arial"/>
          <w:sz w:val="12"/>
          <w:szCs w:val="12"/>
          <w:color w:val="auto"/>
        </w:rPr>
        <w:t>Because federal income tax regulations differ from GAAP, distributions in accordance with tax regulations may differ from net investment income and net realized gain recognized for financial reporting purposes. Differences between tax regulations and GAAP may be permanent or temporary. Permanent differences are reclassified among capital accounts in the Consolidated Financial Statements to reflect their appropriate tax character. Temporary differences arise when certain items of income, expense, gain or loss are recognized at some time in the future.</w:t>
      </w:r>
    </w:p>
    <w:p>
      <w:pPr>
        <w:spacing w:after="0" w:line="83" w:lineRule="exact"/>
        <w:rPr>
          <w:sz w:val="20"/>
          <w:szCs w:val="20"/>
          <w:color w:val="auto"/>
        </w:rPr>
      </w:pPr>
    </w:p>
    <w:p>
      <w:pPr>
        <w:ind w:right="20" w:firstLine="434"/>
        <w:spacing w:after="0" w:line="253" w:lineRule="auto"/>
        <w:rPr>
          <w:sz w:val="20"/>
          <w:szCs w:val="20"/>
          <w:color w:val="auto"/>
        </w:rPr>
      </w:pPr>
      <w:r>
        <w:rPr>
          <w:rFonts w:ascii="Arial" w:cs="Arial" w:eastAsia="Arial" w:hAnsi="Arial"/>
          <w:sz w:val="14"/>
          <w:szCs w:val="14"/>
          <w:color w:val="auto"/>
        </w:rPr>
        <w:t>We have formed and expect to continue to form certain Taxable Subsidiaries, which are taxed as corporations. These Taxable Subsidiaries allow us to hold equity securities of certain portfolio companies treated as pass-through entities for U.S. federal income tax purposes while facilitating our ability to qualify as a RIC under the Code.</w:t>
      </w:r>
    </w:p>
    <w:p>
      <w:pPr>
        <w:spacing w:after="0" w:line="10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RESULTS OF OPERATIONS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4"/>
          <w:szCs w:val="14"/>
          <w:color w:val="auto"/>
        </w:rPr>
        <w:t>Set forth below are the results of operations for the three and nine months ended June 30, 2018 and 2017.</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Investment Income</w:t>
      </w:r>
    </w:p>
    <w:p>
      <w:pPr>
        <w:spacing w:after="0" w:line="136" w:lineRule="exact"/>
        <w:rPr>
          <w:sz w:val="20"/>
          <w:szCs w:val="20"/>
          <w:color w:val="auto"/>
        </w:rPr>
      </w:pPr>
    </w:p>
    <w:p>
      <w:pPr>
        <w:ind w:right="20" w:firstLine="434"/>
        <w:spacing w:after="0" w:line="251" w:lineRule="auto"/>
        <w:rPr>
          <w:sz w:val="20"/>
          <w:szCs w:val="20"/>
          <w:color w:val="auto"/>
        </w:rPr>
      </w:pPr>
      <w:r>
        <w:rPr>
          <w:rFonts w:ascii="Arial" w:cs="Arial" w:eastAsia="Arial" w:hAnsi="Arial"/>
          <w:sz w:val="13"/>
          <w:szCs w:val="13"/>
          <w:color w:val="auto"/>
        </w:rPr>
        <w:t>Investment income for the three and nine months ended June 30, 2018 was $24.8 million and $80.7 million, respectively, and was attributable to $11.4 million and $36.7 million from first lien secured debt, $12.2 million and $36.4 million from second lien secured debt and $1.2 million and $7.6 million from subordinated debt, preferred and common equity, respectively. This compares to investment income for the three and nine months ended June 30, 2017, which was $31.1 million and $96.7 million, respectively, and was attributable to $14.0 million and $42.3 million from first lien secured debt, $12.0 million and $37.7 million from second lien secured debt and $5.1 million and $16.7 million from subordinated debt, preferred and common equity, respectively. The decrease in investment income compared to the same periods in the prior year was primarily due to a reduction of our portfolio at cost.</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Expenses</w:t>
      </w:r>
    </w:p>
    <w:p>
      <w:pPr>
        <w:spacing w:after="0" w:line="136" w:lineRule="exact"/>
        <w:rPr>
          <w:sz w:val="20"/>
          <w:szCs w:val="20"/>
          <w:color w:val="auto"/>
        </w:rPr>
      </w:pPr>
    </w:p>
    <w:p>
      <w:pPr>
        <w:ind w:right="40" w:firstLine="434"/>
        <w:spacing w:after="0" w:line="226" w:lineRule="auto"/>
        <w:rPr>
          <w:sz w:val="20"/>
          <w:szCs w:val="20"/>
          <w:color w:val="auto"/>
        </w:rPr>
      </w:pPr>
      <w:r>
        <w:rPr>
          <w:rFonts w:ascii="Arial" w:cs="Arial" w:eastAsia="Arial" w:hAnsi="Arial"/>
          <w:sz w:val="14"/>
          <w:szCs w:val="14"/>
          <w:color w:val="auto"/>
        </w:rPr>
        <w:t>Net expenses for the three and nine months ended June 30, 2018 totaled $13.0 million and $41.3 million, respectively. Base management fee for the same periods totaled $3.8 million and $12.5 million (after a base management fee waiver of $0.9 million), incentive fee totaled $2.5 million and $8.0 million (after an incentive fee waiver of $0.5 million), debt related interest and expenses totaled $5.6 million and $17.4 million and general and administrative expenses totaled $1.1 million and $3.4 million, respectively. This compares to net expenses for the three and nine months ended June 30, 2017, which totaled $18.6 million and $53.0 million, respectively. Base management fee for the same periods totaled $4.9 million (after a base management fee waiver of $0.9 million) and $15.4 million (after a base management fee waiver of $3.0 million), incentive fee totaled $1.2 million (after an incentive fee waiver of $0.2 million) and $7.0 million (after an incentive fee waiver of $1.3 million), debt related interest and expenses totaled $10.6 million (including $3.9 million in amendment costs on the Credit Facility) and $24.5 million (including $3.9 million in amendment costs on the Credit Facility), general and administrative expenses totaled $1.6 million and $4.8 million and provision for taxes totaled $0.4 million and $1.3 million, respectively. The decrease in expenses compared to the same periods in the prior year was primarily due to a decrease in debt related expenses and base management fees, which were partially offset by an increase in incentive fees.</w:t>
      </w:r>
    </w:p>
    <w:p>
      <w:pPr>
        <w:spacing w:after="0" w:line="12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Investment Income</w:t>
      </w:r>
    </w:p>
    <w:p>
      <w:pPr>
        <w:spacing w:after="0" w:line="136" w:lineRule="exact"/>
        <w:rPr>
          <w:sz w:val="20"/>
          <w:szCs w:val="20"/>
          <w:color w:val="auto"/>
        </w:rPr>
      </w:pPr>
    </w:p>
    <w:p>
      <w:pPr>
        <w:ind w:right="20" w:firstLine="434"/>
        <w:spacing w:after="0" w:line="264" w:lineRule="auto"/>
        <w:rPr>
          <w:sz w:val="20"/>
          <w:szCs w:val="20"/>
          <w:color w:val="auto"/>
        </w:rPr>
      </w:pPr>
      <w:r>
        <w:rPr>
          <w:rFonts w:ascii="Arial" w:cs="Arial" w:eastAsia="Arial" w:hAnsi="Arial"/>
          <w:sz w:val="13"/>
          <w:szCs w:val="13"/>
          <w:color w:val="auto"/>
        </w:rPr>
        <w:t>Net investment income totaled $11.8 million and $39.4 million, or $0.17 and $0.55 per share, for the three and nine months ended June 30, 2018, respectively. Net investment income totaled $12.5 million and $43.7 million, or $0.18 and $0.61 per share, for the three and nine months ended June 30, 2017, respectively. The decrease in net investment income per share compared to the same periods in the prior year was primarily due to a lower yielding portfolio partially offset by a decrease in debt related expenses and base management fees.</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Realized Gains or Losses</w:t>
      </w:r>
    </w:p>
    <w:p>
      <w:pPr>
        <w:spacing w:after="0" w:line="136" w:lineRule="exact"/>
        <w:rPr>
          <w:sz w:val="20"/>
          <w:szCs w:val="20"/>
          <w:color w:val="auto"/>
        </w:rPr>
      </w:pPr>
    </w:p>
    <w:p>
      <w:pPr>
        <w:ind w:right="40" w:firstLine="434"/>
        <w:spacing w:after="0" w:line="233" w:lineRule="auto"/>
        <w:rPr>
          <w:sz w:val="20"/>
          <w:szCs w:val="20"/>
          <w:color w:val="auto"/>
        </w:rPr>
      </w:pPr>
      <w:r>
        <w:rPr>
          <w:rFonts w:ascii="Arial" w:cs="Arial" w:eastAsia="Arial" w:hAnsi="Arial"/>
          <w:sz w:val="14"/>
          <w:szCs w:val="14"/>
          <w:color w:val="auto"/>
        </w:rPr>
        <w:t>Sales and repayments of investments for the three and nine months ended June 30, 2018 totaled $117.7 million and $556.4 million, respectively, and net realized gains totaled $17.4 million and $43.0 million, respectively. Sales and repayments of investments for the three and nine months ended June 30, 2017 totaled $199.1 million and $465.4 million, respectively, and net realized gains (losses) totaled $10.1 million and $(30.8) million, respectively. The change in realized gains/losses was primarily due to changes in the market conditions of our investments and the values at which they were realized.</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Unrealized Appreciation or Depreciation on Investments, Credit Facility, the 2019 Notes and the 2025 Notes</w:t>
      </w:r>
    </w:p>
    <w:p>
      <w:pPr>
        <w:spacing w:after="0" w:line="136" w:lineRule="exact"/>
        <w:rPr>
          <w:sz w:val="20"/>
          <w:szCs w:val="20"/>
          <w:color w:val="auto"/>
        </w:rPr>
      </w:pPr>
    </w:p>
    <w:p>
      <w:pPr>
        <w:ind w:firstLine="456"/>
        <w:spacing w:after="0" w:line="283" w:lineRule="auto"/>
        <w:rPr>
          <w:sz w:val="20"/>
          <w:szCs w:val="20"/>
          <w:color w:val="auto"/>
        </w:rPr>
      </w:pPr>
      <w:r>
        <w:rPr>
          <w:rFonts w:ascii="Arial" w:cs="Arial" w:eastAsia="Arial" w:hAnsi="Arial"/>
          <w:sz w:val="12"/>
          <w:szCs w:val="12"/>
          <w:color w:val="auto"/>
        </w:rPr>
        <w:t>For the three and nine months ended June 30, 2018, we reported net change in unrealized depreciation on investments of $13.9 million and $50.2 million, respectively. For the three and nine months ended June 30, 2017, we reported net change in unrealized (depreciation) appreciation on investments of $(1.7) million and $43.8 million, respectively. As of June 30, 2018 and September 30, 2017, our net unrealized depreciation on investments totaled $106.6 million and $56.4 million, respectively. The net change in unrealized depreciation on our investments was driven primarily by changes in the capital market conditions, the financial performance of certain portfolio companies and the reversal of unrealized appreciation/depreciation of investments that were realized.</w:t>
      </w:r>
    </w:p>
    <w:p>
      <w:pPr>
        <w:spacing w:after="0" w:line="308"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29" w:name="page30"/>
    <w:bookmarkEnd w:id="29"/>
    <w:p>
      <w:pPr>
        <w:ind w:right="100" w:firstLine="456"/>
        <w:spacing w:after="0" w:line="255" w:lineRule="auto"/>
        <w:rPr>
          <w:sz w:val="20"/>
          <w:szCs w:val="20"/>
          <w:color w:val="auto"/>
        </w:rPr>
      </w:pPr>
      <w:r>
        <w:rPr>
          <w:rFonts w:ascii="Arial" w:cs="Arial" w:eastAsia="Arial" w:hAnsi="Arial"/>
          <w:sz w:val="13"/>
          <w:szCs w:val="13"/>
          <w:color w:val="auto"/>
        </w:rPr>
        <w:t>For the three and nine months ended June 30, 2018, our Credit Facility and the 2019 Notes had a net change in unrealized depreciation of $1.6 million and $3.1 million, respectively. For the three and nine months ended June 30, 2017, our Credit Facility, the 2019 Notes and the 2025 Notes had a net change in unrealized appreciation of $2.1 million and $2.4 million, respectively. As of June 30, 2018 and September 30, 2017, our net unrealized depreciation (appreciation) on the Credit Facility and the 2019 Notes totaled $0.8 million and $(2.3) million, respectively. The net change in unrealized depreciation compared to the same periods in the prior year was primarily due to changes in the capital markets.</w:t>
      </w:r>
    </w:p>
    <w:p>
      <w:pPr>
        <w:spacing w:after="0" w:line="10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Net Change in Net Assets Resulting From Operations</w:t>
      </w:r>
    </w:p>
    <w:p>
      <w:pPr>
        <w:spacing w:after="0" w:line="136" w:lineRule="exact"/>
        <w:rPr>
          <w:sz w:val="20"/>
          <w:szCs w:val="20"/>
          <w:color w:val="auto"/>
        </w:rPr>
      </w:pPr>
    </w:p>
    <w:p>
      <w:pPr>
        <w:jc w:val="both"/>
        <w:ind w:right="140" w:firstLine="434"/>
        <w:spacing w:after="0" w:line="296" w:lineRule="auto"/>
        <w:rPr>
          <w:sz w:val="20"/>
          <w:szCs w:val="20"/>
          <w:color w:val="auto"/>
        </w:rPr>
      </w:pPr>
      <w:r>
        <w:rPr>
          <w:rFonts w:ascii="Arial" w:cs="Arial" w:eastAsia="Arial" w:hAnsi="Arial"/>
          <w:sz w:val="12"/>
          <w:szCs w:val="12"/>
          <w:color w:val="auto"/>
        </w:rPr>
        <w:t>Net change in net assets resulting from operations totaled $16.9 million and $35.2 million, or $0.24 and $0.50 per share, for the three and nine months ended June 30, 2018, respectively. This compares to a net change in net assets resulting from operations of $18.8 million and $54.3 million, or $0.26 and $0.77 per share, for the three and nine months ended June 30, 2017, respectively. The decrease in the net change in net assets from operations compared to the same periods in the prior year was primarily due to a lower yielding portfolio and depreciation of our investments.</w:t>
      </w:r>
    </w:p>
    <w:p>
      <w:pPr>
        <w:spacing w:after="0" w:line="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LIQUIDITY AND CAPITAL RESOURCES</w:t>
      </w:r>
    </w:p>
    <w:p>
      <w:pPr>
        <w:spacing w:after="0" w:line="140" w:lineRule="exact"/>
        <w:rPr>
          <w:sz w:val="20"/>
          <w:szCs w:val="20"/>
          <w:color w:val="auto"/>
        </w:rPr>
      </w:pPr>
    </w:p>
    <w:p>
      <w:pPr>
        <w:ind w:right="240" w:firstLine="456"/>
        <w:spacing w:after="0" w:line="231" w:lineRule="auto"/>
        <w:rPr>
          <w:sz w:val="20"/>
          <w:szCs w:val="20"/>
          <w:color w:val="auto"/>
        </w:rPr>
      </w:pPr>
      <w:r>
        <w:rPr>
          <w:rFonts w:ascii="Arial" w:cs="Arial" w:eastAsia="Arial" w:hAnsi="Arial"/>
          <w:sz w:val="14"/>
          <w:szCs w:val="14"/>
          <w:color w:val="auto"/>
        </w:rPr>
        <w:t>Our liquidity and capital resources are derived primarily from proceeds of securities offerings, debt capital and cash flows from operations, including investment sales and repayments, and income earned. Our primary use of funds from operations includes investments in portfolio companies and payments of fees and other operating expenses we incur. We have used, and expect to continue to use, our debt capital, proceeds from the rotation of our portfolio and proceeds from public and private offerings of securities to finance our investment objectives. As of June 30, 2018, in accordance with the 1940 Act, with certain limited exceptions, we are only allowed to borrow amounts such that we are in compliance with a 200% asset coverage ratio requirement after such borrowing, excluding SBA debentures pursuant to exemptive relief from the SEC received in June 2011.</w:t>
      </w:r>
    </w:p>
    <w:p>
      <w:pPr>
        <w:spacing w:after="0" w:line="116" w:lineRule="exact"/>
        <w:rPr>
          <w:sz w:val="20"/>
          <w:szCs w:val="20"/>
          <w:color w:val="auto"/>
        </w:rPr>
      </w:pPr>
    </w:p>
    <w:p>
      <w:pPr>
        <w:ind w:right="120" w:firstLine="434"/>
        <w:spacing w:after="0" w:line="253" w:lineRule="auto"/>
        <w:rPr>
          <w:sz w:val="20"/>
          <w:szCs w:val="20"/>
          <w:color w:val="auto"/>
        </w:rPr>
      </w:pPr>
      <w:r>
        <w:rPr>
          <w:rFonts w:ascii="Arial" w:cs="Arial" w:eastAsia="Arial" w:hAnsi="Arial"/>
          <w:sz w:val="14"/>
          <w:szCs w:val="14"/>
          <w:color w:val="auto"/>
        </w:rPr>
        <w:t>The annualized weighted average cost of debt for the nine months ended June 30, 2018 and 2017, inclusive of the fee on the undrawn commitment and amendment costs on the Credit Facility, amortized upfront fees on SBA debentures and debt issuance costs, was 4.59% and 4.99%, respectively.</w:t>
      </w:r>
    </w:p>
    <w:p>
      <w:pPr>
        <w:spacing w:after="0" w:line="106" w:lineRule="exact"/>
        <w:rPr>
          <w:sz w:val="20"/>
          <w:szCs w:val="20"/>
          <w:color w:val="auto"/>
        </w:rPr>
      </w:pPr>
    </w:p>
    <w:p>
      <w:pPr>
        <w:ind w:firstLine="438"/>
        <w:spacing w:after="0" w:line="229" w:lineRule="auto"/>
        <w:rPr>
          <w:sz w:val="20"/>
          <w:szCs w:val="20"/>
          <w:color w:val="auto"/>
        </w:rPr>
      </w:pPr>
      <w:r>
        <w:rPr>
          <w:rFonts w:ascii="Arial" w:cs="Arial" w:eastAsia="Arial" w:hAnsi="Arial"/>
          <w:sz w:val="14"/>
          <w:szCs w:val="14"/>
          <w:color w:val="auto"/>
        </w:rPr>
        <w:t>As of June 30, 2018, we had a $445 million multi-currency Credit Facility with certain lenders and SunTrust Bank, acting as administrative agent, and JPMorgan Chase Bank, N.A., acting as syndication agent for the lenders. As of June 30, 2018 and September 30, 2017, we had $41.5 million and $79.4 million, respectively, in outstanding borrowings under the Credit Facility. The Credit Facility had a weighted average interest rate of 2.94% and 2.42%, respectively, exclusive of the fee on undrawn commitments of 0.375%, as of June 30, 2018 and September 30, 2017. The Credit Facility is a five-year revolving facility with a stated maturity date of May 25, 2022, a one-year term-out period following its fourth year and pricing set at 225 basis points over LIBOR. As of June 30, 2018 and September 30, 2017, we had $403.5 million and $365.6 million of unused borrowing capacity under our Credit Facility, respectively, subject to the regulatory restrictions. The Credit Facility is secured by substantially all of our assets excluding assets held by our SBIC Funds.</w:t>
      </w:r>
    </w:p>
    <w:p>
      <w:pPr>
        <w:spacing w:after="0" w:line="118" w:lineRule="exact"/>
        <w:rPr>
          <w:sz w:val="20"/>
          <w:szCs w:val="20"/>
          <w:color w:val="auto"/>
        </w:rPr>
      </w:pPr>
    </w:p>
    <w:p>
      <w:pPr>
        <w:ind w:right="180" w:firstLine="434"/>
        <w:spacing w:after="0" w:line="253" w:lineRule="auto"/>
        <w:rPr>
          <w:sz w:val="20"/>
          <w:szCs w:val="20"/>
          <w:color w:val="auto"/>
        </w:rPr>
      </w:pPr>
      <w:r>
        <w:rPr>
          <w:rFonts w:ascii="Arial" w:cs="Arial" w:eastAsia="Arial" w:hAnsi="Arial"/>
          <w:sz w:val="14"/>
          <w:szCs w:val="14"/>
          <w:color w:val="auto"/>
        </w:rPr>
        <w:t>For a complete list of covenants contained in the Credit Facility, please refer to the Credit Facility agreement filed as Exhibit 10.1 on our Form 10-Q filed August 7, 2017 and incorporated by reference therein. As of June 30, 2018, we were in compliance with the terms of our Credit Facility.</w:t>
      </w:r>
    </w:p>
    <w:p>
      <w:pPr>
        <w:spacing w:after="0" w:line="106" w:lineRule="exact"/>
        <w:rPr>
          <w:sz w:val="20"/>
          <w:szCs w:val="20"/>
          <w:color w:val="auto"/>
        </w:rPr>
      </w:pPr>
    </w:p>
    <w:p>
      <w:pPr>
        <w:ind w:right="100" w:firstLine="452"/>
        <w:spacing w:after="0" w:line="229" w:lineRule="auto"/>
        <w:rPr>
          <w:sz w:val="20"/>
          <w:szCs w:val="20"/>
          <w:color w:val="auto"/>
        </w:rPr>
      </w:pPr>
      <w:r>
        <w:rPr>
          <w:rFonts w:ascii="Arial" w:cs="Arial" w:eastAsia="Arial" w:hAnsi="Arial"/>
          <w:sz w:val="14"/>
          <w:szCs w:val="14"/>
          <w:color w:val="auto"/>
        </w:rPr>
        <w:t>In September 2014, we issued $250.0 million in aggregate principal amount of 2019 Notes, for net proceeds of $245.5 million after underwriting discounts and offering costs. Interest on the 2019 Notes is paid semi-annually on April 1 and October 1, at a rate of 4.50% per year. The 2019 Notes mature on October 1, 2019. The 2019 Notes are general, unsecured obligations and rank equal in right of payment with all of our existing and future senior unsecured indebtedness. The 2019 Notes are structurally subordinated to our SBA debentures and the assets pledged or secured under our Credit Facility. The 2019 Notes may be repurchased from time to time in open market purchases and privately-negotiated transactions. Please refer to our indenture agreement filed as Exhibit (d)(8) to our post-effective amendment filed on January 22, 2013 and the supplemental indenture agreement filed as Exhibit (d)(11) to our post-effective amendment filed on September 23, 2014 for more information.</w:t>
      </w:r>
    </w:p>
    <w:p>
      <w:pPr>
        <w:spacing w:after="0" w:line="118" w:lineRule="exact"/>
        <w:rPr>
          <w:sz w:val="20"/>
          <w:szCs w:val="20"/>
          <w:color w:val="auto"/>
        </w:rPr>
      </w:pPr>
    </w:p>
    <w:p>
      <w:pPr>
        <w:ind w:right="140" w:firstLine="434"/>
        <w:spacing w:after="0" w:line="231" w:lineRule="auto"/>
        <w:rPr>
          <w:sz w:val="20"/>
          <w:szCs w:val="20"/>
          <w:color w:val="auto"/>
        </w:rPr>
      </w:pPr>
      <w:r>
        <w:rPr>
          <w:rFonts w:ascii="Arial" w:cs="Arial" w:eastAsia="Arial" w:hAnsi="Arial"/>
          <w:sz w:val="14"/>
          <w:szCs w:val="14"/>
          <w:color w:val="auto"/>
        </w:rPr>
        <w:t>We may raise additional equity or debt capital through both registered offerings off our shelf registration statement and private offerings of securities, by securitizing a portion of our investments or borrowing from the SBA, among other sources. Any future additional debt capital we incur, to the extent it is available, may be issued at a higher cost and on less favorable terms and conditions than our current Credit Facility, SBA debentures or our 2019 Notes. Furthermore, our Credit Facility availability depends on various covenants and restrictions. The primary use of existing funds and any funds raised in the future is expected to be for repayment of indebtedness, investments in portfolio companies, cash distributions to our stockholders or for other general corporate or strategic purposes such as our stock repurchase program.</w:t>
      </w:r>
    </w:p>
    <w:p>
      <w:pPr>
        <w:spacing w:after="0" w:line="116" w:lineRule="exact"/>
        <w:rPr>
          <w:sz w:val="20"/>
          <w:szCs w:val="20"/>
          <w:color w:val="auto"/>
        </w:rPr>
      </w:pPr>
    </w:p>
    <w:p>
      <w:pPr>
        <w:ind w:right="120" w:firstLine="434"/>
        <w:spacing w:after="0" w:line="268" w:lineRule="auto"/>
        <w:rPr>
          <w:sz w:val="20"/>
          <w:szCs w:val="20"/>
          <w:color w:val="auto"/>
        </w:rPr>
      </w:pPr>
      <w:r>
        <w:rPr>
          <w:rFonts w:ascii="Arial" w:cs="Arial" w:eastAsia="Arial" w:hAnsi="Arial"/>
          <w:sz w:val="12"/>
          <w:szCs w:val="12"/>
          <w:color w:val="auto"/>
        </w:rPr>
        <w:t>Our SBIC Funds are able to borrow funds from the SBA against regulatory capital (which approximates equity capital) that is paid-in and is subject to customary regulatory requirements including an examination by the SBA. We have funded SBIC I with $75.0 million of equity capital and it had SBA debentures outstanding of $30.0 million as of June 30, 2018. We have funded SBIC</w:t>
      </w:r>
    </w:p>
    <w:p>
      <w:pPr>
        <w:spacing w:after="0" w:line="1" w:lineRule="exact"/>
        <w:rPr>
          <w:sz w:val="20"/>
          <w:szCs w:val="20"/>
          <w:color w:val="auto"/>
        </w:rPr>
      </w:pPr>
    </w:p>
    <w:p>
      <w:pPr>
        <w:ind w:right="100" w:firstLine="8"/>
        <w:spacing w:after="0" w:line="229" w:lineRule="auto"/>
        <w:tabs>
          <w:tab w:leader="none" w:pos="126" w:val="left"/>
        </w:tabs>
        <w:numPr>
          <w:ilvl w:val="0"/>
          <w:numId w:val="22"/>
        </w:numPr>
        <w:rPr>
          <w:rFonts w:ascii="Arial" w:cs="Arial" w:eastAsia="Arial" w:hAnsi="Arial"/>
          <w:sz w:val="14"/>
          <w:szCs w:val="14"/>
          <w:color w:val="auto"/>
        </w:rPr>
      </w:pPr>
      <w:r>
        <w:rPr>
          <w:rFonts w:ascii="Arial" w:cs="Arial" w:eastAsia="Arial" w:hAnsi="Arial"/>
          <w:sz w:val="14"/>
          <w:szCs w:val="14"/>
          <w:color w:val="auto"/>
        </w:rPr>
        <w:t>with $75.0 million of equity capital and it had SBA debentures outstanding of $150.0 million as of June 30, 2018. SBA debentures are non-recourse to us and may be prepaid at any time without penalty. The interest rate of SBA debentures is fixed at the time of issuance, often referred to as pooling, at a market-driven spread over 10-year U.S. Treasury Notes. Under current SBA regulations, a SBIC may individually borrow to a maximum of $150.0 million, which is up to twice its potential regulatory capital, and as part of a group of SBICs under common control may borrow a maximum of $350.0 million in the aggregate.</w:t>
      </w:r>
    </w:p>
    <w:p>
      <w:pPr>
        <w:spacing w:after="0" w:line="116" w:lineRule="exact"/>
        <w:rPr>
          <w:sz w:val="20"/>
          <w:szCs w:val="20"/>
          <w:color w:val="auto"/>
        </w:rPr>
      </w:pPr>
    </w:p>
    <w:p>
      <w:pPr>
        <w:ind w:right="160" w:firstLine="434"/>
        <w:spacing w:after="0" w:line="238" w:lineRule="auto"/>
        <w:rPr>
          <w:sz w:val="20"/>
          <w:szCs w:val="20"/>
          <w:color w:val="auto"/>
        </w:rPr>
      </w:pPr>
      <w:r>
        <w:rPr>
          <w:rFonts w:ascii="Arial" w:cs="Arial" w:eastAsia="Arial" w:hAnsi="Arial"/>
          <w:sz w:val="14"/>
          <w:szCs w:val="14"/>
          <w:color w:val="auto"/>
        </w:rPr>
        <w:t>As of June 30, 2018 and September 30, 2017, our SBIC Funds had $300.0 million in debt commitments, respectively, of which $180.0 million and $199.0 million was drawn, respectively. As of June 30, 2018 and September 30, 2017, the unamortized fees on the SBA debentures was $4.8 million and $4.6 million, respectively. The SBA debentures’ upfront fees of 3.43% consist of a commitment fee of 1.00% and an issuance discount of 2.43%, which are being amortized.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82"/>
        </w:trPr>
        <w:tc>
          <w:tcPr>
            <w:tcW w:w="3660" w:type="dxa"/>
            <w:vAlign w:val="bottom"/>
            <w:gridSpan w:val="2"/>
          </w:tcPr>
          <w:p>
            <w:pPr>
              <w:ind w:left="440"/>
              <w:spacing w:after="0"/>
              <w:rPr>
                <w:sz w:val="20"/>
                <w:szCs w:val="20"/>
                <w:color w:val="auto"/>
              </w:rPr>
            </w:pPr>
            <w:r>
              <w:rPr>
                <w:rFonts w:ascii="Arial" w:cs="Arial" w:eastAsia="Arial" w:hAnsi="Arial"/>
                <w:sz w:val="14"/>
                <w:szCs w:val="14"/>
                <w:color w:val="auto"/>
              </w:rPr>
              <w:t>Our fixed-rate SBA debentures were as follows:</w:t>
            </w:r>
          </w:p>
        </w:tc>
        <w:tc>
          <w:tcPr>
            <w:tcW w:w="2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3"/>
        </w:trPr>
        <w:tc>
          <w:tcPr>
            <w:tcW w:w="34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vMerge w:val="restart"/>
          </w:tcPr>
          <w:p>
            <w:pPr>
              <w:spacing w:after="0"/>
              <w:rPr>
                <w:sz w:val="23"/>
                <w:szCs w:val="23"/>
                <w:color w:val="auto"/>
              </w:rPr>
            </w:pPr>
          </w:p>
        </w:tc>
        <w:tc>
          <w:tcPr>
            <w:tcW w:w="20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3"/>
                <w:szCs w:val="23"/>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00" w:type="dxa"/>
            <w:vAlign w:val="bottom"/>
            <w:vMerge w:val="restart"/>
          </w:tcPr>
          <w:p>
            <w:pPr>
              <w:spacing w:after="0"/>
              <w:rPr>
                <w:sz w:val="23"/>
                <w:szCs w:val="23"/>
                <w:color w:val="auto"/>
              </w:rPr>
            </w:pPr>
          </w:p>
        </w:tc>
        <w:tc>
          <w:tcPr>
            <w:tcW w:w="340" w:type="dxa"/>
            <w:vAlign w:val="bottom"/>
          </w:tcPr>
          <w:p>
            <w:pPr>
              <w:spacing w:after="0"/>
              <w:rPr>
                <w:sz w:val="23"/>
                <w:szCs w:val="23"/>
                <w:color w:val="auto"/>
              </w:rPr>
            </w:pPr>
          </w:p>
        </w:tc>
        <w:tc>
          <w:tcPr>
            <w:tcW w:w="2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As of June 30, 2018</w:t>
            </w: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19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C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4"/>
              </w:rPr>
              <w:t>Principal 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21, 2011</w:t>
            </w:r>
          </w:p>
        </w:tc>
        <w:tc>
          <w:tcPr>
            <w:tcW w:w="22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September 1, 2021</w:t>
            </w:r>
          </w:p>
        </w:tc>
        <w:tc>
          <w:tcPr>
            <w:tcW w:w="220" w:type="dxa"/>
            <w:vAlign w:val="bottom"/>
            <w:shd w:val="clear" w:color="auto" w:fill="CCECFF"/>
          </w:tcPr>
          <w:p>
            <w:pPr>
              <w:spacing w:after="0"/>
              <w:rPr>
                <w:sz w:val="13"/>
                <w:szCs w:val="13"/>
                <w:color w:val="auto"/>
              </w:rPr>
            </w:pPr>
          </w:p>
        </w:tc>
        <w:tc>
          <w:tcPr>
            <w:tcW w:w="2360" w:type="dxa"/>
            <w:vAlign w:val="bottom"/>
            <w:gridSpan w:val="2"/>
            <w:shd w:val="clear" w:color="auto" w:fill="CCECFF"/>
          </w:tcPr>
          <w:p>
            <w:pPr>
              <w:ind w:left="1680"/>
              <w:spacing w:after="0" w:line="155" w:lineRule="exact"/>
              <w:rPr>
                <w:sz w:val="20"/>
                <w:szCs w:val="20"/>
                <w:color w:val="auto"/>
              </w:rPr>
            </w:pPr>
            <w:r>
              <w:rPr>
                <w:rFonts w:ascii="Arial" w:cs="Arial" w:eastAsia="Arial" w:hAnsi="Arial"/>
                <w:sz w:val="14"/>
                <w:szCs w:val="14"/>
                <w:color w:val="auto"/>
              </w:rPr>
              <w:t>3.35%</w:t>
            </w: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25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30,000,000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March 23, 2016</w:t>
            </w:r>
          </w:p>
        </w:tc>
        <w:tc>
          <w:tcPr>
            <w:tcW w:w="2280" w:type="dxa"/>
            <w:vAlign w:val="bottom"/>
            <w:gridSpan w:val="2"/>
          </w:tcPr>
          <w:p>
            <w:pPr>
              <w:spacing w:after="0"/>
              <w:rPr>
                <w:sz w:val="20"/>
                <w:szCs w:val="20"/>
                <w:color w:val="auto"/>
              </w:rPr>
            </w:pPr>
            <w:r>
              <w:rPr>
                <w:rFonts w:ascii="Arial" w:cs="Arial" w:eastAsia="Arial" w:hAnsi="Arial"/>
                <w:sz w:val="14"/>
                <w:szCs w:val="14"/>
                <w:color w:val="auto"/>
              </w:rPr>
              <w:t>March 1, 2026</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2.86</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22,500,000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21, 2016</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2026</w:t>
            </w:r>
          </w:p>
        </w:tc>
        <w:tc>
          <w:tcPr>
            <w:tcW w:w="1960" w:type="dxa"/>
            <w:vAlign w:val="bottom"/>
            <w:shd w:val="clear" w:color="auto" w:fill="CCECFF"/>
          </w:tcPr>
          <w:p>
            <w:pPr>
              <w:ind w:left="1680"/>
              <w:spacing w:after="0"/>
              <w:rPr>
                <w:sz w:val="20"/>
                <w:szCs w:val="20"/>
                <w:color w:val="auto"/>
              </w:rPr>
            </w:pPr>
            <w:r>
              <w:rPr>
                <w:rFonts w:ascii="Arial" w:cs="Arial" w:eastAsia="Arial" w:hAnsi="Arial"/>
                <w:sz w:val="14"/>
                <w:szCs w:val="14"/>
                <w:color w:val="auto"/>
                <w:w w:val="95"/>
              </w:rPr>
              <w:t>2.41</w:t>
            </w:r>
          </w:p>
        </w:tc>
        <w:tc>
          <w:tcPr>
            <w:tcW w:w="4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September 20, 2017</w:t>
            </w:r>
          </w:p>
        </w:tc>
        <w:tc>
          <w:tcPr>
            <w:tcW w:w="2280" w:type="dxa"/>
            <w:vAlign w:val="bottom"/>
            <w:gridSpan w:val="2"/>
          </w:tcPr>
          <w:p>
            <w:pPr>
              <w:spacing w:after="0"/>
              <w:rPr>
                <w:sz w:val="20"/>
                <w:szCs w:val="20"/>
                <w:color w:val="auto"/>
              </w:rPr>
            </w:pPr>
            <w:r>
              <w:rPr>
                <w:rFonts w:ascii="Arial" w:cs="Arial" w:eastAsia="Arial" w:hAnsi="Arial"/>
                <w:sz w:val="14"/>
                <w:szCs w:val="14"/>
                <w:color w:val="auto"/>
              </w:rPr>
              <w:t>September 1, 2027</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2.87</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21, 2018</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2028</w:t>
            </w:r>
          </w:p>
        </w:tc>
        <w:tc>
          <w:tcPr>
            <w:tcW w:w="1960" w:type="dxa"/>
            <w:vAlign w:val="bottom"/>
            <w:tcBorders>
              <w:bottom w:val="single" w:sz="8" w:color="auto"/>
            </w:tcBorders>
            <w:shd w:val="clear" w:color="auto" w:fill="CCECFF"/>
          </w:tcPr>
          <w:p>
            <w:pPr>
              <w:ind w:left="1680"/>
              <w:spacing w:after="0"/>
              <w:rPr>
                <w:sz w:val="20"/>
                <w:szCs w:val="20"/>
                <w:color w:val="auto"/>
              </w:rPr>
            </w:pPr>
            <w:r>
              <w:rPr>
                <w:rFonts w:ascii="Arial" w:cs="Arial" w:eastAsia="Arial" w:hAnsi="Arial"/>
                <w:sz w:val="14"/>
                <w:szCs w:val="14"/>
                <w:color w:val="auto"/>
                <w:w w:val="95"/>
              </w:rPr>
              <w:t>3.53</w:t>
            </w:r>
          </w:p>
        </w:tc>
        <w:tc>
          <w:tcPr>
            <w:tcW w:w="40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2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71,000,000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66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2"/>
          </w:tcPr>
          <w:p>
            <w:pPr>
              <w:ind w:left="1680"/>
              <w:spacing w:after="0" w:line="155" w:lineRule="exact"/>
              <w:rPr>
                <w:sz w:val="20"/>
                <w:szCs w:val="20"/>
                <w:color w:val="auto"/>
              </w:rPr>
            </w:pPr>
            <w:r>
              <w:rPr>
                <w:rFonts w:ascii="Arial" w:cs="Arial" w:eastAsia="Arial" w:hAnsi="Arial"/>
                <w:sz w:val="14"/>
                <w:szCs w:val="14"/>
                <w:color w:val="auto"/>
              </w:rPr>
              <w:t>3.15%</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2500" w:type="dxa"/>
            <w:vAlign w:val="bottom"/>
          </w:tcPr>
          <w:p>
            <w:pPr>
              <w:jc w:val="right"/>
              <w:spacing w:after="0" w:line="155" w:lineRule="exact"/>
              <w:rPr>
                <w:sz w:val="20"/>
                <w:szCs w:val="20"/>
                <w:color w:val="auto"/>
              </w:rPr>
            </w:pPr>
            <w:r>
              <w:rPr>
                <w:rFonts w:ascii="Arial" w:cs="Arial" w:eastAsia="Arial" w:hAnsi="Arial"/>
                <w:sz w:val="14"/>
                <w:szCs w:val="14"/>
                <w:color w:val="auto"/>
              </w:rPr>
              <w:t>180,000,000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2"/>
        </w:trPr>
        <w:tc>
          <w:tcPr>
            <w:tcW w:w="3440" w:type="dxa"/>
            <w:vAlign w:val="bottom"/>
            <w:vMerge w:val="restart"/>
          </w:tcPr>
          <w:p>
            <w:pPr>
              <w:ind w:left="1260"/>
              <w:spacing w:after="0"/>
              <w:rPr>
                <w:sz w:val="20"/>
                <w:szCs w:val="20"/>
                <w:color w:val="auto"/>
              </w:rPr>
            </w:pPr>
            <w:r>
              <w:rPr>
                <w:rFonts w:ascii="Arial" w:cs="Arial" w:eastAsia="Arial" w:hAnsi="Arial"/>
                <w:sz w:val="14"/>
                <w:szCs w:val="14"/>
                <w:b w:val="1"/>
                <w:bCs w:val="1"/>
                <w:color w:val="auto"/>
              </w:rPr>
              <w:t>Issuance Dates</w:t>
            </w:r>
          </w:p>
        </w:tc>
        <w:tc>
          <w:tcPr>
            <w:tcW w:w="220" w:type="dxa"/>
            <w:vAlign w:val="bottom"/>
            <w:vMerge w:val="restart"/>
          </w:tcPr>
          <w:p>
            <w:pPr>
              <w:spacing w:after="0"/>
              <w:rPr>
                <w:sz w:val="24"/>
                <w:szCs w:val="24"/>
                <w:color w:val="auto"/>
              </w:rPr>
            </w:pPr>
          </w:p>
        </w:tc>
        <w:tc>
          <w:tcPr>
            <w:tcW w:w="20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Maturity</w:t>
            </w:r>
          </w:p>
        </w:tc>
        <w:tc>
          <w:tcPr>
            <w:tcW w:w="220" w:type="dxa"/>
            <w:vAlign w:val="bottom"/>
            <w:vMerge w:val="restart"/>
          </w:tcPr>
          <w:p>
            <w:pPr>
              <w:spacing w:after="0"/>
              <w:rPr>
                <w:sz w:val="24"/>
                <w:szCs w:val="24"/>
                <w:color w:val="auto"/>
              </w:rPr>
            </w:pPr>
          </w:p>
        </w:tc>
        <w:tc>
          <w:tcPr>
            <w:tcW w:w="19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 xml:space="preserve">Fixed All-in Coupon Rate </w:t>
            </w:r>
            <w:r>
              <w:rPr>
                <w:rFonts w:ascii="Arial" w:cs="Arial" w:eastAsia="Arial" w:hAnsi="Arial"/>
                <w:sz w:val="12"/>
                <w:szCs w:val="12"/>
                <w:b w:val="1"/>
                <w:bCs w:val="1"/>
                <w:color w:val="auto"/>
              </w:rPr>
              <w:t>(1)</w:t>
            </w:r>
          </w:p>
        </w:tc>
        <w:tc>
          <w:tcPr>
            <w:tcW w:w="400" w:type="dxa"/>
            <w:vAlign w:val="bottom"/>
            <w:vMerge w:val="restart"/>
          </w:tcPr>
          <w:p>
            <w:pPr>
              <w:spacing w:after="0"/>
              <w:rPr>
                <w:sz w:val="24"/>
                <w:szCs w:val="24"/>
                <w:color w:val="auto"/>
              </w:rPr>
            </w:pPr>
          </w:p>
        </w:tc>
        <w:tc>
          <w:tcPr>
            <w:tcW w:w="340" w:type="dxa"/>
            <w:vAlign w:val="bottom"/>
          </w:tcPr>
          <w:p>
            <w:pPr>
              <w:spacing w:after="0"/>
              <w:rPr>
                <w:sz w:val="24"/>
                <w:szCs w:val="24"/>
                <w:color w:val="auto"/>
              </w:rPr>
            </w:pPr>
          </w:p>
        </w:tc>
        <w:tc>
          <w:tcPr>
            <w:tcW w:w="260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As of September 30, 2017</w:t>
            </w:r>
          </w:p>
        </w:tc>
        <w:tc>
          <w:tcPr>
            <w:tcW w:w="0" w:type="dxa"/>
            <w:vAlign w:val="bottom"/>
          </w:tcPr>
          <w:p>
            <w:pPr>
              <w:spacing w:after="0"/>
              <w:rPr>
                <w:sz w:val="1"/>
                <w:szCs w:val="1"/>
                <w:color w:val="auto"/>
              </w:rPr>
            </w:pPr>
          </w:p>
        </w:tc>
      </w:tr>
      <w:tr>
        <w:trPr>
          <w:trHeight w:val="171"/>
        </w:trPr>
        <w:tc>
          <w:tcPr>
            <w:tcW w:w="344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206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CFF"/>
            </w:tcBorders>
            <w:vMerge w:val="continue"/>
          </w:tcPr>
          <w:p>
            <w:pPr>
              <w:spacing w:after="0"/>
              <w:rPr>
                <w:sz w:val="14"/>
                <w:szCs w:val="14"/>
                <w:color w:val="auto"/>
              </w:rPr>
            </w:pPr>
          </w:p>
        </w:tc>
        <w:tc>
          <w:tcPr>
            <w:tcW w:w="1960" w:type="dxa"/>
            <w:vAlign w:val="bottom"/>
            <w:tcBorders>
              <w:bottom w:val="single" w:sz="8" w:color="auto"/>
            </w:tcBorders>
            <w:vMerge w:val="continue"/>
          </w:tcPr>
          <w:p>
            <w:pPr>
              <w:spacing w:after="0"/>
              <w:rPr>
                <w:sz w:val="14"/>
                <w:szCs w:val="14"/>
                <w:color w:val="auto"/>
              </w:rPr>
            </w:pPr>
          </w:p>
        </w:tc>
        <w:tc>
          <w:tcPr>
            <w:tcW w:w="400" w:type="dxa"/>
            <w:vAlign w:val="bottom"/>
            <w:tcBorders>
              <w:bottom w:val="single" w:sz="8" w:color="CCECFF"/>
            </w:tcBorders>
            <w:vMerge w:val="continue"/>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500" w:type="dxa"/>
            <w:vAlign w:val="bottom"/>
            <w:tcBorders>
              <w:bottom w:val="single" w:sz="8" w:color="auto"/>
            </w:tcBorders>
          </w:tcPr>
          <w:p>
            <w:pPr>
              <w:jc w:val="center"/>
              <w:ind w:right="288"/>
              <w:spacing w:after="0"/>
              <w:rPr>
                <w:sz w:val="20"/>
                <w:szCs w:val="20"/>
                <w:color w:val="auto"/>
              </w:rPr>
            </w:pPr>
            <w:r>
              <w:rPr>
                <w:rFonts w:ascii="Arial" w:cs="Arial" w:eastAsia="Arial" w:hAnsi="Arial"/>
                <w:sz w:val="14"/>
                <w:szCs w:val="14"/>
                <w:b w:val="1"/>
                <w:bCs w:val="1"/>
                <w:color w:val="auto"/>
                <w:w w:val="94"/>
              </w:rPr>
              <w:t>Principal Balance</w:t>
            </w:r>
          </w:p>
        </w:tc>
        <w:tc>
          <w:tcPr>
            <w:tcW w:w="100" w:type="dxa"/>
            <w:vAlign w:val="bottom"/>
            <w:tcBorders>
              <w:bottom w:val="single" w:sz="8" w:color="CCEC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44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29, 2011</w:t>
            </w:r>
          </w:p>
        </w:tc>
        <w:tc>
          <w:tcPr>
            <w:tcW w:w="220" w:type="dxa"/>
            <w:vAlign w:val="bottom"/>
            <w:shd w:val="clear" w:color="auto" w:fill="CCECFF"/>
          </w:tcPr>
          <w:p>
            <w:pPr>
              <w:spacing w:after="0"/>
              <w:rPr>
                <w:sz w:val="13"/>
                <w:szCs w:val="13"/>
                <w:color w:val="auto"/>
              </w:rPr>
            </w:pPr>
          </w:p>
        </w:tc>
        <w:tc>
          <w:tcPr>
            <w:tcW w:w="2060" w:type="dxa"/>
            <w:vAlign w:val="bottom"/>
            <w:shd w:val="clear" w:color="auto" w:fill="CCECFF"/>
          </w:tcPr>
          <w:p>
            <w:pPr>
              <w:spacing w:after="0" w:line="155" w:lineRule="exact"/>
              <w:rPr>
                <w:sz w:val="20"/>
                <w:szCs w:val="20"/>
                <w:color w:val="auto"/>
              </w:rPr>
            </w:pPr>
            <w:r>
              <w:rPr>
                <w:rFonts w:ascii="Arial" w:cs="Arial" w:eastAsia="Arial" w:hAnsi="Arial"/>
                <w:sz w:val="14"/>
                <w:szCs w:val="14"/>
                <w:color w:val="auto"/>
              </w:rPr>
              <w:t>March 1, 2021</w:t>
            </w:r>
          </w:p>
        </w:tc>
        <w:tc>
          <w:tcPr>
            <w:tcW w:w="220" w:type="dxa"/>
            <w:vAlign w:val="bottom"/>
            <w:shd w:val="clear" w:color="auto" w:fill="CCECFF"/>
          </w:tcPr>
          <w:p>
            <w:pPr>
              <w:spacing w:after="0"/>
              <w:rPr>
                <w:sz w:val="13"/>
                <w:szCs w:val="13"/>
                <w:color w:val="auto"/>
              </w:rPr>
            </w:pPr>
          </w:p>
        </w:tc>
        <w:tc>
          <w:tcPr>
            <w:tcW w:w="2360" w:type="dxa"/>
            <w:vAlign w:val="bottom"/>
            <w:gridSpan w:val="2"/>
            <w:shd w:val="clear" w:color="auto" w:fill="CCECFF"/>
          </w:tcPr>
          <w:p>
            <w:pPr>
              <w:ind w:left="1680"/>
              <w:spacing w:after="0" w:line="155" w:lineRule="exact"/>
              <w:rPr>
                <w:sz w:val="20"/>
                <w:szCs w:val="20"/>
                <w:color w:val="auto"/>
              </w:rPr>
            </w:pPr>
            <w:r>
              <w:rPr>
                <w:rFonts w:ascii="Arial" w:cs="Arial" w:eastAsia="Arial" w:hAnsi="Arial"/>
                <w:sz w:val="14"/>
                <w:szCs w:val="14"/>
                <w:color w:val="auto"/>
              </w:rPr>
              <w:t>4.37%</w:t>
            </w:r>
          </w:p>
        </w:tc>
        <w:tc>
          <w:tcPr>
            <w:tcW w:w="340" w:type="dxa"/>
            <w:vAlign w:val="bottom"/>
            <w:shd w:val="clear" w:color="auto" w:fill="CCECFF"/>
          </w:tcPr>
          <w:p>
            <w:pPr>
              <w:jc w:val="right"/>
              <w:ind w:right="229"/>
              <w:spacing w:after="0"/>
              <w:rPr>
                <w:sz w:val="20"/>
                <w:szCs w:val="20"/>
                <w:color w:val="auto"/>
              </w:rPr>
            </w:pPr>
            <w:r>
              <w:rPr>
                <w:rFonts w:ascii="Arial" w:cs="Arial" w:eastAsia="Arial" w:hAnsi="Arial"/>
                <w:sz w:val="10"/>
                <w:szCs w:val="10"/>
                <w:color w:val="auto"/>
                <w:w w:val="71"/>
              </w:rPr>
              <w:t>$</w:t>
            </w:r>
          </w:p>
        </w:tc>
        <w:tc>
          <w:tcPr>
            <w:tcW w:w="2500" w:type="dxa"/>
            <w:vAlign w:val="bottom"/>
            <w:shd w:val="clear" w:color="auto" w:fill="CCECFF"/>
          </w:tcPr>
          <w:p>
            <w:pPr>
              <w:jc w:val="right"/>
              <w:spacing w:after="0" w:line="155" w:lineRule="exact"/>
              <w:rPr>
                <w:sz w:val="20"/>
                <w:szCs w:val="20"/>
                <w:color w:val="auto"/>
              </w:rPr>
            </w:pPr>
            <w:r>
              <w:rPr>
                <w:rFonts w:ascii="Arial" w:cs="Arial" w:eastAsia="Arial" w:hAnsi="Arial"/>
                <w:sz w:val="14"/>
                <w:szCs w:val="14"/>
                <w:color w:val="auto"/>
              </w:rPr>
              <w:t>15,000,000</w:t>
            </w:r>
          </w:p>
        </w:tc>
        <w:tc>
          <w:tcPr>
            <w:tcW w:w="100" w:type="dxa"/>
            <w:vAlign w:val="bottom"/>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September 21, 2011</w:t>
            </w:r>
          </w:p>
        </w:tc>
        <w:tc>
          <w:tcPr>
            <w:tcW w:w="2280" w:type="dxa"/>
            <w:vAlign w:val="bottom"/>
            <w:gridSpan w:val="2"/>
          </w:tcPr>
          <w:p>
            <w:pPr>
              <w:spacing w:after="0"/>
              <w:rPr>
                <w:sz w:val="20"/>
                <w:szCs w:val="20"/>
                <w:color w:val="auto"/>
              </w:rPr>
            </w:pPr>
            <w:r>
              <w:rPr>
                <w:rFonts w:ascii="Arial" w:cs="Arial" w:eastAsia="Arial" w:hAnsi="Arial"/>
                <w:sz w:val="14"/>
                <w:szCs w:val="14"/>
                <w:color w:val="auto"/>
              </w:rPr>
              <w:t>September 1, 2021</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3.38</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105,000,000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23, 2016</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March 1, 2026</w:t>
            </w:r>
          </w:p>
        </w:tc>
        <w:tc>
          <w:tcPr>
            <w:tcW w:w="1960" w:type="dxa"/>
            <w:vAlign w:val="bottom"/>
            <w:shd w:val="clear" w:color="auto" w:fill="CCECFF"/>
          </w:tcPr>
          <w:p>
            <w:pPr>
              <w:ind w:left="1680"/>
              <w:spacing w:after="0"/>
              <w:rPr>
                <w:sz w:val="20"/>
                <w:szCs w:val="20"/>
                <w:color w:val="auto"/>
              </w:rPr>
            </w:pPr>
            <w:r>
              <w:rPr>
                <w:rFonts w:ascii="Arial" w:cs="Arial" w:eastAsia="Arial" w:hAnsi="Arial"/>
                <w:sz w:val="14"/>
                <w:szCs w:val="14"/>
                <w:color w:val="auto"/>
                <w:w w:val="95"/>
              </w:rPr>
              <w:t>2.86</w:t>
            </w:r>
          </w:p>
        </w:tc>
        <w:tc>
          <w:tcPr>
            <w:tcW w:w="400" w:type="dxa"/>
            <w:vAlign w:val="bottom"/>
            <w:shd w:val="clear" w:color="auto" w:fill="CCECFF"/>
          </w:tcPr>
          <w:p>
            <w:pPr>
              <w:spacing w:after="0"/>
              <w:rPr>
                <w:sz w:val="14"/>
                <w:szCs w:val="14"/>
                <w:color w:val="auto"/>
              </w:rPr>
            </w:pPr>
          </w:p>
        </w:tc>
        <w:tc>
          <w:tcPr>
            <w:tcW w:w="340" w:type="dxa"/>
            <w:vAlign w:val="bottom"/>
            <w:shd w:val="clear" w:color="auto" w:fill="CCECFF"/>
          </w:tcPr>
          <w:p>
            <w:pPr>
              <w:spacing w:after="0"/>
              <w:rPr>
                <w:sz w:val="14"/>
                <w:szCs w:val="14"/>
                <w:color w:val="auto"/>
              </w:rPr>
            </w:pPr>
          </w:p>
        </w:tc>
        <w:tc>
          <w:tcPr>
            <w:tcW w:w="25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tcPr>
          <w:p>
            <w:pPr>
              <w:spacing w:after="0"/>
              <w:rPr>
                <w:sz w:val="20"/>
                <w:szCs w:val="20"/>
                <w:color w:val="auto"/>
              </w:rPr>
            </w:pPr>
            <w:r>
              <w:rPr>
                <w:rFonts w:ascii="Arial" w:cs="Arial" w:eastAsia="Arial" w:hAnsi="Arial"/>
                <w:sz w:val="14"/>
                <w:szCs w:val="14"/>
                <w:color w:val="auto"/>
              </w:rPr>
              <w:t>September 21, 2016</w:t>
            </w:r>
          </w:p>
        </w:tc>
        <w:tc>
          <w:tcPr>
            <w:tcW w:w="2280" w:type="dxa"/>
            <w:vAlign w:val="bottom"/>
            <w:gridSpan w:val="2"/>
          </w:tcPr>
          <w:p>
            <w:pPr>
              <w:spacing w:after="0"/>
              <w:rPr>
                <w:sz w:val="20"/>
                <w:szCs w:val="20"/>
                <w:color w:val="auto"/>
              </w:rPr>
            </w:pPr>
            <w:r>
              <w:rPr>
                <w:rFonts w:ascii="Arial" w:cs="Arial" w:eastAsia="Arial" w:hAnsi="Arial"/>
                <w:sz w:val="14"/>
                <w:szCs w:val="14"/>
                <w:color w:val="auto"/>
              </w:rPr>
              <w:t>September 1, 2026</w:t>
            </w:r>
          </w:p>
        </w:tc>
        <w:tc>
          <w:tcPr>
            <w:tcW w:w="1960" w:type="dxa"/>
            <w:vAlign w:val="bottom"/>
          </w:tcPr>
          <w:p>
            <w:pPr>
              <w:ind w:left="1680"/>
              <w:spacing w:after="0"/>
              <w:rPr>
                <w:sz w:val="20"/>
                <w:szCs w:val="20"/>
                <w:color w:val="auto"/>
              </w:rPr>
            </w:pPr>
            <w:r>
              <w:rPr>
                <w:rFonts w:ascii="Arial" w:cs="Arial" w:eastAsia="Arial" w:hAnsi="Arial"/>
                <w:sz w:val="14"/>
                <w:szCs w:val="14"/>
                <w:color w:val="auto"/>
                <w:w w:val="95"/>
              </w:rPr>
              <w:t>2.41</w:t>
            </w: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jc w:val="right"/>
              <w:spacing w:after="0"/>
              <w:rPr>
                <w:sz w:val="20"/>
                <w:szCs w:val="20"/>
                <w:color w:val="auto"/>
              </w:rPr>
            </w:pPr>
            <w:r>
              <w:rPr>
                <w:rFonts w:ascii="Arial" w:cs="Arial" w:eastAsia="Arial" w:hAnsi="Arial"/>
                <w:sz w:val="14"/>
                <w:szCs w:val="14"/>
                <w:color w:val="auto"/>
              </w:rPr>
              <w:t>25,000,000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6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20, 2017</w:t>
            </w:r>
          </w:p>
        </w:tc>
        <w:tc>
          <w:tcPr>
            <w:tcW w:w="2280" w:type="dxa"/>
            <w:vAlign w:val="bottom"/>
            <w:gridSpan w:val="2"/>
            <w:shd w:val="clear" w:color="auto" w:fill="CCECFF"/>
          </w:tcPr>
          <w:p>
            <w:pPr>
              <w:spacing w:after="0"/>
              <w:rPr>
                <w:sz w:val="20"/>
                <w:szCs w:val="20"/>
                <w:color w:val="auto"/>
              </w:rPr>
            </w:pPr>
            <w:r>
              <w:rPr>
                <w:rFonts w:ascii="Arial" w:cs="Arial" w:eastAsia="Arial" w:hAnsi="Arial"/>
                <w:sz w:val="14"/>
                <w:szCs w:val="14"/>
                <w:color w:val="auto"/>
              </w:rPr>
              <w:t>September 1, 2027</w:t>
            </w:r>
          </w:p>
        </w:tc>
        <w:tc>
          <w:tcPr>
            <w:tcW w:w="1960" w:type="dxa"/>
            <w:vAlign w:val="bottom"/>
            <w:tcBorders>
              <w:bottom w:val="single" w:sz="8" w:color="auto"/>
            </w:tcBorders>
            <w:shd w:val="clear" w:color="auto" w:fill="CCECFF"/>
          </w:tcPr>
          <w:p>
            <w:pPr>
              <w:ind w:left="1680"/>
              <w:spacing w:after="0"/>
              <w:rPr>
                <w:sz w:val="20"/>
                <w:szCs w:val="20"/>
                <w:color w:val="auto"/>
              </w:rPr>
            </w:pPr>
            <w:r>
              <w:rPr>
                <w:rFonts w:ascii="Arial" w:cs="Arial" w:eastAsia="Arial" w:hAnsi="Arial"/>
                <w:sz w:val="14"/>
                <w:szCs w:val="14"/>
                <w:color w:val="auto"/>
                <w:w w:val="95"/>
              </w:rPr>
              <w:t>2.87</w:t>
            </w:r>
          </w:p>
        </w:tc>
        <w:tc>
          <w:tcPr>
            <w:tcW w:w="400" w:type="dxa"/>
            <w:vAlign w:val="bottom"/>
            <w:shd w:val="clear" w:color="auto" w:fill="CCECFF"/>
          </w:tcPr>
          <w:p>
            <w:pPr>
              <w:spacing w:after="0"/>
              <w:rPr>
                <w:sz w:val="14"/>
                <w:szCs w:val="14"/>
                <w:color w:val="auto"/>
              </w:rPr>
            </w:pPr>
          </w:p>
        </w:tc>
        <w:tc>
          <w:tcPr>
            <w:tcW w:w="340" w:type="dxa"/>
            <w:vAlign w:val="bottom"/>
            <w:tcBorders>
              <w:bottom w:val="single" w:sz="8" w:color="auto"/>
            </w:tcBorders>
            <w:shd w:val="clear" w:color="auto" w:fill="CCECFF"/>
          </w:tcPr>
          <w:p>
            <w:pPr>
              <w:spacing w:after="0"/>
              <w:rPr>
                <w:sz w:val="14"/>
                <w:szCs w:val="14"/>
                <w:color w:val="auto"/>
              </w:rPr>
            </w:pPr>
          </w:p>
        </w:tc>
        <w:tc>
          <w:tcPr>
            <w:tcW w:w="25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31,500,000</w:t>
            </w:r>
          </w:p>
        </w:tc>
        <w:tc>
          <w:tcPr>
            <w:tcW w:w="10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660" w:type="dxa"/>
            <w:vAlign w:val="bottom"/>
            <w:gridSpan w:val="2"/>
          </w:tcPr>
          <w:p>
            <w:pPr>
              <w:spacing w:after="0" w:line="155" w:lineRule="exact"/>
              <w:rPr>
                <w:sz w:val="20"/>
                <w:szCs w:val="20"/>
                <w:color w:val="auto"/>
              </w:rPr>
            </w:pPr>
            <w:r>
              <w:rPr>
                <w:rFonts w:ascii="Arial" w:cs="Arial" w:eastAsia="Arial" w:hAnsi="Arial"/>
                <w:sz w:val="14"/>
                <w:szCs w:val="14"/>
                <w:color w:val="auto"/>
              </w:rPr>
              <w:t>Weighted Average Rate / Total</w:t>
            </w:r>
          </w:p>
        </w:tc>
        <w:tc>
          <w:tcPr>
            <w:tcW w:w="2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60" w:type="dxa"/>
            <w:vAlign w:val="bottom"/>
            <w:gridSpan w:val="2"/>
          </w:tcPr>
          <w:p>
            <w:pPr>
              <w:ind w:left="1680"/>
              <w:spacing w:after="0" w:line="155" w:lineRule="exact"/>
              <w:rPr>
                <w:sz w:val="20"/>
                <w:szCs w:val="20"/>
                <w:color w:val="auto"/>
              </w:rPr>
            </w:pPr>
            <w:r>
              <w:rPr>
                <w:rFonts w:ascii="Arial" w:cs="Arial" w:eastAsia="Arial" w:hAnsi="Arial"/>
                <w:sz w:val="14"/>
                <w:szCs w:val="14"/>
                <w:color w:val="auto"/>
              </w:rPr>
              <w:t>3.19%</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2500" w:type="dxa"/>
            <w:vAlign w:val="bottom"/>
          </w:tcPr>
          <w:p>
            <w:pPr>
              <w:jc w:val="right"/>
              <w:spacing w:after="0" w:line="155" w:lineRule="exact"/>
              <w:rPr>
                <w:sz w:val="20"/>
                <w:szCs w:val="20"/>
                <w:color w:val="auto"/>
              </w:rPr>
            </w:pPr>
            <w:r>
              <w:rPr>
                <w:rFonts w:ascii="Arial" w:cs="Arial" w:eastAsia="Arial" w:hAnsi="Arial"/>
                <w:sz w:val="14"/>
                <w:szCs w:val="14"/>
                <w:color w:val="auto"/>
              </w:rPr>
              <w:t>199,000,000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2"/>
          <w:szCs w:val="12"/>
          <w:color w:val="auto"/>
        </w:rPr>
      </w:pPr>
      <w:r>
        <w:rPr>
          <w:rFonts w:ascii="Arial" w:cs="Arial" w:eastAsia="Arial" w:hAnsi="Arial"/>
          <w:sz w:val="14"/>
          <w:szCs w:val="14"/>
          <w:color w:val="auto"/>
        </w:rPr>
        <w:t>Excluding 3.43% of upfront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13455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03" w:lineRule="exact"/>
        <w:rPr>
          <w:sz w:val="20"/>
          <w:szCs w:val="20"/>
          <w:color w:val="auto"/>
        </w:rPr>
      </w:pPr>
    </w:p>
    <w:p>
      <w:pPr>
        <w:ind w:right="220" w:firstLine="434"/>
        <w:spacing w:after="0" w:line="231" w:lineRule="auto"/>
        <w:rPr>
          <w:sz w:val="20"/>
          <w:szCs w:val="20"/>
          <w:color w:val="auto"/>
        </w:rPr>
      </w:pPr>
      <w:r>
        <w:rPr>
          <w:rFonts w:ascii="Arial" w:cs="Arial" w:eastAsia="Arial" w:hAnsi="Arial"/>
          <w:sz w:val="14"/>
          <w:szCs w:val="14"/>
          <w:color w:val="auto"/>
        </w:rPr>
        <w:t>The SBIC program is designed to stimulate the flow of capital into eligible businesses. Under SBA regulations, our SBIC Funds are subject to regulatory requirements, including making investments in SBA eligible businesses, investing at least 25% of regulatory capital in eligible smaller businesses, as defined under the 1958 Act, placing certain limitations on the financing terms of investments, prohibiting investment in certain industries and requiring capitalization thresholds that limit distributions to us, and are subject to periodic audits and examinations of their financial statements that are prepared on a basis of accounting other than GAAP (for example, fair value, as defined under ASC 820, is not required to be used for assets or liabilities for such compliance reporting). As of June 30, 2018, our SBIC Funds were in compliance with their regulatory requirements.</w:t>
      </w:r>
    </w:p>
    <w:p>
      <w:pPr>
        <w:spacing w:after="0" w:line="116" w:lineRule="exact"/>
        <w:rPr>
          <w:sz w:val="20"/>
          <w:szCs w:val="20"/>
          <w:color w:val="auto"/>
        </w:rPr>
      </w:pPr>
    </w:p>
    <w:p>
      <w:pPr>
        <w:ind w:right="160" w:firstLine="434"/>
        <w:spacing w:after="0" w:line="283" w:lineRule="auto"/>
        <w:rPr>
          <w:sz w:val="20"/>
          <w:szCs w:val="20"/>
          <w:color w:val="auto"/>
        </w:rPr>
      </w:pPr>
      <w:r>
        <w:rPr>
          <w:rFonts w:ascii="Arial" w:cs="Arial" w:eastAsia="Arial" w:hAnsi="Arial"/>
          <w:sz w:val="12"/>
          <w:szCs w:val="12"/>
          <w:color w:val="auto"/>
        </w:rPr>
        <w:t>In accordance with the 1940 Act, with certain limited exceptions, PennantPark Investment is only allowed to borrow amounts such that our required 200% asset coverage ratio is met after such borrowing. As of June 30, 2018 and September 30, 2017, we excluded the principal amounts of our SBA debentures from our asset coverage ratio pursuant to SEC exemptive relief. In 2011, we received exemptive relief from the SEC allowing us to modify the asset coverage ratio requirement to exclude the SBA debentures from the calculation. Accordingly, our ratio of total assets on a consolidated basis to outstanding indebtedness may be less than 200% which, while providing increased investment flexibility, also increases our exposure to risks associated with leverage.</w:t>
      </w:r>
    </w:p>
    <w:p>
      <w:pPr>
        <w:spacing w:after="0" w:line="92" w:lineRule="exact"/>
        <w:rPr>
          <w:sz w:val="20"/>
          <w:szCs w:val="20"/>
          <w:color w:val="auto"/>
        </w:rPr>
      </w:pPr>
    </w:p>
    <w:p>
      <w:pPr>
        <w:ind w:right="320" w:firstLine="434"/>
        <w:spacing w:after="0" w:line="253" w:lineRule="auto"/>
        <w:rPr>
          <w:sz w:val="20"/>
          <w:szCs w:val="20"/>
          <w:color w:val="auto"/>
        </w:rPr>
      </w:pPr>
      <w:r>
        <w:rPr>
          <w:rFonts w:ascii="Arial" w:cs="Arial" w:eastAsia="Arial" w:hAnsi="Arial"/>
          <w:sz w:val="14"/>
          <w:szCs w:val="14"/>
          <w:color w:val="auto"/>
        </w:rPr>
        <w:t>As of June 30, 2018 and September 30, 2017, we had cash and cash equivalents of $107.1 million and $38.2 million at fair value, respectively, available for investing and general corporate purposes. We believe our liquidity and capital resources are sufficient to take advantage of market opportunities.</w:t>
      </w:r>
    </w:p>
    <w:p>
      <w:pPr>
        <w:spacing w:after="0" w:line="106" w:lineRule="exact"/>
        <w:rPr>
          <w:sz w:val="20"/>
          <w:szCs w:val="20"/>
          <w:color w:val="auto"/>
        </w:rPr>
      </w:pPr>
    </w:p>
    <w:p>
      <w:pPr>
        <w:ind w:right="100" w:firstLine="434"/>
        <w:spacing w:after="0" w:line="238" w:lineRule="auto"/>
        <w:rPr>
          <w:sz w:val="20"/>
          <w:szCs w:val="20"/>
          <w:color w:val="auto"/>
        </w:rPr>
      </w:pPr>
      <w:r>
        <w:rPr>
          <w:rFonts w:ascii="Arial" w:cs="Arial" w:eastAsia="Arial" w:hAnsi="Arial"/>
          <w:sz w:val="14"/>
          <w:szCs w:val="14"/>
          <w:color w:val="auto"/>
        </w:rPr>
        <w:t>Our operating activities provided cash of $173.7 million for the nine months ended June 30, 2018, and our financing activities used cash of $104.7 million for the same period. Our operating activities provided cash from sales and repayments on our investments and our financing activities used cash primarily to pay distributions to stockholders and net repayments under the Credit Facility and SBA debentures.</w:t>
      </w:r>
    </w:p>
    <w:p>
      <w:pPr>
        <w:spacing w:after="0" w:line="115" w:lineRule="exact"/>
        <w:rPr>
          <w:sz w:val="20"/>
          <w:szCs w:val="20"/>
          <w:color w:val="auto"/>
        </w:rPr>
      </w:pPr>
    </w:p>
    <w:p>
      <w:pPr>
        <w:ind w:right="360" w:firstLine="434"/>
        <w:spacing w:after="0" w:line="253" w:lineRule="auto"/>
        <w:rPr>
          <w:sz w:val="20"/>
          <w:szCs w:val="20"/>
          <w:color w:val="auto"/>
        </w:rPr>
      </w:pPr>
      <w:r>
        <w:rPr>
          <w:rFonts w:ascii="Arial" w:cs="Arial" w:eastAsia="Arial" w:hAnsi="Arial"/>
          <w:sz w:val="14"/>
          <w:szCs w:val="14"/>
          <w:color w:val="auto"/>
        </w:rPr>
        <w:t>Our operating activities provided cash of $92.2 million for the nine months ended June 30, 2017, and our financing activities used cash of $65.2 million for the same period. Our operating activities provided cash from sales and repayments on our investments and our financing activities used cash primarily to redeem our 2025 Notes.</w:t>
      </w:r>
    </w:p>
    <w:p>
      <w:pPr>
        <w:spacing w:after="0" w:line="10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36" w:lineRule="exact"/>
        <w:rPr>
          <w:sz w:val="20"/>
          <w:szCs w:val="20"/>
          <w:color w:val="auto"/>
        </w:rPr>
      </w:pPr>
    </w:p>
    <w:p>
      <w:pPr>
        <w:ind w:right="560" w:firstLine="434"/>
        <w:spacing w:after="0" w:line="253" w:lineRule="auto"/>
        <w:rPr>
          <w:sz w:val="20"/>
          <w:szCs w:val="20"/>
          <w:color w:val="auto"/>
        </w:rPr>
      </w:pPr>
      <w:r>
        <w:rPr>
          <w:rFonts w:ascii="Arial" w:cs="Arial" w:eastAsia="Arial" w:hAnsi="Arial"/>
          <w:sz w:val="14"/>
          <w:szCs w:val="14"/>
          <w:color w:val="auto"/>
        </w:rPr>
        <w:t>A summary of our significant contractual payment obligations at cost as of June 30, 2018, including borrowings under our various debt facilities and other contractual obligations, is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80" w:type="dxa"/>
            <w:vAlign w:val="bottom"/>
            <w:gridSpan w:val="6"/>
          </w:tcPr>
          <w:p>
            <w:pPr>
              <w:jc w:val="right"/>
              <w:spacing w:after="0"/>
              <w:rPr>
                <w:sz w:val="20"/>
                <w:szCs w:val="20"/>
                <w:color w:val="auto"/>
              </w:rPr>
            </w:pPr>
            <w:r>
              <w:rPr>
                <w:rFonts w:ascii="Arial" w:cs="Arial" w:eastAsia="Arial" w:hAnsi="Arial"/>
                <w:sz w:val="14"/>
                <w:szCs w:val="14"/>
                <w:b w:val="1"/>
                <w:bCs w:val="1"/>
                <w:color w:val="auto"/>
              </w:rPr>
              <w:t>Payments due by period (in millions)</w:t>
            </w: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60" w:type="dxa"/>
            <w:vAlign w:val="bottom"/>
          </w:tcPr>
          <w:p>
            <w:pPr>
              <w:jc w:val="right"/>
              <w:ind w:right="8"/>
              <w:spacing w:after="0"/>
              <w:rPr>
                <w:sz w:val="20"/>
                <w:szCs w:val="20"/>
                <w:color w:val="auto"/>
              </w:rPr>
            </w:pPr>
            <w:r>
              <w:rPr>
                <w:rFonts w:ascii="Arial" w:cs="Arial" w:eastAsia="Arial" w:hAnsi="Arial"/>
                <w:sz w:val="14"/>
                <w:szCs w:val="14"/>
                <w:b w:val="1"/>
                <w:bCs w:val="1"/>
                <w:color w:val="auto"/>
              </w:rPr>
              <w:t>Total</w:t>
            </w: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ind w:right="68"/>
              <w:spacing w:after="0"/>
              <w:rPr>
                <w:sz w:val="20"/>
                <w:szCs w:val="20"/>
                <w:color w:val="auto"/>
              </w:rPr>
            </w:pPr>
            <w:r>
              <w:rPr>
                <w:rFonts w:ascii="Arial" w:cs="Arial" w:eastAsia="Arial" w:hAnsi="Arial"/>
                <w:sz w:val="14"/>
                <w:szCs w:val="14"/>
                <w:b w:val="1"/>
                <w:bCs w:val="1"/>
                <w:color w:val="auto"/>
                <w:w w:val="92"/>
              </w:rPr>
              <w:t>Less than 1 year</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ind w:right="288"/>
              <w:spacing w:after="0"/>
              <w:rPr>
                <w:sz w:val="20"/>
                <w:szCs w:val="20"/>
                <w:color w:val="auto"/>
              </w:rPr>
            </w:pPr>
            <w:r>
              <w:rPr>
                <w:rFonts w:ascii="Arial" w:cs="Arial" w:eastAsia="Arial" w:hAnsi="Arial"/>
                <w:sz w:val="14"/>
                <w:szCs w:val="14"/>
                <w:b w:val="1"/>
                <w:bCs w:val="1"/>
                <w:color w:val="auto"/>
              </w:rPr>
              <w:t>1-3 years</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3-5 years</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More than 5 years</w:t>
            </w:r>
          </w:p>
        </w:tc>
      </w:tr>
      <w:tr>
        <w:trPr>
          <w:trHeight w:val="155"/>
        </w:trPr>
        <w:tc>
          <w:tcPr>
            <w:tcW w:w="3680" w:type="dxa"/>
            <w:vAlign w:val="bottom"/>
            <w:tcBorders>
              <w:top w:val="single" w:sz="8" w:color="CCECFF"/>
            </w:tcBorders>
            <w:gridSpan w:val="3"/>
            <w:shd w:val="clear" w:color="auto" w:fill="CCECFF"/>
          </w:tcPr>
          <w:p>
            <w:pPr>
              <w:spacing w:after="0" w:line="155" w:lineRule="exact"/>
              <w:rPr>
                <w:sz w:val="20"/>
                <w:szCs w:val="20"/>
                <w:color w:val="auto"/>
              </w:rPr>
            </w:pPr>
            <w:r>
              <w:rPr>
                <w:rFonts w:ascii="Arial" w:cs="Arial" w:eastAsia="Arial" w:hAnsi="Arial"/>
                <w:sz w:val="14"/>
                <w:szCs w:val="14"/>
                <w:color w:val="auto"/>
              </w:rPr>
              <w:t>Credit Facility</w:t>
            </w:r>
          </w:p>
        </w:tc>
        <w:tc>
          <w:tcPr>
            <w:tcW w:w="860" w:type="dxa"/>
            <w:vAlign w:val="bottom"/>
            <w:tcBorders>
              <w:top w:val="single" w:sz="8" w:color="auto"/>
            </w:tcBorders>
            <w:shd w:val="clear" w:color="auto" w:fill="CCECFF"/>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41.5</w:t>
            </w:r>
          </w:p>
        </w:tc>
        <w:tc>
          <w:tcPr>
            <w:tcW w:w="260" w:type="dxa"/>
            <w:vAlign w:val="bottom"/>
            <w:tcBorders>
              <w:top w:val="single" w:sz="8" w:color="CCECFF"/>
            </w:tcBorders>
            <w:shd w:val="clear" w:color="auto" w:fill="CCECFF"/>
          </w:tcPr>
          <w:p>
            <w:pPr>
              <w:spacing w:after="0"/>
              <w:rPr>
                <w:sz w:val="13"/>
                <w:szCs w:val="13"/>
                <w:color w:val="auto"/>
              </w:rPr>
            </w:pPr>
          </w:p>
        </w:tc>
        <w:tc>
          <w:tcPr>
            <w:tcW w:w="1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220" w:type="dxa"/>
            <w:vAlign w:val="bottom"/>
            <w:tcBorders>
              <w:top w:val="single" w:sz="8" w:color="auto"/>
            </w:tcBorders>
            <w:shd w:val="clear" w:color="auto" w:fill="CCEC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Borders>
              <w:top w:val="single" w:sz="8" w:color="CCECFF"/>
            </w:tcBorders>
            <w:shd w:val="clear" w:color="auto" w:fill="CCECFF"/>
          </w:tcPr>
          <w:p>
            <w:pPr>
              <w:spacing w:after="0"/>
              <w:rPr>
                <w:sz w:val="13"/>
                <w:szCs w:val="13"/>
                <w:color w:val="auto"/>
              </w:rPr>
            </w:pPr>
          </w:p>
        </w:tc>
        <w:tc>
          <w:tcPr>
            <w:tcW w:w="300" w:type="dxa"/>
            <w:vAlign w:val="bottom"/>
            <w:tcBorders>
              <w:top w:val="single" w:sz="8" w:color="auto"/>
            </w:tcBorders>
            <w:shd w:val="clear" w:color="auto" w:fill="CCECFF"/>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41.5</w:t>
            </w:r>
          </w:p>
        </w:tc>
        <w:tc>
          <w:tcPr>
            <w:tcW w:w="260" w:type="dxa"/>
            <w:vAlign w:val="bottom"/>
            <w:tcBorders>
              <w:top w:val="single" w:sz="8" w:color="CCECFF"/>
            </w:tcBorders>
            <w:shd w:val="clear" w:color="auto" w:fill="CCECFF"/>
          </w:tcPr>
          <w:p>
            <w:pPr>
              <w:spacing w:after="0"/>
              <w:rPr>
                <w:sz w:val="13"/>
                <w:szCs w:val="13"/>
                <w:color w:val="auto"/>
              </w:rPr>
            </w:pPr>
          </w:p>
        </w:tc>
        <w:tc>
          <w:tcPr>
            <w:tcW w:w="20" w:type="dxa"/>
            <w:vAlign w:val="bottom"/>
            <w:tcBorders>
              <w:top w:val="single" w:sz="8" w:color="CCECFF"/>
            </w:tcBorders>
            <w:shd w:val="clear" w:color="auto" w:fill="CCECFF"/>
          </w:tcPr>
          <w:p>
            <w:pPr>
              <w:spacing w:after="0"/>
              <w:rPr>
                <w:sz w:val="13"/>
                <w:szCs w:val="13"/>
                <w:color w:val="auto"/>
              </w:rPr>
            </w:pPr>
          </w:p>
        </w:tc>
        <w:tc>
          <w:tcPr>
            <w:tcW w:w="60" w:type="dxa"/>
            <w:vAlign w:val="bottom"/>
            <w:tcBorders>
              <w:top w:val="single" w:sz="8" w:color="auto"/>
            </w:tcBorders>
            <w:shd w:val="clear" w:color="auto" w:fill="CCECFF"/>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top w:val="single" w:sz="8" w:color="CCECFF"/>
            </w:tcBorders>
            <w:shd w:val="clear" w:color="auto" w:fill="CCECFF"/>
          </w:tcPr>
          <w:p>
            <w:pPr>
              <w:spacing w:after="0"/>
              <w:rPr>
                <w:sz w:val="13"/>
                <w:szCs w:val="13"/>
                <w:color w:val="auto"/>
              </w:rPr>
            </w:pPr>
          </w:p>
        </w:tc>
      </w:tr>
      <w:tr>
        <w:trPr>
          <w:trHeight w:val="162"/>
        </w:trPr>
        <w:tc>
          <w:tcPr>
            <w:tcW w:w="3680" w:type="dxa"/>
            <w:vAlign w:val="bottom"/>
            <w:gridSpan w:val="3"/>
          </w:tcPr>
          <w:p>
            <w:pPr>
              <w:spacing w:after="0"/>
              <w:rPr>
                <w:sz w:val="20"/>
                <w:szCs w:val="20"/>
                <w:color w:val="auto"/>
              </w:rPr>
            </w:pPr>
            <w:r>
              <w:rPr>
                <w:rFonts w:ascii="Arial" w:cs="Arial" w:eastAsia="Arial" w:hAnsi="Arial"/>
                <w:sz w:val="14"/>
                <w:szCs w:val="14"/>
                <w:color w:val="auto"/>
              </w:rPr>
              <w:t>SBA debentures</w:t>
            </w:r>
          </w:p>
        </w:tc>
        <w:tc>
          <w:tcPr>
            <w:tcW w:w="86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180.0</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30.0</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150.0</w:t>
            </w:r>
          </w:p>
        </w:tc>
        <w:tc>
          <w:tcPr>
            <w:tcW w:w="120" w:type="dxa"/>
            <w:vAlign w:val="bottom"/>
          </w:tcPr>
          <w:p>
            <w:pPr>
              <w:spacing w:after="0"/>
              <w:rPr>
                <w:sz w:val="14"/>
                <w:szCs w:val="14"/>
                <w:color w:val="auto"/>
              </w:rPr>
            </w:pPr>
          </w:p>
        </w:tc>
      </w:tr>
      <w:tr>
        <w:trPr>
          <w:trHeight w:val="162"/>
        </w:trPr>
        <w:tc>
          <w:tcPr>
            <w:tcW w:w="3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2019 Notes</w:t>
            </w:r>
          </w:p>
        </w:tc>
        <w:tc>
          <w:tcPr>
            <w:tcW w:w="860" w:type="dxa"/>
            <w:vAlign w:val="bottom"/>
            <w:shd w:val="clear" w:color="auto" w:fill="CCECFF"/>
          </w:tcPr>
          <w:p>
            <w:pPr>
              <w:spacing w:after="0"/>
              <w:rPr>
                <w:sz w:val="14"/>
                <w:szCs w:val="14"/>
                <w:color w:val="auto"/>
              </w:rPr>
            </w:pPr>
          </w:p>
        </w:tc>
        <w:tc>
          <w:tcPr>
            <w:tcW w:w="4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100" w:type="dxa"/>
            <w:vAlign w:val="bottom"/>
            <w:shd w:val="clear" w:color="auto" w:fill="CCECFF"/>
          </w:tcPr>
          <w:p>
            <w:pPr>
              <w:spacing w:after="0"/>
              <w:rPr>
                <w:sz w:val="14"/>
                <w:szCs w:val="14"/>
                <w:color w:val="auto"/>
              </w:rPr>
            </w:pPr>
          </w:p>
        </w:tc>
        <w:tc>
          <w:tcPr>
            <w:tcW w:w="11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220" w:type="dxa"/>
            <w:vAlign w:val="bottom"/>
            <w:shd w:val="clear" w:color="auto" w:fill="CCECFF"/>
          </w:tcPr>
          <w:p>
            <w:pPr>
              <w:spacing w:after="0"/>
              <w:rPr>
                <w:sz w:val="14"/>
                <w:szCs w:val="14"/>
                <w:color w:val="auto"/>
              </w:rPr>
            </w:pPr>
          </w:p>
        </w:tc>
        <w:tc>
          <w:tcPr>
            <w:tcW w:w="106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250.0</w:t>
            </w:r>
          </w:p>
        </w:tc>
        <w:tc>
          <w:tcPr>
            <w:tcW w:w="260" w:type="dxa"/>
            <w:vAlign w:val="bottom"/>
            <w:shd w:val="clear" w:color="auto" w:fill="CCECFF"/>
          </w:tcPr>
          <w:p>
            <w:pPr>
              <w:spacing w:after="0"/>
              <w:rPr>
                <w:sz w:val="14"/>
                <w:szCs w:val="14"/>
                <w:color w:val="auto"/>
              </w:rPr>
            </w:pPr>
          </w:p>
        </w:tc>
        <w:tc>
          <w:tcPr>
            <w:tcW w:w="300" w:type="dxa"/>
            <w:vAlign w:val="bottom"/>
            <w:shd w:val="clear" w:color="auto" w:fill="CCECFF"/>
          </w:tcPr>
          <w:p>
            <w:pPr>
              <w:spacing w:after="0"/>
              <w:rPr>
                <w:sz w:val="14"/>
                <w:szCs w:val="14"/>
                <w:color w:val="auto"/>
              </w:rPr>
            </w:pPr>
          </w:p>
        </w:tc>
        <w:tc>
          <w:tcPr>
            <w:tcW w:w="1240" w:type="dxa"/>
            <w:vAlign w:val="bottom"/>
            <w:gridSpan w:val="2"/>
            <w:shd w:val="clear" w:color="auto" w:fill="CCECFF"/>
          </w:tcPr>
          <w:p>
            <w:pPr>
              <w:jc w:val="right"/>
              <w:ind w:right="2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CFF"/>
          </w:tcPr>
          <w:p>
            <w:pPr>
              <w:spacing w:after="0"/>
              <w:rPr>
                <w:sz w:val="14"/>
                <w:szCs w:val="14"/>
                <w:color w:val="auto"/>
              </w:rPr>
            </w:pPr>
          </w:p>
        </w:tc>
        <w:tc>
          <w:tcPr>
            <w:tcW w:w="60" w:type="dxa"/>
            <w:vAlign w:val="bottom"/>
            <w:shd w:val="clear" w:color="auto" w:fill="CCECFF"/>
          </w:tcPr>
          <w:p>
            <w:pPr>
              <w:spacing w:after="0"/>
              <w:rPr>
                <w:sz w:val="14"/>
                <w:szCs w:val="14"/>
                <w:color w:val="auto"/>
              </w:rPr>
            </w:pPr>
          </w:p>
        </w:tc>
        <w:tc>
          <w:tcPr>
            <w:tcW w:w="1340" w:type="dxa"/>
            <w:vAlign w:val="bottom"/>
            <w:gridSpan w:val="2"/>
            <w:shd w:val="clear" w:color="auto" w:fill="CCECFF"/>
          </w:tcPr>
          <w:p>
            <w:pPr>
              <w:jc w:val="right"/>
              <w:ind w:right="140"/>
              <w:spacing w:after="0"/>
              <w:rPr>
                <w:sz w:val="20"/>
                <w:szCs w:val="20"/>
                <w:color w:val="auto"/>
              </w:rPr>
            </w:pPr>
            <w:r>
              <w:rPr>
                <w:rFonts w:ascii="Arial" w:cs="Arial" w:eastAsia="Arial" w:hAnsi="Arial"/>
                <w:sz w:val="14"/>
                <w:szCs w:val="14"/>
                <w:color w:val="auto"/>
              </w:rPr>
              <w:t>—</w:t>
            </w:r>
          </w:p>
        </w:tc>
      </w:tr>
      <w:tr>
        <w:trPr>
          <w:trHeight w:val="155"/>
        </w:trPr>
        <w:tc>
          <w:tcPr>
            <w:tcW w:w="3680" w:type="dxa"/>
            <w:vAlign w:val="bottom"/>
            <w:gridSpan w:val="3"/>
          </w:tcPr>
          <w:p>
            <w:pPr>
              <w:spacing w:after="0" w:line="155" w:lineRule="exact"/>
              <w:rPr>
                <w:sz w:val="20"/>
                <w:szCs w:val="20"/>
                <w:color w:val="auto"/>
              </w:rPr>
            </w:pPr>
            <w:r>
              <w:rPr>
                <w:rFonts w:ascii="Arial" w:cs="Arial" w:eastAsia="Arial" w:hAnsi="Arial"/>
                <w:sz w:val="14"/>
                <w:szCs w:val="14"/>
                <w:color w:val="auto"/>
              </w:rPr>
              <w:t xml:space="preserve">Total debt outstanding </w:t>
            </w:r>
            <w:r>
              <w:rPr>
                <w:rFonts w:ascii="Arial" w:cs="Arial" w:eastAsia="Arial" w:hAnsi="Arial"/>
                <w:sz w:val="12"/>
                <w:szCs w:val="12"/>
                <w:color w:val="auto"/>
              </w:rPr>
              <w:t>(1)</w:t>
            </w:r>
          </w:p>
        </w:tc>
        <w:tc>
          <w:tcPr>
            <w:tcW w:w="8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471.5</w:t>
            </w:r>
          </w:p>
        </w:tc>
        <w:tc>
          <w:tcPr>
            <w:tcW w:w="2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250.0</w:t>
            </w:r>
          </w:p>
        </w:tc>
        <w:tc>
          <w:tcPr>
            <w:tcW w:w="26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71.5</w:t>
            </w: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150.0</w:t>
            </w:r>
          </w:p>
        </w:tc>
        <w:tc>
          <w:tcPr>
            <w:tcW w:w="120" w:type="dxa"/>
            <w:vAlign w:val="bottom"/>
          </w:tcPr>
          <w:p>
            <w:pPr>
              <w:spacing w:after="0"/>
              <w:rPr>
                <w:sz w:val="13"/>
                <w:szCs w:val="13"/>
                <w:color w:val="auto"/>
              </w:rPr>
            </w:pPr>
          </w:p>
        </w:tc>
      </w:tr>
      <w:tr>
        <w:trPr>
          <w:trHeight w:val="162"/>
        </w:trPr>
        <w:tc>
          <w:tcPr>
            <w:tcW w:w="3680" w:type="dxa"/>
            <w:vAlign w:val="bottom"/>
            <w:gridSpan w:val="3"/>
            <w:shd w:val="clear" w:color="auto" w:fill="CCECFF"/>
          </w:tcPr>
          <w:p>
            <w:pPr>
              <w:spacing w:after="0"/>
              <w:rPr>
                <w:sz w:val="20"/>
                <w:szCs w:val="20"/>
                <w:color w:val="auto"/>
              </w:rPr>
            </w:pPr>
            <w:r>
              <w:rPr>
                <w:rFonts w:ascii="Arial" w:cs="Arial" w:eastAsia="Arial" w:hAnsi="Arial"/>
                <w:sz w:val="14"/>
                <w:szCs w:val="14"/>
                <w:color w:val="auto"/>
              </w:rPr>
              <w:t xml:space="preserve">Unfunded investments </w:t>
            </w:r>
            <w:r>
              <w:rPr>
                <w:rFonts w:ascii="Arial" w:cs="Arial" w:eastAsia="Arial" w:hAnsi="Arial"/>
                <w:sz w:val="12"/>
                <w:szCs w:val="12"/>
                <w:color w:val="auto"/>
              </w:rPr>
              <w:t>(2)</w:t>
            </w:r>
          </w:p>
        </w:tc>
        <w:tc>
          <w:tcPr>
            <w:tcW w:w="860" w:type="dxa"/>
            <w:vAlign w:val="bottom"/>
            <w:tcBorders>
              <w:bottom w:val="single" w:sz="8" w:color="auto"/>
            </w:tcBorders>
            <w:shd w:val="clear" w:color="auto" w:fill="CCECFF"/>
          </w:tcPr>
          <w:p>
            <w:pPr>
              <w:spacing w:after="0"/>
              <w:rPr>
                <w:sz w:val="14"/>
                <w:szCs w:val="14"/>
                <w:color w:val="auto"/>
              </w:rPr>
            </w:pPr>
          </w:p>
        </w:tc>
        <w:tc>
          <w:tcPr>
            <w:tcW w:w="40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64.5</w:t>
            </w:r>
          </w:p>
        </w:tc>
        <w:tc>
          <w:tcPr>
            <w:tcW w:w="260" w:type="dxa"/>
            <w:vAlign w:val="bottom"/>
            <w:shd w:val="clear" w:color="auto" w:fill="CCECFF"/>
          </w:tcPr>
          <w:p>
            <w:pPr>
              <w:spacing w:after="0"/>
              <w:rPr>
                <w:sz w:val="14"/>
                <w:szCs w:val="14"/>
                <w:color w:val="auto"/>
              </w:rPr>
            </w:pPr>
          </w:p>
        </w:tc>
        <w:tc>
          <w:tcPr>
            <w:tcW w:w="100" w:type="dxa"/>
            <w:vAlign w:val="bottom"/>
            <w:tcBorders>
              <w:bottom w:val="single" w:sz="8" w:color="auto"/>
            </w:tcBorders>
            <w:shd w:val="clear" w:color="auto" w:fill="CCECFF"/>
          </w:tcPr>
          <w:p>
            <w:pPr>
              <w:spacing w:after="0"/>
              <w:rPr>
                <w:sz w:val="14"/>
                <w:szCs w:val="14"/>
                <w:color w:val="auto"/>
              </w:rPr>
            </w:pPr>
          </w:p>
        </w:tc>
        <w:tc>
          <w:tcPr>
            <w:tcW w:w="11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1.9</w:t>
            </w:r>
          </w:p>
        </w:tc>
        <w:tc>
          <w:tcPr>
            <w:tcW w:w="260" w:type="dxa"/>
            <w:vAlign w:val="bottom"/>
            <w:shd w:val="clear" w:color="auto" w:fill="CCECFF"/>
          </w:tcPr>
          <w:p>
            <w:pPr>
              <w:spacing w:after="0"/>
              <w:rPr>
                <w:sz w:val="14"/>
                <w:szCs w:val="14"/>
                <w:color w:val="auto"/>
              </w:rPr>
            </w:pPr>
          </w:p>
        </w:tc>
        <w:tc>
          <w:tcPr>
            <w:tcW w:w="220" w:type="dxa"/>
            <w:vAlign w:val="bottom"/>
            <w:tcBorders>
              <w:bottom w:val="single" w:sz="8" w:color="auto"/>
            </w:tcBorders>
            <w:shd w:val="clear" w:color="auto" w:fill="CCECFF"/>
          </w:tcPr>
          <w:p>
            <w:pPr>
              <w:spacing w:after="0"/>
              <w:rPr>
                <w:sz w:val="14"/>
                <w:szCs w:val="14"/>
                <w:color w:val="auto"/>
              </w:rPr>
            </w:pPr>
          </w:p>
        </w:tc>
        <w:tc>
          <w:tcPr>
            <w:tcW w:w="106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CFF"/>
          </w:tcPr>
          <w:p>
            <w:pPr>
              <w:spacing w:after="0"/>
              <w:rPr>
                <w:sz w:val="14"/>
                <w:szCs w:val="14"/>
                <w:color w:val="auto"/>
              </w:rPr>
            </w:pPr>
          </w:p>
        </w:tc>
        <w:tc>
          <w:tcPr>
            <w:tcW w:w="300" w:type="dxa"/>
            <w:vAlign w:val="bottom"/>
            <w:tcBorders>
              <w:bottom w:val="single" w:sz="8" w:color="auto"/>
            </w:tcBorders>
            <w:shd w:val="clear" w:color="auto" w:fill="CCECFF"/>
          </w:tcPr>
          <w:p>
            <w:pPr>
              <w:spacing w:after="0"/>
              <w:rPr>
                <w:sz w:val="14"/>
                <w:szCs w:val="14"/>
                <w:color w:val="auto"/>
              </w:rPr>
            </w:pPr>
          </w:p>
        </w:tc>
        <w:tc>
          <w:tcPr>
            <w:tcW w:w="9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52.0</w:t>
            </w:r>
          </w:p>
        </w:tc>
        <w:tc>
          <w:tcPr>
            <w:tcW w:w="260" w:type="dxa"/>
            <w:vAlign w:val="bottom"/>
            <w:shd w:val="clear" w:color="auto" w:fill="CCECFF"/>
          </w:tcPr>
          <w:p>
            <w:pPr>
              <w:spacing w:after="0"/>
              <w:rPr>
                <w:sz w:val="14"/>
                <w:szCs w:val="14"/>
                <w:color w:val="auto"/>
              </w:rPr>
            </w:pPr>
          </w:p>
        </w:tc>
        <w:tc>
          <w:tcPr>
            <w:tcW w:w="20" w:type="dxa"/>
            <w:vAlign w:val="bottom"/>
            <w:shd w:val="clear" w:color="auto" w:fill="CCECFF"/>
          </w:tcPr>
          <w:p>
            <w:pPr>
              <w:spacing w:after="0"/>
              <w:rPr>
                <w:sz w:val="14"/>
                <w:szCs w:val="14"/>
                <w:color w:val="auto"/>
              </w:rPr>
            </w:pPr>
          </w:p>
        </w:tc>
        <w:tc>
          <w:tcPr>
            <w:tcW w:w="60" w:type="dxa"/>
            <w:vAlign w:val="bottom"/>
            <w:tcBorders>
              <w:bottom w:val="single" w:sz="8" w:color="auto"/>
            </w:tcBorders>
            <w:shd w:val="clear" w:color="auto" w:fill="CCECFF"/>
          </w:tcPr>
          <w:p>
            <w:pPr>
              <w:spacing w:after="0"/>
              <w:rPr>
                <w:sz w:val="14"/>
                <w:szCs w:val="14"/>
                <w:color w:val="auto"/>
              </w:rPr>
            </w:pPr>
          </w:p>
        </w:tc>
        <w:tc>
          <w:tcPr>
            <w:tcW w:w="122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10.6</w:t>
            </w:r>
          </w:p>
        </w:tc>
        <w:tc>
          <w:tcPr>
            <w:tcW w:w="120" w:type="dxa"/>
            <w:vAlign w:val="bottom"/>
            <w:shd w:val="clear" w:color="auto" w:fill="CCECFF"/>
          </w:tcPr>
          <w:p>
            <w:pPr>
              <w:spacing w:after="0"/>
              <w:rPr>
                <w:sz w:val="14"/>
                <w:szCs w:val="14"/>
                <w:color w:val="auto"/>
              </w:rPr>
            </w:pPr>
          </w:p>
        </w:tc>
      </w:tr>
      <w:tr>
        <w:trPr>
          <w:trHeight w:val="155"/>
        </w:trPr>
        <w:tc>
          <w:tcPr>
            <w:tcW w:w="3680" w:type="dxa"/>
            <w:vAlign w:val="bottom"/>
            <w:gridSpan w:val="3"/>
          </w:tcPr>
          <w:p>
            <w:pPr>
              <w:spacing w:after="0" w:line="155" w:lineRule="exact"/>
              <w:rPr>
                <w:sz w:val="20"/>
                <w:szCs w:val="20"/>
                <w:color w:val="auto"/>
              </w:rPr>
            </w:pPr>
            <w:r>
              <w:rPr>
                <w:rFonts w:ascii="Arial" w:cs="Arial" w:eastAsia="Arial" w:hAnsi="Arial"/>
                <w:sz w:val="14"/>
                <w:szCs w:val="14"/>
                <w:color w:val="auto"/>
              </w:rPr>
              <w:t>Total contractual obligations</w:t>
            </w:r>
          </w:p>
        </w:tc>
        <w:tc>
          <w:tcPr>
            <w:tcW w:w="860" w:type="dxa"/>
            <w:vAlign w:val="bottom"/>
            <w:tcBorders>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536.0</w:t>
            </w:r>
          </w:p>
        </w:tc>
        <w:tc>
          <w:tcPr>
            <w:tcW w:w="260" w:type="dxa"/>
            <w:vAlign w:val="bottom"/>
          </w:tcPr>
          <w:p>
            <w:pPr>
              <w:spacing w:after="0"/>
              <w:rPr>
                <w:sz w:val="13"/>
                <w:szCs w:val="13"/>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1.9</w:t>
            </w:r>
          </w:p>
        </w:tc>
        <w:tc>
          <w:tcPr>
            <w:tcW w:w="260" w:type="dxa"/>
            <w:vAlign w:val="bottom"/>
          </w:tcPr>
          <w:p>
            <w:pPr>
              <w:spacing w:after="0"/>
              <w:rPr>
                <w:sz w:val="13"/>
                <w:szCs w:val="13"/>
                <w:color w:val="auto"/>
              </w:rPr>
            </w:pPr>
          </w:p>
        </w:tc>
        <w:tc>
          <w:tcPr>
            <w:tcW w:w="220" w:type="dxa"/>
            <w:vAlign w:val="bottom"/>
            <w:tcBorders>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250.0</w:t>
            </w:r>
          </w:p>
        </w:tc>
        <w:tc>
          <w:tcPr>
            <w:tcW w:w="260" w:type="dxa"/>
            <w:vAlign w:val="bottom"/>
          </w:tcPr>
          <w:p>
            <w:pPr>
              <w:spacing w:after="0"/>
              <w:rPr>
                <w:sz w:val="13"/>
                <w:szCs w:val="13"/>
                <w:color w:val="auto"/>
              </w:rPr>
            </w:pPr>
          </w:p>
        </w:tc>
        <w:tc>
          <w:tcPr>
            <w:tcW w:w="300" w:type="dxa"/>
            <w:vAlign w:val="bottom"/>
            <w:tcBorders>
              <w:bottom w:val="single" w:sz="8" w:color="auto"/>
            </w:tcBorders>
          </w:tcPr>
          <w:p>
            <w:pPr>
              <w:jc w:val="right"/>
              <w:ind w:right="148"/>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123.5</w:t>
            </w:r>
          </w:p>
        </w:tc>
        <w:tc>
          <w:tcPr>
            <w:tcW w:w="26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160.6</w:t>
            </w:r>
          </w:p>
        </w:tc>
        <w:tc>
          <w:tcPr>
            <w:tcW w:w="120" w:type="dxa"/>
            <w:vAlign w:val="bottom"/>
          </w:tcPr>
          <w:p>
            <w:pPr>
              <w:spacing w:after="0"/>
              <w:rPr>
                <w:sz w:val="13"/>
                <w:szCs w:val="13"/>
                <w:color w:val="auto"/>
              </w:rPr>
            </w:pPr>
          </w:p>
        </w:tc>
      </w:tr>
      <w:tr>
        <w:trPr>
          <w:trHeight w:val="20"/>
        </w:trPr>
        <w:tc>
          <w:tcPr>
            <w:tcW w:w="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43"/>
        </w:trPr>
        <w:tc>
          <w:tcPr>
            <w:tcW w:w="380" w:type="dxa"/>
            <w:vAlign w:val="bottom"/>
          </w:tcPr>
          <w:p>
            <w:pPr>
              <w:spacing w:after="0"/>
              <w:rPr>
                <w:sz w:val="12"/>
                <w:szCs w:val="12"/>
                <w:color w:val="auto"/>
              </w:rPr>
            </w:pPr>
          </w:p>
        </w:tc>
        <w:tc>
          <w:tcPr>
            <w:tcW w:w="2360" w:type="dxa"/>
            <w:vAlign w:val="bottom"/>
            <w:tcBorders>
              <w:bottom w:val="single" w:sz="8" w:color="auto"/>
            </w:tcBorders>
          </w:tcPr>
          <w:p>
            <w:pPr>
              <w:spacing w:after="0"/>
              <w:rPr>
                <w:sz w:val="12"/>
                <w:szCs w:val="12"/>
                <w:color w:val="auto"/>
              </w:rPr>
            </w:pPr>
          </w:p>
        </w:tc>
        <w:tc>
          <w:tcPr>
            <w:tcW w:w="9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r>
    </w:tbl>
    <w:p>
      <w:pPr>
        <w:spacing w:after="0" w:line="89" w:lineRule="exact"/>
        <w:rPr>
          <w:sz w:val="20"/>
          <w:szCs w:val="20"/>
          <w:color w:val="auto"/>
        </w:rPr>
      </w:pPr>
    </w:p>
    <w:p>
      <w:pPr>
        <w:ind w:left="380" w:right="240" w:hanging="372"/>
        <w:spacing w:after="0" w:line="230" w:lineRule="auto"/>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The annualized weighted average cost of debt as of June 30, 2018, excluding debt issuance costs, was 3.85% exclusive of the fee on the undrawn commitment on the Credit Facility and 3.43% of upfront fees on SBA debentures.</w:t>
      </w:r>
    </w:p>
    <w:p>
      <w:pPr>
        <w:ind w:left="380" w:hanging="372"/>
        <w:spacing w:after="0"/>
        <w:tabs>
          <w:tab w:leader="none" w:pos="380" w:val="left"/>
        </w:tabs>
        <w:numPr>
          <w:ilvl w:val="0"/>
          <w:numId w:val="24"/>
        </w:numPr>
        <w:rPr>
          <w:rFonts w:ascii="Arial" w:cs="Arial" w:eastAsia="Arial" w:hAnsi="Arial"/>
          <w:sz w:val="12"/>
          <w:szCs w:val="12"/>
          <w:color w:val="auto"/>
        </w:rPr>
      </w:pPr>
      <w:r>
        <w:rPr>
          <w:rFonts w:ascii="Arial" w:cs="Arial" w:eastAsia="Arial" w:hAnsi="Arial"/>
          <w:sz w:val="14"/>
          <w:szCs w:val="14"/>
          <w:color w:val="auto"/>
        </w:rPr>
        <w:t>Unfunded debt and equity investments are disclosed in the Consolidated Schedule of Investments and Note 11 of our Consolidated Financial Statements</w:t>
      </w:r>
    </w:p>
    <w:p>
      <w:pPr>
        <w:spacing w:after="0" w:line="111" w:lineRule="exact"/>
        <w:rPr>
          <w:sz w:val="20"/>
          <w:szCs w:val="20"/>
          <w:color w:val="auto"/>
        </w:rPr>
      </w:pPr>
    </w:p>
    <w:p>
      <w:pPr>
        <w:ind w:right="120" w:firstLine="434"/>
        <w:spacing w:after="0" w:line="277" w:lineRule="auto"/>
        <w:rPr>
          <w:sz w:val="20"/>
          <w:szCs w:val="20"/>
          <w:color w:val="auto"/>
        </w:rPr>
      </w:pPr>
      <w:r>
        <w:rPr>
          <w:rFonts w:ascii="Arial" w:cs="Arial" w:eastAsia="Arial" w:hAnsi="Arial"/>
          <w:sz w:val="12"/>
          <w:szCs w:val="12"/>
          <w:color w:val="auto"/>
        </w:rPr>
        <w:t>We have entered into certain contracts under which we have material future commitments. Under our Investment Management Agreement, which was most recently reapproved by our board of directors, including a majority of our directors who are not interested persons of us or the Investment Adviser, in February 2018, PennantPark Investment Advisers serves as our investment adviser. PennantPark Investment, through the Investment Adviser, provides similar services to our SBIC Funds under their investment management agreements with us. Our SBIC Funds’ investment management agreements do not affect the management or incentive fees that we pay to the Investment Adviser on a consolidated basis. Payments under our Investment Management Agreement in each reporting period are equal to (1) a management fee equal to a percentage of the value of our average adjusted gross assets and (2) an incentive fee based on our performance.</w:t>
      </w:r>
    </w:p>
    <w:p>
      <w:pPr>
        <w:spacing w:after="0" w:line="95" w:lineRule="exact"/>
        <w:rPr>
          <w:sz w:val="20"/>
          <w:szCs w:val="20"/>
          <w:color w:val="auto"/>
        </w:rPr>
      </w:pPr>
    </w:p>
    <w:p>
      <w:pPr>
        <w:jc w:val="both"/>
        <w:ind w:right="260" w:firstLine="434"/>
        <w:spacing w:after="0" w:line="233" w:lineRule="auto"/>
        <w:rPr>
          <w:sz w:val="20"/>
          <w:szCs w:val="20"/>
          <w:color w:val="auto"/>
        </w:rPr>
      </w:pPr>
      <w:r>
        <w:rPr>
          <w:rFonts w:ascii="Arial" w:cs="Arial" w:eastAsia="Arial" w:hAnsi="Arial"/>
          <w:sz w:val="14"/>
          <w:szCs w:val="14"/>
          <w:color w:val="auto"/>
        </w:rPr>
        <w:t>Under our Administration Agreement, which was most recently reapproved by our board of directors, including a majority of our directors who are not interested persons of us, in February 2018, the Administration furnishes us with office facilities and administrative services necessary to conduct our day-to-day operations. PennantPark Investment, through the Administrator, provides similar services to our SBIC Funds under their administration agreements, which are intended to have no effect on the consolidated administration fee. If requested to provide significant managerial assistance to our portfolio companies, we or the Administrator will be paid an additional amount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ind w:right="700"/>
        <w:spacing w:after="0" w:line="290" w:lineRule="auto"/>
        <w:rPr>
          <w:sz w:val="20"/>
          <w:szCs w:val="20"/>
          <w:color w:val="auto"/>
        </w:rPr>
      </w:pPr>
      <w:r>
        <w:rPr>
          <w:rFonts w:ascii="Arial" w:cs="Arial" w:eastAsia="Arial" w:hAnsi="Arial"/>
          <w:sz w:val="13"/>
          <w:szCs w:val="13"/>
          <w:color w:val="auto"/>
        </w:rPr>
        <w:t>based on the services provided. Payment under our Administration Agreement is based upon our allocable portion of the Administrator’s overhead in performing its obligations under our Administration Agreement, including rent and our allocable portion of the costs of our Chief Compliance Officer, Chief Financial Officer and their respective staffs.</w:t>
      </w:r>
    </w:p>
    <w:p>
      <w:pPr>
        <w:spacing w:after="0" w:line="84" w:lineRule="exact"/>
        <w:rPr>
          <w:sz w:val="20"/>
          <w:szCs w:val="20"/>
          <w:color w:val="auto"/>
        </w:rPr>
      </w:pPr>
    </w:p>
    <w:p>
      <w:pPr>
        <w:ind w:right="280" w:firstLine="434"/>
        <w:spacing w:after="0" w:line="238" w:lineRule="auto"/>
        <w:rPr>
          <w:sz w:val="20"/>
          <w:szCs w:val="20"/>
          <w:color w:val="auto"/>
        </w:rPr>
      </w:pPr>
      <w:r>
        <w:rPr>
          <w:rFonts w:ascii="Arial" w:cs="Arial" w:eastAsia="Arial" w:hAnsi="Arial"/>
          <w:sz w:val="14"/>
          <w:szCs w:val="14"/>
          <w:color w:val="auto"/>
        </w:rPr>
        <w:t>If any of our contractual obligations discussed above are terminated, our costs under new agreements that we enter into may increase. In addition, we will likely incur significant time and expense in locating alternative parties to provide the services we expect to receive under our Investment Management Agreement and our Administration Agreement. Any new investment management agreement would also be subject to approval by our stockholders.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Off-Balance-Sheet Arrangements</w:t>
      </w:r>
    </w:p>
    <w:p>
      <w:pPr>
        <w:spacing w:after="0" w:line="136"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currently engage in no off-balance-sheet arrangements other than our funding requirements for the unfunded investments described above.</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Distributions</w:t>
      </w:r>
    </w:p>
    <w:p>
      <w:pPr>
        <w:spacing w:after="0" w:line="136" w:lineRule="exact"/>
        <w:rPr>
          <w:sz w:val="20"/>
          <w:szCs w:val="20"/>
          <w:color w:val="auto"/>
        </w:rPr>
      </w:pPr>
    </w:p>
    <w:p>
      <w:pPr>
        <w:jc w:val="both"/>
        <w:ind w:right="140" w:firstLine="434"/>
        <w:spacing w:after="0" w:line="238" w:lineRule="auto"/>
        <w:rPr>
          <w:sz w:val="20"/>
          <w:szCs w:val="20"/>
          <w:color w:val="auto"/>
        </w:rPr>
      </w:pPr>
      <w:r>
        <w:rPr>
          <w:rFonts w:ascii="Arial" w:cs="Arial" w:eastAsia="Arial" w:hAnsi="Arial"/>
          <w:sz w:val="14"/>
          <w:szCs w:val="14"/>
          <w:color w:val="auto"/>
        </w:rPr>
        <w:t>In order to be treated as a RIC for federal income tax purposes and to not be subject to corporate-level tax on our undistributed income or gains, we are required, under Subchapter M of the Code, to annually distribute dividends for U.S. federal income tax purposes to our stockholders out of the assets legally available for distribution of an amount generally at least equal to 90% of our investment company taxable income, determined without regard to any deduction for dividends paid.</w:t>
      </w:r>
    </w:p>
    <w:p>
      <w:pPr>
        <w:spacing w:after="0" w:line="115" w:lineRule="exact"/>
        <w:rPr>
          <w:sz w:val="20"/>
          <w:szCs w:val="20"/>
          <w:color w:val="auto"/>
        </w:rPr>
      </w:pPr>
    </w:p>
    <w:p>
      <w:pPr>
        <w:ind w:right="40" w:firstLine="434"/>
        <w:spacing w:after="0" w:line="228" w:lineRule="auto"/>
        <w:rPr>
          <w:sz w:val="20"/>
          <w:szCs w:val="20"/>
          <w:color w:val="auto"/>
        </w:rPr>
      </w:pPr>
      <w:r>
        <w:rPr>
          <w:rFonts w:ascii="Arial" w:cs="Arial" w:eastAsia="Arial" w:hAnsi="Arial"/>
          <w:sz w:val="14"/>
          <w:szCs w:val="14"/>
          <w:color w:val="auto"/>
        </w:rPr>
        <w:t>Although not required for us to maintain our RIC tax status, in order to preclude the imposition of a 4% nondeductible federal excise tax imposed on RICs, we must distribute dividends for U.S. federal income tax purposes to our stockholders in respect of each calendar year of an amount at least equal to the sum of (1) 98% of our net ordinary income (subject to certain deferrals and elections) for the calendar year, (2) 98.2% of our capital gain net income (adjusted for certain ordinary losses) for the one-year period ending on October 31 of the calendar year plus (3) the sum of any net ordinary income plus capital gain net income for preceding years that was not distributed during such years and on which we did not incur any federal income tax. In addition, although we may distribute realized net capital gains (i.e., net long-term capital gains in excess of net short-term capital losses), if any, at least annually, out of the assets legally available for such distributions in the manner described above, we have retained and may continue to retain such net capital gains or investment company taxable income, subject to our ability to be taxed as a RIC, in order to provide us with additional liquidity.</w:t>
      </w:r>
    </w:p>
    <w:p>
      <w:pPr>
        <w:spacing w:after="0" w:line="117" w:lineRule="exact"/>
        <w:rPr>
          <w:sz w:val="20"/>
          <w:szCs w:val="20"/>
          <w:color w:val="auto"/>
        </w:rPr>
      </w:pPr>
    </w:p>
    <w:p>
      <w:pPr>
        <w:ind w:right="140" w:firstLine="434"/>
        <w:spacing w:after="0" w:line="251" w:lineRule="auto"/>
        <w:rPr>
          <w:sz w:val="20"/>
          <w:szCs w:val="20"/>
          <w:color w:val="auto"/>
        </w:rPr>
      </w:pPr>
      <w:r>
        <w:rPr>
          <w:rFonts w:ascii="Arial" w:cs="Arial" w:eastAsia="Arial" w:hAnsi="Arial"/>
          <w:sz w:val="13"/>
          <w:szCs w:val="13"/>
          <w:color w:val="auto"/>
        </w:rPr>
        <w:t>During the three and nine months ended June 30, 2018, we declared distributions of $0.18 and $0.54 per share, respectively, for total distributions of $12.6 million and $38.2 million, respectively. For the same periods in the prior year, we declared distributions of $0.18 and $0.64 per share, respectively, for total distributions of $12.8 million and $45.5 million, respectively. We monitor available net investment income to determine if a return of capital for tax purposes may occur for the fiscal year. To the extent our taxable earnings fall below the total amount of our distributions for any given fiscal year, stockholders will be notified of the portion of those distributions deemed to be a tax return of capital. Tax characteristics of all distributions will be reported to stockholders subject to information reporting on Form 1099-DIV after the end of each calendar year and in our periodic reports filed with the SEC.</w:t>
      </w:r>
    </w:p>
    <w:p>
      <w:pPr>
        <w:spacing w:after="0" w:line="10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We intend to continue to make quarterly distributions to our stockholders. Our quarterly distributions, if any, are determined by our board of directors.</w:t>
      </w:r>
    </w:p>
    <w:p>
      <w:pPr>
        <w:spacing w:after="0" w:line="136" w:lineRule="exact"/>
        <w:rPr>
          <w:sz w:val="20"/>
          <w:szCs w:val="20"/>
          <w:color w:val="auto"/>
        </w:rPr>
      </w:pPr>
    </w:p>
    <w:p>
      <w:pPr>
        <w:ind w:right="460" w:firstLine="434"/>
        <w:spacing w:after="0" w:line="253" w:lineRule="auto"/>
        <w:rPr>
          <w:sz w:val="20"/>
          <w:szCs w:val="20"/>
          <w:color w:val="auto"/>
        </w:rPr>
      </w:pPr>
      <w:r>
        <w:rPr>
          <w:rFonts w:ascii="Arial" w:cs="Arial" w:eastAsia="Arial" w:hAnsi="Arial"/>
          <w:sz w:val="14"/>
          <w:szCs w:val="14"/>
          <w:color w:val="auto"/>
        </w:rPr>
        <w:t>We maintain an “opt out” dividend reinvestment plan for our common stockholders. As a result, if we declare a distribution, then stockholders’ cash distributions will be automatically reinvested in additional shares of our common stock, unless they specifically “opt out” of the dividend reinvestment plan so as to receive cash distributions.</w:t>
      </w:r>
    </w:p>
    <w:p>
      <w:pPr>
        <w:spacing w:after="0" w:line="106" w:lineRule="exact"/>
        <w:rPr>
          <w:sz w:val="20"/>
          <w:szCs w:val="20"/>
          <w:color w:val="auto"/>
        </w:rPr>
      </w:pPr>
    </w:p>
    <w:p>
      <w:pPr>
        <w:ind w:firstLine="434"/>
        <w:spacing w:after="0" w:line="233" w:lineRule="auto"/>
        <w:rPr>
          <w:sz w:val="20"/>
          <w:szCs w:val="20"/>
          <w:color w:val="auto"/>
        </w:rPr>
      </w:pPr>
      <w:r>
        <w:rPr>
          <w:rFonts w:ascii="Arial" w:cs="Arial" w:eastAsia="Arial" w:hAnsi="Arial"/>
          <w:sz w:val="14"/>
          <w:szCs w:val="14"/>
          <w:color w:val="auto"/>
        </w:rPr>
        <w:t>We may not be able to achieve operating results that will allow us to make distributions at a specific level or to increase the amount of these distributions from time to time. In addition, we may be limited in our ability to make distributions due to the asset coverage ratio for borrowings applicable to us as a BDC under the 1940 Act and/or due to provisions in future credit facilities. If we do not distribute at least a certain percentage of our income annually, we could suffer adverse tax consequences, including possible loss of our ability to be subject to tax as a RIC. We cannot assure stockholders that they will receive any distributions at a particular level.</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 Accounting Pronouncements</w:t>
      </w:r>
    </w:p>
    <w:p>
      <w:pPr>
        <w:spacing w:after="0" w:line="163" w:lineRule="exact"/>
        <w:rPr>
          <w:sz w:val="20"/>
          <w:szCs w:val="20"/>
          <w:color w:val="auto"/>
        </w:rPr>
      </w:pPr>
    </w:p>
    <w:p>
      <w:pPr>
        <w:ind w:right="60" w:firstLine="438"/>
        <w:spacing w:after="0" w:line="255" w:lineRule="auto"/>
        <w:rPr>
          <w:sz w:val="20"/>
          <w:szCs w:val="20"/>
          <w:color w:val="auto"/>
        </w:rPr>
      </w:pPr>
      <w:r>
        <w:rPr>
          <w:rFonts w:ascii="Arial" w:cs="Arial" w:eastAsia="Arial" w:hAnsi="Arial"/>
          <w:sz w:val="13"/>
          <w:szCs w:val="13"/>
          <w:color w:val="auto"/>
        </w:rPr>
        <w:t>In May 2014, the FASB issued guidance to establish a comprehensive and converged standard on revenue recognition to enable financial statement users to better understand and consistently analyze an entity’s revenue across industries, transactions, and geographies. An amended guidance defers the effective date of the new guidance to interim reporting periods within annual reporting periods beginning after December 15, 2017. Public business entities are permitted to apply this guidance early, but not before the original effective date (i.e., interim periods within annual periods beginning after December 15, 2016). The Company has evaluated this guidance and determined it will not have a material impact on its financial statements.</w:t>
      </w:r>
    </w:p>
    <w:p>
      <w:pPr>
        <w:spacing w:after="0" w:line="1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REPURCHASE PROGRAM</w:t>
      </w:r>
    </w:p>
    <w:p>
      <w:pPr>
        <w:spacing w:after="0" w:line="140" w:lineRule="exact"/>
        <w:rPr>
          <w:sz w:val="20"/>
          <w:szCs w:val="20"/>
          <w:color w:val="auto"/>
        </w:rPr>
      </w:pPr>
    </w:p>
    <w:p>
      <w:pPr>
        <w:ind w:right="40" w:firstLine="376"/>
        <w:spacing w:after="0" w:line="277" w:lineRule="auto"/>
        <w:rPr>
          <w:sz w:val="20"/>
          <w:szCs w:val="20"/>
          <w:color w:val="auto"/>
        </w:rPr>
      </w:pPr>
      <w:r>
        <w:rPr>
          <w:rFonts w:ascii="Arial" w:cs="Arial" w:eastAsia="Arial" w:hAnsi="Arial"/>
          <w:sz w:val="12"/>
          <w:szCs w:val="12"/>
          <w:color w:val="auto"/>
        </w:rPr>
        <w:t>On May 9, 2018, we announced a share repurchase program which allows us to repurchase up to $30 million of our outstanding common stock in the open market at prices below our net asset value as reported in our then most recently published consolidated financial statements. The shares may be purchased from time to time at prevailing market prices, through open market transactions, including block transactions. Unless extended by our board of directors, the program, which may be implemented at the discretion of management, will expire on the earlier of May 9, 2019 and the repurchase of $30 million of common stock. During both the three and nine months ended June 30, 2018, we repurchased 1.1 million shares of common stock in open market transactions for an aggregate cost (including transaction costs) of $7.8 million. During both the three and nine months ended June 30, 2017, we did not make any repurchases of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32" w:name="page33"/>
    <w:bookmarkEnd w:id="32"/>
    <w:p>
      <w:pPr>
        <w:spacing w:after="0"/>
        <w:tabs>
          <w:tab w:leader="none" w:pos="88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3"/>
          <w:szCs w:val="13"/>
          <w:b w:val="1"/>
          <w:bCs w:val="1"/>
          <w:color w:val="auto"/>
        </w:rPr>
        <w:t>Quantitative And Qualitative Disclosures About Market Risk</w:t>
      </w:r>
    </w:p>
    <w:p>
      <w:pPr>
        <w:spacing w:after="0" w:line="140" w:lineRule="exact"/>
        <w:rPr>
          <w:sz w:val="20"/>
          <w:szCs w:val="20"/>
          <w:color w:val="auto"/>
        </w:rPr>
      </w:pPr>
    </w:p>
    <w:p>
      <w:pPr>
        <w:ind w:right="180" w:firstLine="434"/>
        <w:spacing w:after="0" w:line="231" w:lineRule="auto"/>
        <w:rPr>
          <w:sz w:val="20"/>
          <w:szCs w:val="20"/>
          <w:color w:val="auto"/>
        </w:rPr>
      </w:pPr>
      <w:r>
        <w:rPr>
          <w:rFonts w:ascii="Arial" w:cs="Arial" w:eastAsia="Arial" w:hAnsi="Arial"/>
          <w:sz w:val="14"/>
          <w:szCs w:val="14"/>
          <w:color w:val="auto"/>
        </w:rPr>
        <w:t>We are subject to financial market risks, including changes in interest rates. As of June 30, 2018, our debt portfolio consisted of 91% variable-rate investments and 9% fixed-rate investments. The variable-rate loans are usually based on a LIBOR rate and typically have durations of three months after which they reset to current market interest rates. Variable-rate investments subject to a floor generally reset by reference to the current market index after one to nine months only if the index exceeds the floor. In regards to variable-rate instruments with a floor, we do not benefit from increases in interest rates until such rates exceed the floor and thereafter benefit from market rates above any such floor. In contrast, our cost of funds, to the extent it is not fixed, will fluctuate with changes in interest rates since it has no floor.</w:t>
      </w:r>
    </w:p>
    <w:p>
      <w:pPr>
        <w:spacing w:after="0" w:line="116" w:lineRule="exact"/>
        <w:rPr>
          <w:sz w:val="20"/>
          <w:szCs w:val="20"/>
          <w:color w:val="auto"/>
        </w:rPr>
      </w:pPr>
    </w:p>
    <w:p>
      <w:pPr>
        <w:ind w:right="260" w:firstLine="434"/>
        <w:spacing w:after="0" w:line="253" w:lineRule="auto"/>
        <w:rPr>
          <w:sz w:val="20"/>
          <w:szCs w:val="20"/>
          <w:color w:val="auto"/>
        </w:rPr>
      </w:pPr>
      <w:r>
        <w:rPr>
          <w:rFonts w:ascii="Arial" w:cs="Arial" w:eastAsia="Arial" w:hAnsi="Arial"/>
          <w:sz w:val="14"/>
          <w:szCs w:val="14"/>
          <w:color w:val="auto"/>
        </w:rPr>
        <w:t>Assuming that the most recent Consolidated Statements of Assets and Liabilities was to remain constant, and no actions were taken to alter the existing interest rate sensitivity, the following table shows the annualized impact of hypothetical base rate changes in interest rates: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3"/>
              </w:rPr>
              <w:t>Change In Interest Income,</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4"/>
              </w:rPr>
              <w:t>Change In Interest Income,</w:t>
            </w:r>
          </w:p>
        </w:tc>
        <w:tc>
          <w:tcPr>
            <w:tcW w:w="0" w:type="dxa"/>
            <w:vAlign w:val="bottom"/>
          </w:tcPr>
          <w:p>
            <w:pPr>
              <w:spacing w:after="0"/>
              <w:rPr>
                <w:sz w:val="1"/>
                <w:szCs w:val="1"/>
                <w:color w:val="auto"/>
              </w:rPr>
            </w:pPr>
          </w:p>
        </w:tc>
      </w:tr>
      <w:tr>
        <w:trPr>
          <w:trHeight w:val="148"/>
        </w:trPr>
        <w:tc>
          <w:tcPr>
            <w:tcW w:w="3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Change In Interest Rates</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2"/>
              </w:rPr>
              <w:t>Net of Interest Expense</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2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Net of Interest</w:t>
            </w:r>
          </w:p>
        </w:tc>
        <w:tc>
          <w:tcPr>
            <w:tcW w:w="0" w:type="dxa"/>
            <w:vAlign w:val="bottom"/>
          </w:tcPr>
          <w:p>
            <w:pPr>
              <w:spacing w:after="0"/>
              <w:rPr>
                <w:sz w:val="1"/>
                <w:szCs w:val="1"/>
                <w:color w:val="auto"/>
              </w:rPr>
            </w:pPr>
          </w:p>
        </w:tc>
      </w:tr>
      <w:tr>
        <w:trPr>
          <w:trHeight w:val="171"/>
        </w:trPr>
        <w:tc>
          <w:tcPr>
            <w:tcW w:w="36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3"/>
              </w:rPr>
              <w:t>(In Thousands)</w:t>
            </w: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9"/>
              </w:rPr>
              <w:t>Expense Per Share</w:t>
            </w:r>
          </w:p>
        </w:tc>
        <w:tc>
          <w:tcPr>
            <w:tcW w:w="0" w:type="dxa"/>
            <w:vAlign w:val="bottom"/>
          </w:tcPr>
          <w:p>
            <w:pPr>
              <w:spacing w:after="0"/>
              <w:rPr>
                <w:sz w:val="1"/>
                <w:szCs w:val="1"/>
                <w:color w:val="auto"/>
              </w:rPr>
            </w:pPr>
          </w:p>
        </w:tc>
      </w:tr>
      <w:tr>
        <w:trPr>
          <w:trHeight w:val="156"/>
        </w:trPr>
        <w:tc>
          <w:tcPr>
            <w:tcW w:w="3600" w:type="dxa"/>
            <w:vAlign w:val="bottom"/>
            <w:tcBorders>
              <w:top w:val="single" w:sz="8" w:color="auto"/>
            </w:tcBorders>
            <w:shd w:val="clear" w:color="auto" w:fill="CCECFF"/>
          </w:tcPr>
          <w:p>
            <w:pPr>
              <w:jc w:val="center"/>
              <w:spacing w:after="0" w:line="155" w:lineRule="exact"/>
              <w:rPr>
                <w:sz w:val="20"/>
                <w:szCs w:val="20"/>
                <w:color w:val="auto"/>
              </w:rPr>
            </w:pPr>
            <w:r>
              <w:rPr>
                <w:rFonts w:ascii="Arial" w:cs="Arial" w:eastAsia="Arial" w:hAnsi="Arial"/>
                <w:sz w:val="14"/>
                <w:szCs w:val="14"/>
                <w:color w:val="auto"/>
                <w:w w:val="96"/>
              </w:rPr>
              <w:t>Down 1%</w:t>
            </w:r>
          </w:p>
        </w:tc>
        <w:tc>
          <w:tcPr>
            <w:tcW w:w="22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28"/>
              <w:spacing w:after="0" w:line="155" w:lineRule="exact"/>
              <w:rPr>
                <w:sz w:val="20"/>
                <w:szCs w:val="20"/>
                <w:color w:val="auto"/>
              </w:rPr>
            </w:pPr>
            <w:r>
              <w:rPr>
                <w:rFonts w:ascii="Arial" w:cs="Arial" w:eastAsia="Arial" w:hAnsi="Arial"/>
                <w:sz w:val="14"/>
                <w:szCs w:val="14"/>
                <w:color w:val="auto"/>
                <w:w w:val="76"/>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(7,346)</w:t>
            </w:r>
          </w:p>
        </w:tc>
        <w:tc>
          <w:tcPr>
            <w:tcW w:w="200" w:type="dxa"/>
            <w:vAlign w:val="bottom"/>
            <w:tcBorders>
              <w:top w:val="single" w:sz="8" w:color="CCECFF"/>
            </w:tcBorders>
            <w:shd w:val="clear" w:color="auto" w:fill="CCECFF"/>
          </w:tcPr>
          <w:p>
            <w:pPr>
              <w:spacing w:after="0"/>
              <w:rPr>
                <w:sz w:val="13"/>
                <w:szCs w:val="13"/>
                <w:color w:val="auto"/>
              </w:rPr>
            </w:pPr>
          </w:p>
        </w:tc>
        <w:tc>
          <w:tcPr>
            <w:tcW w:w="140" w:type="dxa"/>
            <w:vAlign w:val="bottom"/>
            <w:tcBorders>
              <w:top w:val="single" w:sz="8" w:color="CCECFF"/>
            </w:tcBorders>
            <w:shd w:val="clear" w:color="auto" w:fill="CCECFF"/>
          </w:tcPr>
          <w:p>
            <w:pPr>
              <w:spacing w:after="0"/>
              <w:rPr>
                <w:sz w:val="13"/>
                <w:szCs w:val="13"/>
                <w:color w:val="auto"/>
              </w:rPr>
            </w:pPr>
          </w:p>
        </w:tc>
        <w:tc>
          <w:tcPr>
            <w:tcW w:w="480" w:type="dxa"/>
            <w:vAlign w:val="bottom"/>
            <w:tcBorders>
              <w:top w:val="single" w:sz="8" w:color="auto"/>
            </w:tcBorders>
            <w:shd w:val="clear" w:color="auto" w:fill="CCECFF"/>
          </w:tcPr>
          <w:p>
            <w:pPr>
              <w:jc w:val="right"/>
              <w:ind w:right="369"/>
              <w:spacing w:after="0"/>
              <w:rPr>
                <w:sz w:val="20"/>
                <w:szCs w:val="20"/>
                <w:color w:val="auto"/>
              </w:rPr>
            </w:pPr>
            <w:r>
              <w:rPr>
                <w:rFonts w:ascii="Arial" w:cs="Arial" w:eastAsia="Arial" w:hAnsi="Arial"/>
                <w:sz w:val="10"/>
                <w:szCs w:val="10"/>
                <w:color w:val="auto"/>
                <w:w w:val="71"/>
              </w:rPr>
              <w:t>$</w:t>
            </w:r>
          </w:p>
        </w:tc>
        <w:tc>
          <w:tcPr>
            <w:tcW w:w="300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(0.10)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1%</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7,346</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0.10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2%</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14,692</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0.21</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tcPr>
          <w:p>
            <w:pPr>
              <w:jc w:val="center"/>
              <w:spacing w:after="0"/>
              <w:rPr>
                <w:sz w:val="20"/>
                <w:szCs w:val="20"/>
                <w:color w:val="auto"/>
              </w:rPr>
            </w:pPr>
            <w:r>
              <w:rPr>
                <w:rFonts w:ascii="Arial" w:cs="Arial" w:eastAsia="Arial" w:hAnsi="Arial"/>
                <w:sz w:val="14"/>
                <w:szCs w:val="14"/>
                <w:color w:val="auto"/>
                <w:w w:val="95"/>
              </w:rPr>
              <w:t>Up 3%</w:t>
            </w:r>
          </w:p>
        </w:tc>
        <w:tc>
          <w:tcPr>
            <w:tcW w:w="700" w:type="dxa"/>
            <w:vAlign w:val="bottom"/>
            <w:gridSpan w:val="2"/>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22,174</w:t>
            </w:r>
          </w:p>
        </w:tc>
        <w:tc>
          <w:tcPr>
            <w:tcW w:w="200" w:type="dxa"/>
            <w:vAlign w:val="bottom"/>
          </w:tcPr>
          <w:p>
            <w:pPr>
              <w:spacing w:after="0"/>
              <w:rPr>
                <w:sz w:val="14"/>
                <w:szCs w:val="14"/>
                <w:color w:val="auto"/>
              </w:rPr>
            </w:pPr>
          </w:p>
        </w:tc>
        <w:tc>
          <w:tcPr>
            <w:tcW w:w="620" w:type="dxa"/>
            <w:vAlign w:val="bottom"/>
            <w:gridSpan w:val="2"/>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tcPr>
          <w:p>
            <w:pPr>
              <w:jc w:val="right"/>
              <w:spacing w:after="0"/>
              <w:rPr>
                <w:sz w:val="20"/>
                <w:szCs w:val="20"/>
                <w:color w:val="auto"/>
              </w:rPr>
            </w:pPr>
            <w:r>
              <w:rPr>
                <w:rFonts w:ascii="Arial" w:cs="Arial" w:eastAsia="Arial" w:hAnsi="Arial"/>
                <w:sz w:val="14"/>
                <w:szCs w:val="14"/>
                <w:color w:val="auto"/>
              </w:rPr>
              <w:t>0.32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600" w:type="dxa"/>
            <w:vAlign w:val="bottom"/>
            <w:shd w:val="clear" w:color="auto" w:fill="CCECFF"/>
          </w:tcPr>
          <w:p>
            <w:pPr>
              <w:jc w:val="center"/>
              <w:spacing w:after="0"/>
              <w:rPr>
                <w:sz w:val="20"/>
                <w:szCs w:val="20"/>
                <w:color w:val="auto"/>
              </w:rPr>
            </w:pPr>
            <w:r>
              <w:rPr>
                <w:rFonts w:ascii="Arial" w:cs="Arial" w:eastAsia="Arial" w:hAnsi="Arial"/>
                <w:sz w:val="14"/>
                <w:szCs w:val="14"/>
                <w:color w:val="auto"/>
                <w:w w:val="95"/>
              </w:rPr>
              <w:t>Up 4%</w:t>
            </w:r>
          </w:p>
        </w:tc>
        <w:tc>
          <w:tcPr>
            <w:tcW w:w="700" w:type="dxa"/>
            <w:vAlign w:val="bottom"/>
            <w:gridSpan w:val="2"/>
            <w:shd w:val="clear" w:color="auto" w:fill="CCECFF"/>
          </w:tcPr>
          <w:p>
            <w:pPr>
              <w:jc w:val="right"/>
              <w:ind w:right="328"/>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29,751</w:t>
            </w:r>
          </w:p>
        </w:tc>
        <w:tc>
          <w:tcPr>
            <w:tcW w:w="200" w:type="dxa"/>
            <w:vAlign w:val="bottom"/>
            <w:shd w:val="clear" w:color="auto" w:fill="CCECFF"/>
          </w:tcPr>
          <w:p>
            <w:pPr>
              <w:spacing w:after="0"/>
              <w:rPr>
                <w:sz w:val="14"/>
                <w:szCs w:val="14"/>
                <w:color w:val="auto"/>
              </w:rPr>
            </w:pPr>
          </w:p>
        </w:tc>
        <w:tc>
          <w:tcPr>
            <w:tcW w:w="620" w:type="dxa"/>
            <w:vAlign w:val="bottom"/>
            <w:gridSpan w:val="2"/>
            <w:shd w:val="clear" w:color="auto" w:fill="CCECFF"/>
          </w:tcPr>
          <w:p>
            <w:pPr>
              <w:jc w:val="right"/>
              <w:ind w:right="369"/>
              <w:spacing w:after="0"/>
              <w:rPr>
                <w:sz w:val="20"/>
                <w:szCs w:val="20"/>
                <w:color w:val="auto"/>
              </w:rPr>
            </w:pPr>
            <w:r>
              <w:rPr>
                <w:rFonts w:ascii="Arial" w:cs="Arial" w:eastAsia="Arial" w:hAnsi="Arial"/>
                <w:sz w:val="14"/>
                <w:szCs w:val="14"/>
                <w:color w:val="auto"/>
              </w:rPr>
              <w:t>$</w:t>
            </w:r>
          </w:p>
        </w:tc>
        <w:tc>
          <w:tcPr>
            <w:tcW w:w="3000" w:type="dxa"/>
            <w:vAlign w:val="bottom"/>
            <w:shd w:val="clear" w:color="auto" w:fill="CCECFF"/>
          </w:tcPr>
          <w:p>
            <w:pPr>
              <w:jc w:val="right"/>
              <w:spacing w:after="0"/>
              <w:rPr>
                <w:sz w:val="20"/>
                <w:szCs w:val="20"/>
                <w:color w:val="auto"/>
              </w:rPr>
            </w:pPr>
            <w:r>
              <w:rPr>
                <w:rFonts w:ascii="Arial" w:cs="Arial" w:eastAsia="Arial" w:hAnsi="Arial"/>
                <w:sz w:val="14"/>
                <w:szCs w:val="14"/>
                <w:color w:val="auto"/>
              </w:rPr>
              <w:t>0.43</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400" w:firstLine="434"/>
        <w:spacing w:after="0" w:line="264" w:lineRule="auto"/>
        <w:rPr>
          <w:sz w:val="20"/>
          <w:szCs w:val="20"/>
          <w:color w:val="auto"/>
        </w:rPr>
      </w:pPr>
      <w:r>
        <w:rPr>
          <w:rFonts w:ascii="Arial" w:cs="Arial" w:eastAsia="Arial" w:hAnsi="Arial"/>
          <w:sz w:val="13"/>
          <w:szCs w:val="13"/>
          <w:color w:val="auto"/>
        </w:rPr>
        <w:t>Although management believes that this measure is indicative of our sensitivity to interest rate changes, it does not adjust for potential changes in the credit market, credit quality, size and composition of the assets on the Consolidated Statements of Assets and Liabilities and other business developments that could affect net increase in net assets resulting from operations, or net investment income. Accordingly, no assurances can be given that actual results would not differ materially from those shown above.</w:t>
      </w:r>
    </w:p>
    <w:p>
      <w:pPr>
        <w:spacing w:after="0" w:line="101" w:lineRule="exact"/>
        <w:rPr>
          <w:sz w:val="20"/>
          <w:szCs w:val="20"/>
          <w:color w:val="auto"/>
        </w:rPr>
      </w:pPr>
    </w:p>
    <w:p>
      <w:pPr>
        <w:jc w:val="both"/>
        <w:ind w:right="100" w:firstLine="434"/>
        <w:spacing w:after="0" w:line="238" w:lineRule="auto"/>
        <w:rPr>
          <w:sz w:val="20"/>
          <w:szCs w:val="20"/>
          <w:color w:val="auto"/>
        </w:rPr>
      </w:pPr>
      <w:r>
        <w:rPr>
          <w:rFonts w:ascii="Arial" w:cs="Arial" w:eastAsia="Arial" w:hAnsi="Arial"/>
          <w:sz w:val="14"/>
          <w:szCs w:val="14"/>
          <w:color w:val="auto"/>
        </w:rPr>
        <w:t>Because we borrow money to make investments, our net investment income is dependent upon the difference between the rate at which we borrow funds and the rate at which we invest these funds as well as our level of leverage. As a result, there can be no assurance that a significant change in market interest rates will not have a material adverse effect on our net investment income or net assets.</w:t>
      </w:r>
    </w:p>
    <w:p>
      <w:pPr>
        <w:spacing w:after="0" w:line="115" w:lineRule="exact"/>
        <w:rPr>
          <w:sz w:val="20"/>
          <w:szCs w:val="20"/>
          <w:color w:val="auto"/>
        </w:rPr>
      </w:pPr>
    </w:p>
    <w:p>
      <w:pPr>
        <w:ind w:right="200" w:firstLine="434"/>
        <w:spacing w:after="0" w:line="255" w:lineRule="auto"/>
        <w:rPr>
          <w:sz w:val="20"/>
          <w:szCs w:val="20"/>
          <w:color w:val="auto"/>
        </w:rPr>
      </w:pPr>
      <w:r>
        <w:rPr>
          <w:rFonts w:ascii="Arial" w:cs="Arial" w:eastAsia="Arial" w:hAnsi="Arial"/>
          <w:sz w:val="13"/>
          <w:szCs w:val="13"/>
          <w:color w:val="auto"/>
        </w:rPr>
        <w:t>We may hedge against interest rate and foreign currency fluctuations by using standard hedging instruments such as futures, options and forward contracts or our Credit Facility subject to the requirements of the 1940 Act and applicable commodities laws. While hedging activities may insulate us against adverse changes in interest rates and foreign currencies, they may also limit our ability to participate in benefits of lower interest rates or higher exchange rates with respect to our portfolio of investments with fixed interest rates or investments denominated in foreign currencies. During the periods covered by this Report, we did not engage in interest rate hedging activities or foreign currency derivatives hedging activities.</w:t>
      </w:r>
    </w:p>
    <w:p>
      <w:pPr>
        <w:spacing w:after="0" w:line="103"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Controls and Procedures</w:t>
      </w:r>
    </w:p>
    <w:p>
      <w:pPr>
        <w:spacing w:after="0" w:line="140" w:lineRule="exact"/>
        <w:rPr>
          <w:sz w:val="20"/>
          <w:szCs w:val="20"/>
          <w:color w:val="auto"/>
        </w:rPr>
      </w:pPr>
    </w:p>
    <w:p>
      <w:pPr>
        <w:ind w:right="300" w:firstLine="434"/>
        <w:spacing w:after="0" w:line="247" w:lineRule="auto"/>
        <w:rPr>
          <w:sz w:val="20"/>
          <w:szCs w:val="20"/>
          <w:color w:val="auto"/>
        </w:rPr>
      </w:pPr>
      <w:r>
        <w:rPr>
          <w:rFonts w:ascii="Arial" w:cs="Arial" w:eastAsia="Arial" w:hAnsi="Arial"/>
          <w:sz w:val="13"/>
          <w:szCs w:val="13"/>
          <w:color w:val="auto"/>
        </w:rPr>
        <w:t>As of the period covered by this Report, we, including our Chief Executive Officer and Chief Financial Officer, evaluated the effectiveness of the design and operation of our disclosure controls and procedures (as defined in Rule 13a-15(e) under the Exchange Act). Based on that evaluation, our management, including the Chief Executive Officer and Chief Financial Officer, concluded that our disclosure controls and procedures were effective and provided reasonable assurance that information required to be disclosed in our periodic filings with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11" w:lineRule="exact"/>
        <w:rPr>
          <w:sz w:val="20"/>
          <w:szCs w:val="20"/>
          <w:color w:val="auto"/>
        </w:rPr>
      </w:pPr>
    </w:p>
    <w:p>
      <w:pPr>
        <w:ind w:right="500" w:firstLine="434"/>
        <w:spacing w:after="0" w:line="253" w:lineRule="auto"/>
        <w:rPr>
          <w:sz w:val="20"/>
          <w:szCs w:val="20"/>
          <w:color w:val="auto"/>
        </w:rPr>
      </w:pPr>
      <w:r>
        <w:rPr>
          <w:rFonts w:ascii="Arial" w:cs="Arial" w:eastAsia="Arial" w:hAnsi="Arial"/>
          <w:sz w:val="14"/>
          <w:szCs w:val="14"/>
          <w:color w:val="auto"/>
        </w:rPr>
        <w:t>There have been no changes in our internal control over financial reporting that occurred during the quarter ended June 30, 2018 that have materially affected, or are reasonably likely to materially affect, our internal control over financial reporting.</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color w:val="auto"/>
        </w:rPr>
        <w:t>PART II – OTHER INFORMATION</w:t>
      </w:r>
    </w:p>
    <w:p>
      <w:pPr>
        <w:spacing w:after="0" w:line="136"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2"/>
          <w:szCs w:val="12"/>
          <w:b w:val="1"/>
          <w:bCs w:val="1"/>
          <w:color w:val="auto"/>
        </w:rPr>
        <w:t>Legal Proceedings</w:t>
      </w:r>
    </w:p>
    <w:p>
      <w:pPr>
        <w:spacing w:after="0" w:line="140" w:lineRule="exact"/>
        <w:rPr>
          <w:sz w:val="20"/>
          <w:szCs w:val="20"/>
          <w:color w:val="auto"/>
        </w:rPr>
      </w:pPr>
    </w:p>
    <w:p>
      <w:pPr>
        <w:jc w:val="both"/>
        <w:ind w:right="160" w:firstLine="434"/>
        <w:spacing w:after="0" w:line="233" w:lineRule="auto"/>
        <w:rPr>
          <w:sz w:val="20"/>
          <w:szCs w:val="20"/>
          <w:color w:val="auto"/>
        </w:rPr>
      </w:pPr>
      <w:r>
        <w:rPr>
          <w:rFonts w:ascii="Arial" w:cs="Arial" w:eastAsia="Arial" w:hAnsi="Arial"/>
          <w:sz w:val="14"/>
          <w:szCs w:val="14"/>
          <w:color w:val="auto"/>
        </w:rPr>
        <w:t>None of us, our Investment Adviser or our Administrator, is currently subject to any material legal proceedings, nor, to our knowledge, is any material legal proceeding threatened against us, or against our Investment Adviser or Administrator. From time to time, we, our Investment Adviser or Administrator may be a party to certain legal proceedings, including proceedings relating to the enforcement of our rights under contracts with our portfolio companies. While the outcome of these legal proceedings cannot be predicted with certainty, we do not expect that these proceedings will have a material effect upon our financial condition or results of operations.</w:t>
      </w:r>
    </w:p>
    <w:p>
      <w:pPr>
        <w:spacing w:after="0" w:line="113" w:lineRule="exact"/>
        <w:rPr>
          <w:sz w:val="20"/>
          <w:szCs w:val="20"/>
          <w:color w:val="auto"/>
        </w:rPr>
      </w:pPr>
    </w:p>
    <w:p>
      <w:pPr>
        <w:spacing w:after="0"/>
        <w:tabs>
          <w:tab w:leader="none" w:pos="1180" w:val="left"/>
        </w:tabs>
        <w:rPr>
          <w:sz w:val="20"/>
          <w:szCs w:val="20"/>
          <w:color w:val="auto"/>
        </w:rPr>
      </w:pPr>
      <w:r>
        <w:rPr>
          <w:rFonts w:ascii="Arial" w:cs="Arial" w:eastAsia="Arial" w:hAnsi="Arial"/>
          <w:sz w:val="14"/>
          <w:szCs w:val="14"/>
          <w:b w:val="1"/>
          <w:bCs w:val="1"/>
          <w:color w:val="auto"/>
        </w:rPr>
        <w:t>Item 1A.</w:t>
      </w:r>
      <w:r>
        <w:rPr>
          <w:sz w:val="20"/>
          <w:szCs w:val="20"/>
          <w:color w:val="auto"/>
        </w:rPr>
        <w:tab/>
      </w:r>
      <w:r>
        <w:rPr>
          <w:rFonts w:ascii="Arial" w:cs="Arial" w:eastAsia="Arial" w:hAnsi="Arial"/>
          <w:sz w:val="12"/>
          <w:szCs w:val="12"/>
          <w:b w:val="1"/>
          <w:bCs w:val="1"/>
          <w:color w:val="auto"/>
        </w:rPr>
        <w:t>Risk Factors</w:t>
      </w:r>
    </w:p>
    <w:p>
      <w:pPr>
        <w:spacing w:after="0" w:line="140" w:lineRule="exact"/>
        <w:rPr>
          <w:sz w:val="20"/>
          <w:szCs w:val="20"/>
          <w:color w:val="auto"/>
        </w:rPr>
      </w:pPr>
    </w:p>
    <w:p>
      <w:pPr>
        <w:ind w:right="240" w:firstLine="434"/>
        <w:spacing w:after="0" w:line="233" w:lineRule="auto"/>
        <w:rPr>
          <w:sz w:val="20"/>
          <w:szCs w:val="20"/>
          <w:color w:val="auto"/>
        </w:rPr>
      </w:pPr>
      <w:r>
        <w:rPr>
          <w:rFonts w:ascii="Arial" w:cs="Arial" w:eastAsia="Arial" w:hAnsi="Arial"/>
          <w:sz w:val="14"/>
          <w:szCs w:val="14"/>
          <w:color w:val="auto"/>
        </w:rPr>
        <w:t>In addition to the other information set forth in this Report, you should consider carefully the factors discussed below, as well as in Part I “Item 1A. Risk Factors” in our Annual Report on Form 10-K for the fiscal year ended September 30, 2017, which could materially affect our business, financial condition and/or operating results. The risks described below, as well as in our Annual Report on Form 10-K are not the only risks facing PennantPark Investment. Additional risks and uncertainties not currently known to us or that we currently deem to be immaterial also may materially and adversely affect our business, financial condition and/or operating results.</w:t>
      </w:r>
    </w:p>
    <w:p>
      <w:pPr>
        <w:spacing w:after="0" w:line="1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Recently passed legislation may allow us to incur additional leverage.</w:t>
      </w:r>
    </w:p>
    <w:p>
      <w:pPr>
        <w:spacing w:after="0" w:line="136" w:lineRule="exact"/>
        <w:rPr>
          <w:sz w:val="20"/>
          <w:szCs w:val="20"/>
          <w:color w:val="auto"/>
        </w:rPr>
      </w:pPr>
    </w:p>
    <w:p>
      <w:pPr>
        <w:ind w:right="120" w:firstLine="362"/>
        <w:spacing w:after="0" w:line="247" w:lineRule="auto"/>
        <w:rPr>
          <w:sz w:val="20"/>
          <w:szCs w:val="20"/>
          <w:color w:val="auto"/>
        </w:rPr>
      </w:pPr>
      <w:r>
        <w:rPr>
          <w:rFonts w:ascii="Arial" w:cs="Arial" w:eastAsia="Arial" w:hAnsi="Arial"/>
          <w:sz w:val="13"/>
          <w:szCs w:val="13"/>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Consolidation Appropriations Act of 2018 (which includes the Small Business Credit Availability Act) was signed into law and amended the 1940 Act to decrease this percentage from 200% to 150% for a BDC that has received either stockholder approval or approval of a “required majority” (as defined in Section 57(o) of the 1940 Act) of its board of directors of the application of such lower asset coverage ratio to the BDC. As a result, if we receive the relevant approval and we comply with the applicable disclosure requirements, we would be able to incur additional indebtedness, which would potentially increase the risk of investing in us. In addition, since our base management fee is determined and payable based upon our average adjusted gross assets, which includes any borrowings for investment purposes, our base management fee expense may increase if we incur additional leverage in excess of our current 200% asset coverage requirement.</w:t>
      </w:r>
    </w:p>
    <w:p>
      <w:pPr>
        <w:spacing w:after="0" w:line="107"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2"/>
          <w:szCs w:val="12"/>
          <w:b w:val="1"/>
          <w:bCs w:val="1"/>
          <w:color w:val="auto"/>
        </w:rPr>
        <w:t>Unregistered Sales of Equity Securities and Use of Proceeds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b w:val="1"/>
          <w:bCs w:val="1"/>
          <w:i w:val="1"/>
          <w:iCs w:val="1"/>
          <w:color w:val="auto"/>
        </w:rPr>
        <w:t>Issuer Purchases of Equity Securities</w:t>
      </w:r>
    </w:p>
    <w:p>
      <w:pPr>
        <w:spacing w:after="0" w:line="136" w:lineRule="exact"/>
        <w:rPr>
          <w:sz w:val="20"/>
          <w:szCs w:val="20"/>
          <w:color w:val="auto"/>
        </w:rPr>
      </w:pPr>
    </w:p>
    <w:p>
      <w:pPr>
        <w:ind w:left="740"/>
        <w:spacing w:after="0"/>
        <w:rPr>
          <w:sz w:val="20"/>
          <w:szCs w:val="20"/>
          <w:color w:val="auto"/>
        </w:rPr>
      </w:pPr>
      <w:r>
        <w:rPr>
          <w:rFonts w:ascii="Arial" w:cs="Arial" w:eastAsia="Arial" w:hAnsi="Arial"/>
          <w:sz w:val="14"/>
          <w:szCs w:val="14"/>
          <w:color w:val="auto"/>
        </w:rPr>
        <w:t>Repurchases of our common stock under our share repurchase program are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2"/>
              </w:rPr>
              <w:t>Total Number of Shares</w:t>
            </w:r>
          </w:p>
        </w:tc>
        <w:tc>
          <w:tcPr>
            <w:tcW w:w="280" w:type="dxa"/>
            <w:vAlign w:val="bottom"/>
          </w:tcPr>
          <w:p>
            <w:pPr>
              <w:spacing w:after="0"/>
              <w:rPr>
                <w:sz w:val="14"/>
                <w:szCs w:val="14"/>
                <w:color w:val="auto"/>
              </w:rPr>
            </w:pP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Approximate Dollar Value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3"/>
              </w:rPr>
              <w:t>Total Number of Shares</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3020" w:type="dxa"/>
            <w:vAlign w:val="bottom"/>
            <w:gridSpan w:val="3"/>
            <w:vMerge w:val="restart"/>
          </w:tcPr>
          <w:p>
            <w:pPr>
              <w:ind w:left="1020"/>
              <w:spacing w:after="0"/>
              <w:rPr>
                <w:sz w:val="20"/>
                <w:szCs w:val="20"/>
                <w:color w:val="auto"/>
              </w:rPr>
            </w:pPr>
            <w:r>
              <w:rPr>
                <w:rFonts w:ascii="Arial" w:cs="Arial" w:eastAsia="Arial" w:hAnsi="Arial"/>
                <w:sz w:val="14"/>
                <w:szCs w:val="14"/>
                <w:b w:val="1"/>
                <w:bCs w:val="1"/>
                <w:color w:val="auto"/>
              </w:rPr>
              <w:t>Period</w:t>
            </w:r>
          </w:p>
        </w:tc>
        <w:tc>
          <w:tcPr>
            <w:tcW w:w="15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Average Price per Share</w:t>
            </w:r>
          </w:p>
        </w:tc>
        <w:tc>
          <w:tcPr>
            <w:tcW w:w="1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Publicly Announced Plans</w:t>
            </w:r>
          </w:p>
        </w:tc>
        <w:tc>
          <w:tcPr>
            <w:tcW w:w="280" w:type="dxa"/>
            <w:vAlign w:val="bottom"/>
          </w:tcPr>
          <w:p>
            <w:pPr>
              <w:spacing w:after="0"/>
              <w:rPr>
                <w:sz w:val="12"/>
                <w:szCs w:val="12"/>
                <w:color w:val="auto"/>
              </w:rPr>
            </w:pPr>
          </w:p>
        </w:tc>
        <w:tc>
          <w:tcPr>
            <w:tcW w:w="20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3020" w:type="dxa"/>
            <w:vAlign w:val="bottom"/>
            <w:gridSpan w:val="3"/>
            <w:vMerge w:val="continue"/>
          </w:tcPr>
          <w:p>
            <w:pPr>
              <w:spacing w:after="0"/>
              <w:rPr>
                <w:sz w:val="14"/>
                <w:szCs w:val="14"/>
                <w:color w:val="auto"/>
              </w:rPr>
            </w:pPr>
          </w:p>
        </w:tc>
        <w:tc>
          <w:tcPr>
            <w:tcW w:w="1540" w:type="dxa"/>
            <w:vAlign w:val="bottom"/>
          </w:tcPr>
          <w:p>
            <w:pPr>
              <w:jc w:val="right"/>
              <w:ind w:right="388"/>
              <w:spacing w:after="0"/>
              <w:rPr>
                <w:sz w:val="20"/>
                <w:szCs w:val="20"/>
                <w:color w:val="auto"/>
              </w:rPr>
            </w:pPr>
            <w:r>
              <w:rPr>
                <w:rFonts w:ascii="Arial" w:cs="Arial" w:eastAsia="Arial" w:hAnsi="Arial"/>
                <w:sz w:val="14"/>
                <w:szCs w:val="14"/>
                <w:b w:val="1"/>
                <w:bCs w:val="1"/>
                <w:color w:val="auto"/>
              </w:rPr>
              <w:t>Purchased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20" w:type="dxa"/>
            <w:vAlign w:val="bottom"/>
            <w:gridSpan w:val="2"/>
            <w:vMerge w:val="continue"/>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4"/>
              </w:rPr>
              <w:t xml:space="preserve">or Programs </w:t>
            </w:r>
            <w:r>
              <w:rPr>
                <w:rFonts w:ascii="Arial" w:cs="Arial" w:eastAsia="Arial" w:hAnsi="Arial"/>
                <w:sz w:val="12"/>
                <w:szCs w:val="12"/>
                <w:b w:val="1"/>
                <w:bCs w:val="1"/>
                <w:color w:val="auto"/>
                <w:w w:val="94"/>
              </w:rPr>
              <w:t>(1)</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Programs (in millions)</w:t>
            </w:r>
          </w:p>
        </w:tc>
        <w:tc>
          <w:tcPr>
            <w:tcW w:w="0" w:type="dxa"/>
            <w:vAlign w:val="bottom"/>
          </w:tcPr>
          <w:p>
            <w:pPr>
              <w:spacing w:after="0"/>
              <w:rPr>
                <w:sz w:val="1"/>
                <w:szCs w:val="1"/>
                <w:color w:val="auto"/>
              </w:rPr>
            </w:pPr>
          </w:p>
        </w:tc>
      </w:tr>
      <w:tr>
        <w:trPr>
          <w:trHeight w:val="156"/>
        </w:trPr>
        <w:tc>
          <w:tcPr>
            <w:tcW w:w="3220" w:type="dxa"/>
            <w:vAlign w:val="bottom"/>
            <w:tcBorders>
              <w:top w:val="single" w:sz="8" w:color="auto"/>
            </w:tcBorders>
            <w:gridSpan w:val="3"/>
            <w:shd w:val="clear" w:color="auto" w:fill="CCECFF"/>
          </w:tcPr>
          <w:p>
            <w:pPr>
              <w:spacing w:after="0" w:line="155" w:lineRule="exact"/>
              <w:rPr>
                <w:sz w:val="20"/>
                <w:szCs w:val="20"/>
                <w:color w:val="auto"/>
              </w:rPr>
            </w:pPr>
            <w:r>
              <w:rPr>
                <w:rFonts w:ascii="Arial" w:cs="Arial" w:eastAsia="Arial" w:hAnsi="Arial"/>
                <w:sz w:val="14"/>
                <w:szCs w:val="14"/>
                <w:color w:val="auto"/>
              </w:rPr>
              <w:t>April 1, 2018 through April 30, 2018</w:t>
            </w:r>
          </w:p>
        </w:tc>
        <w:tc>
          <w:tcPr>
            <w:tcW w:w="180" w:type="dxa"/>
            <w:vAlign w:val="bottom"/>
            <w:tcBorders>
              <w:top w:val="single" w:sz="8" w:color="CCECFF"/>
            </w:tcBorders>
            <w:shd w:val="clear" w:color="auto" w:fill="CCECFF"/>
          </w:tcPr>
          <w:p>
            <w:pPr>
              <w:spacing w:after="0"/>
              <w:rPr>
                <w:sz w:val="13"/>
                <w:szCs w:val="13"/>
                <w:color w:val="auto"/>
              </w:rPr>
            </w:pPr>
          </w:p>
        </w:tc>
        <w:tc>
          <w:tcPr>
            <w:tcW w:w="154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CFF"/>
            </w:tcBorders>
            <w:shd w:val="clear" w:color="auto" w:fill="CCECFF"/>
          </w:tcPr>
          <w:p>
            <w:pPr>
              <w:spacing w:after="0"/>
              <w:rPr>
                <w:sz w:val="13"/>
                <w:szCs w:val="13"/>
                <w:color w:val="auto"/>
              </w:rPr>
            </w:pPr>
          </w:p>
        </w:tc>
        <w:tc>
          <w:tcPr>
            <w:tcW w:w="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w w:val="76"/>
              </w:rPr>
              <w:t>$</w:t>
            </w:r>
          </w:p>
        </w:tc>
        <w:tc>
          <w:tcPr>
            <w:tcW w:w="1640" w:type="dxa"/>
            <w:vAlign w:val="bottom"/>
            <w:tcBorders>
              <w:top w:val="single" w:sz="8" w:color="auto"/>
            </w:tcBorders>
            <w:shd w:val="clear" w:color="auto" w:fill="CCECFF"/>
          </w:tcPr>
          <w:p>
            <w:pPr>
              <w:ind w:left="1380"/>
              <w:spacing w:after="0" w:line="155" w:lineRule="exact"/>
              <w:rPr>
                <w:sz w:val="20"/>
                <w:szCs w:val="20"/>
                <w:color w:val="auto"/>
              </w:rPr>
            </w:pPr>
            <w:r>
              <w:rPr>
                <w:rFonts w:ascii="Arial" w:cs="Arial" w:eastAsia="Arial" w:hAnsi="Arial"/>
                <w:sz w:val="14"/>
                <w:szCs w:val="14"/>
                <w:color w:val="auto"/>
              </w:rPr>
              <w:t>N/A</w:t>
            </w:r>
          </w:p>
        </w:tc>
        <w:tc>
          <w:tcPr>
            <w:tcW w:w="280" w:type="dxa"/>
            <w:vAlign w:val="bottom"/>
            <w:tcBorders>
              <w:top w:val="single" w:sz="8" w:color="CCECFF"/>
            </w:tcBorders>
            <w:shd w:val="clear" w:color="auto" w:fill="CCECFF"/>
          </w:tcPr>
          <w:p>
            <w:pPr>
              <w:spacing w:after="0"/>
              <w:rPr>
                <w:sz w:val="13"/>
                <w:szCs w:val="13"/>
                <w:color w:val="auto"/>
              </w:rPr>
            </w:pPr>
          </w:p>
        </w:tc>
        <w:tc>
          <w:tcPr>
            <w:tcW w:w="16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CCECFF"/>
            </w:tcBorders>
            <w:shd w:val="clear" w:color="auto" w:fill="CCECFF"/>
          </w:tcPr>
          <w:p>
            <w:pPr>
              <w:spacing w:after="0"/>
              <w:rPr>
                <w:sz w:val="13"/>
                <w:szCs w:val="13"/>
                <w:color w:val="auto"/>
              </w:rPr>
            </w:pPr>
          </w:p>
        </w:tc>
        <w:tc>
          <w:tcPr>
            <w:tcW w:w="160" w:type="dxa"/>
            <w:vAlign w:val="bottom"/>
            <w:tcBorders>
              <w:top w:val="single" w:sz="8" w:color="auto"/>
            </w:tcBorders>
            <w:shd w:val="clear" w:color="auto" w:fill="CCEC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1780" w:type="dxa"/>
            <w:vAlign w:val="bottom"/>
            <w:tcBorders>
              <w:top w:val="single" w:sz="8" w:color="auto"/>
            </w:tcBorders>
            <w:shd w:val="clear" w:color="auto" w:fill="CCECFF"/>
          </w:tcPr>
          <w:p>
            <w:pPr>
              <w:jc w:val="right"/>
              <w:spacing w:after="0" w:line="155" w:lineRule="exact"/>
              <w:rPr>
                <w:sz w:val="20"/>
                <w:szCs w:val="20"/>
                <w:color w:val="auto"/>
              </w:rPr>
            </w:pPr>
            <w:r>
              <w:rPr>
                <w:rFonts w:ascii="Arial" w:cs="Arial" w:eastAsia="Arial" w:hAnsi="Arial"/>
                <w:sz w:val="14"/>
                <w:szCs w:val="14"/>
                <w:color w:val="auto"/>
              </w:rPr>
              <w:t>30.0</w:t>
            </w:r>
          </w:p>
        </w:tc>
        <w:tc>
          <w:tcPr>
            <w:tcW w:w="120" w:type="dxa"/>
            <w:vAlign w:val="bottom"/>
            <w:tcBorders>
              <w:top w:val="single" w:sz="8" w:color="CCECFF"/>
            </w:tcBorders>
            <w:shd w:val="clear" w:color="auto" w:fill="CCEC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400" w:type="dxa"/>
            <w:vAlign w:val="bottom"/>
            <w:gridSpan w:val="4"/>
          </w:tcPr>
          <w:p>
            <w:pPr>
              <w:spacing w:after="0"/>
              <w:rPr>
                <w:sz w:val="20"/>
                <w:szCs w:val="20"/>
                <w:color w:val="auto"/>
              </w:rPr>
            </w:pPr>
            <w:r>
              <w:rPr>
                <w:rFonts w:ascii="Arial" w:cs="Arial" w:eastAsia="Arial" w:hAnsi="Arial"/>
                <w:sz w:val="14"/>
                <w:szCs w:val="14"/>
                <w:color w:val="auto"/>
              </w:rPr>
              <w:t>May 1, 2018 through May 31, 2018</w:t>
            </w:r>
          </w:p>
        </w:tc>
        <w:tc>
          <w:tcPr>
            <w:tcW w:w="1540" w:type="dxa"/>
            <w:vAlign w:val="bottom"/>
          </w:tcPr>
          <w:p>
            <w:pPr>
              <w:jc w:val="right"/>
              <w:spacing w:after="0"/>
              <w:rPr>
                <w:sz w:val="20"/>
                <w:szCs w:val="20"/>
                <w:color w:val="auto"/>
              </w:rPr>
            </w:pPr>
            <w:r>
              <w:rPr>
                <w:rFonts w:ascii="Arial" w:cs="Arial" w:eastAsia="Arial" w:hAnsi="Arial"/>
                <w:sz w:val="14"/>
                <w:szCs w:val="14"/>
                <w:color w:val="auto"/>
              </w:rPr>
              <w:t>742,925</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40" w:type="dxa"/>
            <w:vAlign w:val="bottom"/>
          </w:tcPr>
          <w:p>
            <w:pPr>
              <w:ind w:left="1360"/>
              <w:spacing w:after="0"/>
              <w:rPr>
                <w:sz w:val="20"/>
                <w:szCs w:val="20"/>
                <w:color w:val="auto"/>
              </w:rPr>
            </w:pPr>
            <w:r>
              <w:rPr>
                <w:rFonts w:ascii="Arial" w:cs="Arial" w:eastAsia="Arial" w:hAnsi="Arial"/>
                <w:sz w:val="14"/>
                <w:szCs w:val="14"/>
                <w:color w:val="auto"/>
                <w:w w:val="95"/>
              </w:rPr>
              <w:t>7.21</w:t>
            </w:r>
          </w:p>
        </w:tc>
        <w:tc>
          <w:tcPr>
            <w:tcW w:w="280" w:type="dxa"/>
            <w:vAlign w:val="bottom"/>
          </w:tcPr>
          <w:p>
            <w:pPr>
              <w:spacing w:after="0"/>
              <w:rPr>
                <w:sz w:val="14"/>
                <w:szCs w:val="14"/>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742,925</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80" w:type="dxa"/>
            <w:vAlign w:val="bottom"/>
          </w:tcPr>
          <w:p>
            <w:pPr>
              <w:jc w:val="right"/>
              <w:spacing w:after="0"/>
              <w:rPr>
                <w:sz w:val="20"/>
                <w:szCs w:val="20"/>
                <w:color w:val="auto"/>
              </w:rPr>
            </w:pPr>
            <w:r>
              <w:rPr>
                <w:rFonts w:ascii="Arial" w:cs="Arial" w:eastAsia="Arial" w:hAnsi="Arial"/>
                <w:sz w:val="14"/>
                <w:szCs w:val="14"/>
                <w:color w:val="auto"/>
              </w:rPr>
              <w:t>24.6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400" w:type="dxa"/>
            <w:vAlign w:val="bottom"/>
            <w:gridSpan w:val="4"/>
            <w:shd w:val="clear" w:color="auto" w:fill="CCECFF"/>
          </w:tcPr>
          <w:p>
            <w:pPr>
              <w:spacing w:after="0"/>
              <w:rPr>
                <w:sz w:val="20"/>
                <w:szCs w:val="20"/>
                <w:color w:val="auto"/>
              </w:rPr>
            </w:pPr>
            <w:r>
              <w:rPr>
                <w:rFonts w:ascii="Arial" w:cs="Arial" w:eastAsia="Arial" w:hAnsi="Arial"/>
                <w:sz w:val="14"/>
                <w:szCs w:val="14"/>
                <w:color w:val="auto"/>
              </w:rPr>
              <w:t>June 1, 2018 through June 30, 2018</w:t>
            </w:r>
          </w:p>
        </w:tc>
        <w:tc>
          <w:tcPr>
            <w:tcW w:w="154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329,834</w:t>
            </w:r>
          </w:p>
        </w:tc>
        <w:tc>
          <w:tcPr>
            <w:tcW w:w="280" w:type="dxa"/>
            <w:vAlign w:val="bottom"/>
            <w:shd w:val="clear" w:color="auto" w:fill="CCECFF"/>
          </w:tcPr>
          <w:p>
            <w:pPr>
              <w:spacing w:after="0"/>
              <w:rPr>
                <w:sz w:val="14"/>
                <w:szCs w:val="14"/>
                <w:color w:val="auto"/>
              </w:rPr>
            </w:pPr>
          </w:p>
        </w:tc>
        <w:tc>
          <w:tcPr>
            <w:tcW w:w="80" w:type="dxa"/>
            <w:vAlign w:val="bottom"/>
            <w:shd w:val="clear" w:color="auto" w:fill="CCECFF"/>
          </w:tcPr>
          <w:p>
            <w:pPr>
              <w:spacing w:after="0"/>
              <w:rPr>
                <w:sz w:val="14"/>
                <w:szCs w:val="14"/>
                <w:color w:val="auto"/>
              </w:rPr>
            </w:pPr>
          </w:p>
        </w:tc>
        <w:tc>
          <w:tcPr>
            <w:tcW w:w="1640" w:type="dxa"/>
            <w:vAlign w:val="bottom"/>
            <w:shd w:val="clear" w:color="auto" w:fill="CCECFF"/>
          </w:tcPr>
          <w:p>
            <w:pPr>
              <w:ind w:left="1360"/>
              <w:spacing w:after="0"/>
              <w:rPr>
                <w:sz w:val="20"/>
                <w:szCs w:val="20"/>
                <w:color w:val="auto"/>
              </w:rPr>
            </w:pPr>
            <w:r>
              <w:rPr>
                <w:rFonts w:ascii="Arial" w:cs="Arial" w:eastAsia="Arial" w:hAnsi="Arial"/>
                <w:sz w:val="14"/>
                <w:szCs w:val="14"/>
                <w:color w:val="auto"/>
                <w:w w:val="95"/>
              </w:rPr>
              <w:t>7.34</w:t>
            </w:r>
          </w:p>
        </w:tc>
        <w:tc>
          <w:tcPr>
            <w:tcW w:w="280" w:type="dxa"/>
            <w:vAlign w:val="bottom"/>
            <w:shd w:val="clear" w:color="auto" w:fill="CCECFF"/>
          </w:tcPr>
          <w:p>
            <w:pPr>
              <w:spacing w:after="0"/>
              <w:rPr>
                <w:sz w:val="14"/>
                <w:szCs w:val="14"/>
                <w:color w:val="auto"/>
              </w:rPr>
            </w:pPr>
          </w:p>
        </w:tc>
        <w:tc>
          <w:tcPr>
            <w:tcW w:w="1680" w:type="dxa"/>
            <w:vAlign w:val="bottom"/>
            <w:tcBorders>
              <w:bottom w:val="single" w:sz="8" w:color="auto"/>
            </w:tcBorders>
            <w:shd w:val="clear" w:color="auto" w:fill="CCECFF"/>
          </w:tcPr>
          <w:p>
            <w:pPr>
              <w:jc w:val="right"/>
              <w:spacing w:after="0"/>
              <w:rPr>
                <w:sz w:val="20"/>
                <w:szCs w:val="20"/>
                <w:color w:val="auto"/>
              </w:rPr>
            </w:pPr>
            <w:r>
              <w:rPr>
                <w:rFonts w:ascii="Arial" w:cs="Arial" w:eastAsia="Arial" w:hAnsi="Arial"/>
                <w:sz w:val="14"/>
                <w:szCs w:val="14"/>
                <w:color w:val="auto"/>
              </w:rPr>
              <w:t>329,834</w:t>
            </w:r>
          </w:p>
        </w:tc>
        <w:tc>
          <w:tcPr>
            <w:tcW w:w="280" w:type="dxa"/>
            <w:vAlign w:val="bottom"/>
            <w:shd w:val="clear" w:color="auto" w:fill="CCECFF"/>
          </w:tcPr>
          <w:p>
            <w:pPr>
              <w:spacing w:after="0"/>
              <w:rPr>
                <w:sz w:val="14"/>
                <w:szCs w:val="14"/>
                <w:color w:val="auto"/>
              </w:rPr>
            </w:pPr>
          </w:p>
        </w:tc>
        <w:tc>
          <w:tcPr>
            <w:tcW w:w="160" w:type="dxa"/>
            <w:vAlign w:val="bottom"/>
            <w:shd w:val="clear" w:color="auto" w:fill="CCECFF"/>
          </w:tcPr>
          <w:p>
            <w:pPr>
              <w:spacing w:after="0"/>
              <w:rPr>
                <w:sz w:val="14"/>
                <w:szCs w:val="14"/>
                <w:color w:val="auto"/>
              </w:rPr>
            </w:pPr>
          </w:p>
        </w:tc>
        <w:tc>
          <w:tcPr>
            <w:tcW w:w="1780" w:type="dxa"/>
            <w:vAlign w:val="bottom"/>
            <w:shd w:val="clear" w:color="auto" w:fill="CCECFF"/>
          </w:tcPr>
          <w:p>
            <w:pPr>
              <w:jc w:val="right"/>
              <w:spacing w:after="0"/>
              <w:rPr>
                <w:sz w:val="20"/>
                <w:szCs w:val="20"/>
                <w:color w:val="auto"/>
              </w:rPr>
            </w:pPr>
            <w:r>
              <w:rPr>
                <w:rFonts w:ascii="Arial" w:cs="Arial" w:eastAsia="Arial" w:hAnsi="Arial"/>
                <w:sz w:val="14"/>
                <w:szCs w:val="14"/>
                <w:color w:val="auto"/>
              </w:rPr>
              <w:t>22.2</w:t>
            </w:r>
          </w:p>
        </w:tc>
        <w:tc>
          <w:tcPr>
            <w:tcW w:w="120" w:type="dxa"/>
            <w:vAlign w:val="bottom"/>
            <w:shd w:val="clear" w:color="auto" w:fill="CCEC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400" w:type="dxa"/>
            <w:vAlign w:val="bottom"/>
            <w:gridSpan w:val="4"/>
          </w:tcPr>
          <w:p>
            <w:pPr>
              <w:spacing w:after="0" w:line="155" w:lineRule="exact"/>
              <w:rPr>
                <w:sz w:val="20"/>
                <w:szCs w:val="20"/>
                <w:color w:val="auto"/>
              </w:rPr>
            </w:pPr>
            <w:r>
              <w:rPr>
                <w:rFonts w:ascii="Arial" w:cs="Arial" w:eastAsia="Arial" w:hAnsi="Arial"/>
                <w:sz w:val="14"/>
                <w:szCs w:val="14"/>
                <w:color w:val="auto"/>
              </w:rPr>
              <w:t>Total</w:t>
            </w:r>
          </w:p>
        </w:tc>
        <w:tc>
          <w:tcPr>
            <w:tcW w:w="15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1,072,759</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1,072,759</w:t>
            </w: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380" w:type="dxa"/>
            <w:vAlign w:val="bottom"/>
          </w:tcPr>
          <w:p>
            <w:pPr>
              <w:spacing w:after="0"/>
              <w:rPr>
                <w:sz w:val="6"/>
                <w:szCs w:val="6"/>
                <w:color w:val="auto"/>
              </w:rPr>
            </w:pPr>
          </w:p>
        </w:tc>
        <w:tc>
          <w:tcPr>
            <w:tcW w:w="2360" w:type="dxa"/>
            <w:vAlign w:val="bottom"/>
            <w:tcBorders>
              <w:bottom w:val="single" w:sz="8" w:color="auto"/>
            </w:tcBorders>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5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80" w:type="dxa"/>
            <w:vAlign w:val="bottom"/>
          </w:tcPr>
          <w:p>
            <w:pPr>
              <w:spacing w:after="0"/>
              <w:rPr>
                <w:sz w:val="6"/>
                <w:szCs w:val="6"/>
                <w:color w:val="auto"/>
              </w:rPr>
            </w:pPr>
          </w:p>
        </w:tc>
        <w:tc>
          <w:tcPr>
            <w:tcW w:w="280" w:type="dxa"/>
            <w:vAlign w:val="bottom"/>
          </w:tcPr>
          <w:p>
            <w:pPr>
              <w:spacing w:after="0"/>
              <w:rPr>
                <w:sz w:val="6"/>
                <w:szCs w:val="6"/>
                <w:color w:val="auto"/>
              </w:rPr>
            </w:pPr>
          </w:p>
        </w:tc>
        <w:tc>
          <w:tcPr>
            <w:tcW w:w="16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460" w:right="500" w:hanging="371"/>
        <w:spacing w:after="0" w:line="253" w:lineRule="auto"/>
        <w:tabs>
          <w:tab w:leader="none" w:pos="460" w:val="left"/>
        </w:tabs>
        <w:numPr>
          <w:ilvl w:val="0"/>
          <w:numId w:val="25"/>
        </w:numPr>
        <w:rPr>
          <w:rFonts w:ascii="Arial" w:cs="Arial" w:eastAsia="Arial" w:hAnsi="Arial"/>
          <w:sz w:val="12"/>
          <w:szCs w:val="12"/>
          <w:color w:val="auto"/>
        </w:rPr>
      </w:pPr>
      <w:r>
        <w:rPr>
          <w:rFonts w:ascii="Arial" w:cs="Arial" w:eastAsia="Arial" w:hAnsi="Arial"/>
          <w:sz w:val="14"/>
          <w:szCs w:val="14"/>
          <w:color w:val="auto"/>
        </w:rPr>
        <w:t>On May 9, 2018, we announced a share repurchase program which allows us to repurchase up to $30.0 million of our outstanding common stock. Unless extended by our board of directors, the program will expire on the earlier of May 9, 2019 and the repurchase of $30.0 million of common stock.</w:t>
      </w:r>
    </w:p>
    <w:p>
      <w:pPr>
        <w:spacing w:after="0" w:line="10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2"/>
          <w:szCs w:val="12"/>
          <w:b w:val="1"/>
          <w:bCs w:val="1"/>
          <w:color w:val="auto"/>
        </w:rPr>
        <w:t>Defaults Upon Senior Securities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2"/>
          <w:szCs w:val="12"/>
          <w:b w:val="1"/>
          <w:bCs w:val="1"/>
          <w:color w:val="auto"/>
        </w:rPr>
        <w:t>Mine Safety Disclosures</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Not applicable.</w:t>
      </w:r>
    </w:p>
    <w:p>
      <w:pPr>
        <w:spacing w:after="0" w:line="132" w:lineRule="exact"/>
        <w:rPr>
          <w:sz w:val="20"/>
          <w:szCs w:val="20"/>
          <w:color w:val="auto"/>
        </w:rPr>
      </w:pPr>
    </w:p>
    <w:p>
      <w:pPr>
        <w:spacing w:after="0"/>
        <w:tabs>
          <w:tab w:leader="none" w:pos="1060" w:val="left"/>
        </w:tabs>
        <w:rPr>
          <w:sz w:val="20"/>
          <w:szCs w:val="20"/>
          <w:color w:val="auto"/>
        </w:rPr>
      </w:pPr>
      <w:r>
        <w:rPr>
          <w:rFonts w:ascii="Arial" w:cs="Arial" w:eastAsia="Arial" w:hAnsi="Arial"/>
          <w:sz w:val="14"/>
          <w:szCs w:val="14"/>
          <w:b w:val="1"/>
          <w:bCs w:val="1"/>
          <w:color w:val="auto"/>
        </w:rPr>
        <w:t>Item 5.</w:t>
      </w:r>
      <w:r>
        <w:rPr>
          <w:sz w:val="20"/>
          <w:szCs w:val="20"/>
          <w:color w:val="auto"/>
        </w:rPr>
        <w:tab/>
      </w:r>
      <w:r>
        <w:rPr>
          <w:rFonts w:ascii="Arial" w:cs="Arial" w:eastAsia="Arial" w:hAnsi="Arial"/>
          <w:sz w:val="13"/>
          <w:szCs w:val="13"/>
          <w:b w:val="1"/>
          <w:bCs w:val="1"/>
          <w:color w:val="auto"/>
        </w:rPr>
        <w:t>Other Information</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34" w:name="page35"/>
    <w:bookmarkEnd w:id="34"/>
    <w:p>
      <w:pPr>
        <w:spacing w:after="0"/>
        <w:tabs>
          <w:tab w:leader="none" w:pos="1060" w:val="left"/>
        </w:tabs>
        <w:rPr>
          <w:sz w:val="20"/>
          <w:szCs w:val="20"/>
          <w:color w:val="auto"/>
        </w:rPr>
      </w:pPr>
      <w:r>
        <w:rPr>
          <w:rFonts w:ascii="Arial" w:cs="Arial" w:eastAsia="Arial" w:hAnsi="Arial"/>
          <w:sz w:val="14"/>
          <w:szCs w:val="14"/>
          <w:b w:val="1"/>
          <w:bCs w:val="1"/>
          <w:color w:val="auto"/>
        </w:rPr>
        <w:t>Item 6.</w:t>
      </w:r>
      <w:r>
        <w:rPr>
          <w:sz w:val="20"/>
          <w:szCs w:val="20"/>
          <w:color w:val="auto"/>
        </w:rPr>
        <w:tab/>
      </w:r>
      <w:r>
        <w:rPr>
          <w:rFonts w:ascii="Arial" w:cs="Arial" w:eastAsia="Arial" w:hAnsi="Arial"/>
          <w:sz w:val="13"/>
          <w:szCs w:val="13"/>
          <w:b w:val="1"/>
          <w:bCs w:val="1"/>
          <w:color w:val="auto"/>
        </w:rPr>
        <w:t>Exhibits</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Unless specifically indicated otherwise, the following exhibits are incorporated by reference to exhibits previously filed with the SEC:</w:t>
      </w:r>
    </w:p>
    <w:p>
      <w:pPr>
        <w:spacing w:after="0" w:line="136" w:lineRule="exact"/>
        <w:rPr>
          <w:sz w:val="20"/>
          <w:szCs w:val="20"/>
          <w:color w:val="auto"/>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3.1</w:t>
      </w:r>
      <w:r>
        <w:rPr>
          <w:sz w:val="20"/>
          <w:szCs w:val="20"/>
          <w:color w:val="auto"/>
        </w:rPr>
        <w:tab/>
      </w:r>
      <w:hyperlink r:id="rId57">
        <w:r>
          <w:rPr>
            <w:rFonts w:ascii="Arial" w:cs="Arial" w:eastAsia="Arial" w:hAnsi="Arial"/>
            <w:sz w:val="13"/>
            <w:szCs w:val="13"/>
            <w:u w:val="single" w:color="auto"/>
            <w:color w:val="0000EE"/>
          </w:rPr>
          <w:t>Articles of Incorporation (Incorporated by reference to Exhibit 99(a) to the Registrant’s Pre-Effective Amendment No. 3 to the Registration Statement on Form N-2/A (File No. 333-</w:t>
        </w:r>
      </w:hyperlink>
    </w:p>
    <w:p>
      <w:pPr>
        <w:ind w:left="560"/>
        <w:spacing w:after="0"/>
        <w:rPr>
          <w:rFonts w:ascii="Arial" w:cs="Arial" w:eastAsia="Arial" w:hAnsi="Arial"/>
          <w:sz w:val="14"/>
          <w:szCs w:val="14"/>
          <w:u w:val="single" w:color="auto"/>
          <w:color w:val="0000EE"/>
        </w:rPr>
      </w:pPr>
      <w:hyperlink r:id="rId57">
        <w:r>
          <w:rPr>
            <w:rFonts w:ascii="Arial" w:cs="Arial" w:eastAsia="Arial" w:hAnsi="Arial"/>
            <w:sz w:val="14"/>
            <w:szCs w:val="14"/>
            <w:u w:val="single" w:color="auto"/>
            <w:color w:val="0000EE"/>
          </w:rPr>
          <w:t>140092), filed on April 5, 2007).</w:t>
        </w:r>
      </w:hyperlink>
    </w:p>
    <w:p>
      <w:pPr>
        <w:spacing w:after="0" w:line="124" w:lineRule="exact"/>
        <w:rPr>
          <w:sz w:val="20"/>
          <w:szCs w:val="20"/>
          <w:color w:val="auto"/>
        </w:rPr>
      </w:pPr>
    </w:p>
    <w:p>
      <w:pPr>
        <w:ind w:left="560" w:right="680" w:hanging="552"/>
        <w:spacing w:after="0" w:line="253" w:lineRule="auto"/>
        <w:tabs>
          <w:tab w:leader="none" w:pos="540" w:val="left"/>
        </w:tabs>
        <w:rPr>
          <w:rFonts w:ascii="Arial" w:cs="Arial" w:eastAsia="Arial" w:hAnsi="Arial"/>
          <w:sz w:val="14"/>
          <w:szCs w:val="14"/>
          <w:u w:val="single" w:color="auto"/>
          <w:color w:val="0000EE"/>
        </w:rPr>
      </w:pPr>
      <w:r>
        <w:rPr>
          <w:rFonts w:ascii="Arial" w:cs="Arial" w:eastAsia="Arial" w:hAnsi="Arial"/>
          <w:sz w:val="14"/>
          <w:szCs w:val="14"/>
          <w:color w:val="auto"/>
        </w:rPr>
        <w:t>3.2</w:t>
      </w:r>
      <w:r>
        <w:rPr>
          <w:sz w:val="20"/>
          <w:szCs w:val="20"/>
          <w:color w:val="auto"/>
        </w:rPr>
        <w:tab/>
      </w:r>
      <w:hyperlink r:id="rId58">
        <w:r>
          <w:rPr>
            <w:rFonts w:ascii="Arial" w:cs="Arial" w:eastAsia="Arial" w:hAnsi="Arial"/>
            <w:sz w:val="14"/>
            <w:szCs w:val="14"/>
            <w:u w:val="single" w:color="auto"/>
            <w:color w:val="0000EE"/>
          </w:rPr>
          <w:t>Amended and Restated Bylaws of the Registrant (Incorporated by reference to Exhibit 3.1 to the Registrant’s Current Report on Form 8-K (File No. 814-00736), filed on</w:t>
        </w:r>
      </w:hyperlink>
      <w:r>
        <w:rPr>
          <w:rFonts w:ascii="Arial" w:cs="Arial" w:eastAsia="Arial" w:hAnsi="Arial"/>
          <w:sz w:val="14"/>
          <w:szCs w:val="14"/>
          <w:u w:val="single" w:color="auto"/>
          <w:color w:val="0000EE"/>
        </w:rPr>
        <w:t xml:space="preserve"> </w:t>
      </w:r>
      <w:hyperlink r:id="rId58">
        <w:r>
          <w:rPr>
            <w:rFonts w:ascii="Arial" w:cs="Arial" w:eastAsia="Arial" w:hAnsi="Arial"/>
            <w:sz w:val="14"/>
            <w:szCs w:val="14"/>
            <w:u w:val="single" w:color="auto"/>
            <w:color w:val="0000EE"/>
          </w:rPr>
          <w:t>December 2, 2015).</w:t>
        </w:r>
      </w:hyperlink>
    </w:p>
    <w:p>
      <w:pPr>
        <w:spacing w:after="0" w:line="106" w:lineRule="exact"/>
        <w:rPr>
          <w:sz w:val="20"/>
          <w:szCs w:val="20"/>
          <w:color w:val="auto"/>
        </w:rPr>
      </w:pPr>
    </w:p>
    <w:p>
      <w:pPr>
        <w:spacing w:after="0"/>
        <w:tabs>
          <w:tab w:leader="none" w:pos="540" w:val="left"/>
        </w:tabs>
        <w:rPr>
          <w:rFonts w:ascii="Arial" w:cs="Arial" w:eastAsia="Arial" w:hAnsi="Arial"/>
          <w:sz w:val="13"/>
          <w:szCs w:val="13"/>
          <w:u w:val="single" w:color="auto"/>
          <w:color w:val="0000EE"/>
        </w:rPr>
      </w:pPr>
      <w:r>
        <w:rPr>
          <w:rFonts w:ascii="Arial" w:cs="Arial" w:eastAsia="Arial" w:hAnsi="Arial"/>
          <w:sz w:val="14"/>
          <w:szCs w:val="14"/>
          <w:color w:val="auto"/>
        </w:rPr>
        <w:t>4.1</w:t>
      </w:r>
      <w:r>
        <w:rPr>
          <w:sz w:val="20"/>
          <w:szCs w:val="20"/>
          <w:color w:val="auto"/>
        </w:rPr>
        <w:tab/>
      </w:r>
      <w:hyperlink r:id="rId59">
        <w:r>
          <w:rPr>
            <w:rFonts w:ascii="Arial" w:cs="Arial" w:eastAsia="Arial" w:hAnsi="Arial"/>
            <w:sz w:val="13"/>
            <w:szCs w:val="13"/>
            <w:u w:val="single" w:color="auto"/>
            <w:color w:val="0000EE"/>
          </w:rPr>
          <w:t>Form of Share Certificate (Incorporated by reference to Exhibit 99(d)(1) to the Registrant’s Registration Statement on Form N-2 (File No. 333-150033), filed on April 2, 2008).</w:t>
        </w:r>
      </w:hyperlink>
    </w:p>
    <w:p>
      <w:pPr>
        <w:spacing w:after="0" w:line="136" w:lineRule="exact"/>
        <w:rPr>
          <w:sz w:val="20"/>
          <w:szCs w:val="20"/>
          <w:color w:val="auto"/>
        </w:rPr>
      </w:pPr>
    </w:p>
    <w:p>
      <w:pPr>
        <w:ind w:right="3200" w:firstLine="8"/>
        <w:spacing w:after="0" w:line="476" w:lineRule="auto"/>
        <w:tabs>
          <w:tab w:leader="none" w:pos="553" w:val="left"/>
        </w:tabs>
        <w:numPr>
          <w:ilvl w:val="0"/>
          <w:numId w:val="26"/>
        </w:numPr>
        <w:rPr>
          <w:rFonts w:ascii="Arial" w:cs="Arial" w:eastAsia="Arial" w:hAnsi="Arial"/>
          <w:sz w:val="13"/>
          <w:szCs w:val="13"/>
          <w:color w:val="000000"/>
        </w:rPr>
      </w:pPr>
      <w:hyperlink w:anchor="page21">
        <w:r>
          <w:rPr>
            <w:rFonts w:ascii="Arial" w:cs="Arial" w:eastAsia="Arial" w:hAnsi="Arial"/>
            <w:sz w:val="13"/>
            <w:szCs w:val="13"/>
            <w:u w:val="single" w:color="auto"/>
            <w:color w:val="0000EE"/>
          </w:rPr>
          <w:t>Computation of Per Share Earnings (included in the notes to the Consolidated Financial Statements contained in this Report)</w:t>
        </w:r>
        <w:r>
          <w:rPr>
            <w:rFonts w:ascii="Arial" w:cs="Arial" w:eastAsia="Arial" w:hAnsi="Arial"/>
            <w:sz w:val="13"/>
            <w:szCs w:val="13"/>
            <w:color w:val="0000EE"/>
          </w:rPr>
          <w:t>.</w:t>
        </w:r>
      </w:hyperlink>
      <w:r>
        <w:rPr>
          <w:rFonts w:ascii="Arial" w:cs="Arial" w:eastAsia="Arial" w:hAnsi="Arial"/>
          <w:sz w:val="13"/>
          <w:szCs w:val="13"/>
          <w:color w:val="0000EE"/>
        </w:rPr>
        <w:t xml:space="preserve"> </w:t>
      </w:r>
      <w:r>
        <w:rPr>
          <w:rFonts w:ascii="Arial" w:cs="Arial" w:eastAsia="Arial" w:hAnsi="Arial"/>
          <w:sz w:val="13"/>
          <w:szCs w:val="13"/>
          <w:color w:val="000000"/>
        </w:rPr>
        <w:t xml:space="preserve">31.1* </w:t>
      </w:r>
      <w:hyperlink w:anchor="page37">
        <w:r>
          <w:rPr>
            <w:rFonts w:ascii="Arial" w:cs="Arial" w:eastAsia="Arial" w:hAnsi="Arial"/>
            <w:sz w:val="13"/>
            <w:szCs w:val="13"/>
            <w:u w:val="single" w:color="auto"/>
            <w:color w:val="0000EE"/>
          </w:rPr>
          <w:t>Certification of Chief Executive Officer pursuant to Rule 13a-14 of the Securities Exchange Act of 1934, as amended.</w:t>
        </w:r>
      </w:hyperlink>
    </w:p>
    <w:p>
      <w:pPr>
        <w:spacing w:after="0" w:line="1" w:lineRule="exact"/>
        <w:rPr>
          <w:rFonts w:ascii="Arial" w:cs="Arial" w:eastAsia="Arial" w:hAnsi="Arial"/>
          <w:sz w:val="13"/>
          <w:szCs w:val="13"/>
          <w:color w:val="000000"/>
        </w:rPr>
      </w:pPr>
    </w:p>
    <w:p>
      <w:pPr>
        <w:spacing w:after="0"/>
        <w:rPr>
          <w:rFonts w:ascii="Arial" w:cs="Arial" w:eastAsia="Arial" w:hAnsi="Arial"/>
          <w:sz w:val="14"/>
          <w:szCs w:val="14"/>
          <w:color w:val="auto"/>
        </w:rPr>
      </w:pPr>
      <w:r>
        <w:rPr>
          <w:rFonts w:ascii="Arial" w:cs="Arial" w:eastAsia="Arial" w:hAnsi="Arial"/>
          <w:sz w:val="14"/>
          <w:szCs w:val="14"/>
          <w:color w:val="auto"/>
        </w:rPr>
        <w:t xml:space="preserve">31.2*   </w:t>
      </w:r>
      <w:hyperlink w:anchor="page38">
        <w:r>
          <w:rPr>
            <w:rFonts w:ascii="Arial" w:cs="Arial" w:eastAsia="Arial" w:hAnsi="Arial"/>
            <w:sz w:val="14"/>
            <w:szCs w:val="14"/>
            <w:u w:val="single" w:color="auto"/>
            <w:color w:val="0000EE"/>
          </w:rPr>
          <w:t>Certification of Chief Financial Officer pursuant to Rule 13a-14 of the Securities Exchange Act of 1934, as amended.</w:t>
        </w:r>
      </w:hyperlink>
    </w:p>
    <w:p>
      <w:pPr>
        <w:spacing w:after="0" w:line="13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32.1*   </w:t>
      </w:r>
      <w:hyperlink w:anchor="page39">
        <w:r>
          <w:rPr>
            <w:rFonts w:ascii="Arial" w:cs="Arial" w:eastAsia="Arial" w:hAnsi="Arial"/>
            <w:sz w:val="14"/>
            <w:szCs w:val="14"/>
            <w:u w:val="single" w:color="auto"/>
            <w:color w:val="0000EE"/>
          </w:rPr>
          <w:t>Certification of Chief Executive Officer pursuant to Section 906 of the Sarbanes-Oxley Act of 2002.</w:t>
        </w:r>
      </w:hyperlink>
    </w:p>
    <w:p>
      <w:pPr>
        <w:spacing w:after="0" w:line="136"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32.2*   </w:t>
      </w:r>
      <w:hyperlink w:anchor="page40">
        <w:r>
          <w:rPr>
            <w:rFonts w:ascii="Arial" w:cs="Arial" w:eastAsia="Arial" w:hAnsi="Arial"/>
            <w:sz w:val="14"/>
            <w:szCs w:val="14"/>
            <w:u w:val="single" w:color="auto"/>
            <w:color w:val="0000EE"/>
          </w:rPr>
          <w:t>Certification of Chief Financial Officer pursuant to Section 906 of the Sarbanes-Oxley Act of 2002.</w:t>
        </w:r>
      </w:hyperlink>
    </w:p>
    <w:p>
      <w:pPr>
        <w:spacing w:after="0" w:line="136" w:lineRule="exact"/>
        <w:rPr>
          <w:rFonts w:ascii="Arial" w:cs="Arial" w:eastAsia="Arial" w:hAnsi="Arial"/>
          <w:sz w:val="14"/>
          <w:szCs w:val="14"/>
          <w:color w:val="auto"/>
        </w:rPr>
      </w:pPr>
    </w:p>
    <w:p>
      <w:pPr>
        <w:ind w:right="240"/>
        <w:spacing w:after="0" w:line="514" w:lineRule="auto"/>
        <w:rPr>
          <w:rFonts w:ascii="Arial" w:cs="Arial" w:eastAsia="Arial" w:hAnsi="Arial"/>
          <w:sz w:val="14"/>
          <w:szCs w:val="14"/>
          <w:color w:val="auto"/>
        </w:rPr>
      </w:pPr>
      <w:r>
        <w:rPr>
          <w:rFonts w:ascii="Arial" w:cs="Arial" w:eastAsia="Arial" w:hAnsi="Arial"/>
          <w:sz w:val="14"/>
          <w:szCs w:val="14"/>
          <w:color w:val="auto"/>
        </w:rPr>
        <w:t xml:space="preserve">99.1 </w:t>
      </w:r>
      <w:hyperlink r:id="rId60">
        <w:r>
          <w:rPr>
            <w:rFonts w:ascii="Arial" w:cs="Arial" w:eastAsia="Arial" w:hAnsi="Arial"/>
            <w:sz w:val="14"/>
            <w:szCs w:val="14"/>
            <w:u w:val="single" w:color="auto"/>
            <w:color w:val="0000EE"/>
          </w:rPr>
          <w:t>Privacy Policy of the Registrant (Incorporated by reference to Exhibit 99.1 to the Registrant’s Annual Report on Form 10-K (File No. 814-00736), filed on November 16, 2011).</w:t>
        </w:r>
      </w:hyperlink>
      <w:r>
        <w:rPr>
          <w:rFonts w:ascii="Arial" w:cs="Arial" w:eastAsia="Arial" w:hAnsi="Arial"/>
          <w:sz w:val="14"/>
          <w:szCs w:val="14"/>
          <w:color w:val="auto"/>
        </w:rPr>
        <w:t xml:space="preserve"> * Filed herewith.</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13455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1">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127" w:lineRule="exact"/>
        <w:rPr>
          <w:rFonts w:ascii="Arial" w:cs="Arial" w:eastAsia="Arial" w:hAnsi="Arial"/>
          <w:sz w:val="14"/>
          <w:szCs w:val="14"/>
          <w:color w:val="auto"/>
        </w:rPr>
      </w:pPr>
    </w:p>
    <w:p>
      <w:pPr>
        <w:jc w:val="center"/>
        <w:ind w:right="-259"/>
        <w:spacing w:after="0"/>
        <w:rPr>
          <w:sz w:val="20"/>
          <w:szCs w:val="20"/>
          <w:color w:val="auto"/>
        </w:rPr>
      </w:pPr>
      <w:r>
        <w:rPr>
          <w:rFonts w:ascii="Arial" w:cs="Arial" w:eastAsia="Arial" w:hAnsi="Arial"/>
          <w:sz w:val="14"/>
          <w:szCs w:val="14"/>
          <w:color w:val="auto"/>
        </w:rPr>
        <w:t>35</w:t>
      </w:r>
    </w:p>
    <w:p>
      <w:pPr>
        <w:spacing w:after="0" w:line="20" w:lineRule="exact"/>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14946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980"/>
          </w:cols>
          <w:pgMar w:left="320" w:top="333" w:right="599" w:bottom="1440" w:gutter="0" w:footer="0" w:header="0"/>
        </w:sectPr>
      </w:pPr>
    </w:p>
    <w:bookmarkStart w:id="35" w:name="page36"/>
    <w:bookmarkEnd w:id="35"/>
    <w:p>
      <w:pPr>
        <w:jc w:val="center"/>
        <w:ind w:right="-319"/>
        <w:spacing w:after="0"/>
        <w:rPr>
          <w:sz w:val="20"/>
          <w:szCs w:val="20"/>
          <w:color w:val="auto"/>
        </w:rPr>
      </w:pPr>
      <w:r>
        <w:rPr>
          <w:rFonts w:ascii="Arial" w:cs="Arial" w:eastAsia="Arial" w:hAnsi="Arial"/>
          <w:sz w:val="14"/>
          <w:szCs w:val="14"/>
          <w:b w:val="1"/>
          <w:bCs w:val="1"/>
          <w:color w:val="auto"/>
        </w:rPr>
        <w:t>SIGNATURES</w:t>
      </w:r>
    </w:p>
    <w:p>
      <w:pPr>
        <w:spacing w:after="0" w:line="289" w:lineRule="exact"/>
        <w:rPr>
          <w:sz w:val="20"/>
          <w:szCs w:val="20"/>
          <w:color w:val="auto"/>
        </w:rPr>
      </w:pPr>
    </w:p>
    <w:p>
      <w:pPr>
        <w:ind w:firstLine="436"/>
        <w:spacing w:after="0" w:line="253" w:lineRule="auto"/>
        <w:rPr>
          <w:sz w:val="20"/>
          <w:szCs w:val="20"/>
          <w:color w:val="auto"/>
        </w:rPr>
      </w:pPr>
      <w:r>
        <w:rPr>
          <w:rFonts w:ascii="Arial" w:cs="Arial" w:eastAsia="Arial" w:hAnsi="Arial"/>
          <w:sz w:val="14"/>
          <w:szCs w:val="14"/>
          <w:color w:val="auto"/>
        </w:rPr>
        <w:t>Pursuant to the requirements of the Securities Exchange Act of 1934, the registrant has duly caused this Report on Form 10-Q to be signed on its behalf by the undersigned, thereunto duly authorized.</w:t>
      </w:r>
    </w:p>
    <w:p>
      <w:pPr>
        <w:sectPr>
          <w:pgSz w:w="11900" w:h="16838" w:orient="portrait"/>
          <w:cols w:equalWidth="0" w:num="1">
            <w:col w:w="10940"/>
          </w:cols>
          <w:pgMar w:left="320" w:top="333" w:right="639" w:bottom="1440" w:gutter="0" w:footer="0" w:header="0"/>
        </w:sectPr>
      </w:pPr>
    </w:p>
    <w:p>
      <w:pPr>
        <w:spacing w:after="0" w:line="200" w:lineRule="exact"/>
        <w:rPr>
          <w:sz w:val="20"/>
          <w:szCs w:val="20"/>
          <w:color w:val="auto"/>
        </w:rPr>
      </w:pPr>
    </w:p>
    <w:p>
      <w:pPr>
        <w:spacing w:after="0" w:line="392" w:lineRule="exact"/>
        <w:rPr>
          <w:sz w:val="20"/>
          <w:szCs w:val="20"/>
          <w:color w:val="auto"/>
        </w:rPr>
      </w:pPr>
    </w:p>
    <w:tbl>
      <w:tblPr>
        <w:tblLayout w:type="fixed"/>
        <w:tblInd w:w="640" w:type="dxa"/>
        <w:tblCellMar>
          <w:top w:w="0" w:type="dxa"/>
          <w:left w:w="0" w:type="dxa"/>
          <w:bottom w:w="0" w:type="dxa"/>
          <w:right w:w="0" w:type="dxa"/>
        </w:tblCellMar>
      </w:tblPr>
      <w:tr>
        <w:trPr>
          <w:trHeight w:val="182"/>
        </w:trPr>
        <w:tc>
          <w:tcPr>
            <w:tcW w:w="2920" w:type="dxa"/>
            <w:vAlign w:val="bottom"/>
          </w:tcPr>
          <w:p>
            <w:pPr>
              <w:spacing w:after="0"/>
              <w:rPr>
                <w:sz w:val="20"/>
                <w:szCs w:val="20"/>
                <w:color w:val="auto"/>
              </w:rPr>
            </w:pPr>
            <w:r>
              <w:rPr>
                <w:rFonts w:ascii="Arial" w:cs="Arial" w:eastAsia="Arial" w:hAnsi="Arial"/>
                <w:sz w:val="14"/>
                <w:szCs w:val="14"/>
                <w:color w:val="auto"/>
              </w:rPr>
              <w:t>Date: August 8, 2018</w:t>
            </w:r>
          </w:p>
        </w:tc>
        <w:tc>
          <w:tcPr>
            <w:tcW w:w="1920" w:type="dxa"/>
            <w:vAlign w:val="bottom"/>
            <w:vMerge w:val="restart"/>
          </w:tcPr>
          <w:p>
            <w:pPr>
              <w:ind w:left="1700"/>
              <w:spacing w:after="0"/>
              <w:rPr>
                <w:sz w:val="20"/>
                <w:szCs w:val="20"/>
                <w:color w:val="auto"/>
              </w:rPr>
            </w:pPr>
            <w:r>
              <w:rPr>
                <w:rFonts w:ascii="Arial" w:cs="Arial" w:eastAsia="Arial" w:hAnsi="Arial"/>
                <w:sz w:val="14"/>
                <w:szCs w:val="14"/>
                <w:color w:val="auto"/>
                <w:w w:val="98"/>
              </w:rPr>
              <w:t>By:</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83"/>
        </w:trPr>
        <w:tc>
          <w:tcPr>
            <w:tcW w:w="2920" w:type="dxa"/>
            <w:vAlign w:val="bottom"/>
          </w:tcPr>
          <w:p>
            <w:pPr>
              <w:spacing w:after="0"/>
              <w:rPr>
                <w:sz w:val="20"/>
                <w:szCs w:val="20"/>
                <w:color w:val="auto"/>
              </w:rPr>
            </w:pPr>
            <w:r>
              <w:rPr>
                <w:rFonts w:ascii="Arial" w:cs="Arial" w:eastAsia="Arial" w:hAnsi="Arial"/>
                <w:sz w:val="14"/>
                <w:szCs w:val="14"/>
                <w:color w:val="auto"/>
              </w:rPr>
              <w:t>Date: August 8, 2018</w:t>
            </w:r>
          </w:p>
        </w:tc>
        <w:tc>
          <w:tcPr>
            <w:tcW w:w="1920" w:type="dxa"/>
            <w:vAlign w:val="bottom"/>
            <w:vMerge w:val="restart"/>
          </w:tcPr>
          <w:p>
            <w:pPr>
              <w:ind w:left="1700"/>
              <w:spacing w:after="0"/>
              <w:rPr>
                <w:sz w:val="20"/>
                <w:szCs w:val="20"/>
                <w:color w:val="auto"/>
              </w:rPr>
            </w:pPr>
            <w:r>
              <w:rPr>
                <w:rFonts w:ascii="Arial" w:cs="Arial" w:eastAsia="Arial" w:hAnsi="Arial"/>
                <w:sz w:val="14"/>
                <w:szCs w:val="14"/>
                <w:color w:val="auto"/>
                <w:w w:val="98"/>
              </w:rPr>
              <w:t>By:</w:t>
            </w:r>
          </w:p>
        </w:tc>
        <w:tc>
          <w:tcPr>
            <w:tcW w:w="0" w:type="dxa"/>
            <w:vAlign w:val="bottom"/>
          </w:tcPr>
          <w:p>
            <w:pPr>
              <w:spacing w:after="0"/>
              <w:rPr>
                <w:sz w:val="1"/>
                <w:szCs w:val="1"/>
                <w:color w:val="auto"/>
              </w:rPr>
            </w:pPr>
          </w:p>
        </w:tc>
      </w:tr>
      <w:tr>
        <w:trPr>
          <w:trHeight w:val="81"/>
        </w:trPr>
        <w:tc>
          <w:tcPr>
            <w:tcW w:w="292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ind w:left="1460" w:right="1480" w:hanging="1376"/>
        <w:spacing w:after="0" w:line="473" w:lineRule="auto"/>
        <w:rPr>
          <w:sz w:val="20"/>
          <w:szCs w:val="20"/>
          <w:color w:val="auto"/>
        </w:rPr>
      </w:pPr>
      <w:r>
        <w:rPr>
          <w:rFonts w:ascii="Arial" w:cs="Arial" w:eastAsia="Arial" w:hAnsi="Arial"/>
          <w:sz w:val="13"/>
          <w:szCs w:val="13"/>
          <w:color w:val="auto"/>
        </w:rPr>
        <w:t>PENNANTPARK INVESTMENT CORPORATION /s/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-19050</wp:posOffset>
            </wp:positionV>
            <wp:extent cx="29057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3">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jc w:val="center"/>
        <w:ind w:right="640"/>
        <w:spacing w:after="0"/>
        <w:rPr>
          <w:sz w:val="20"/>
          <w:szCs w:val="20"/>
          <w:color w:val="auto"/>
        </w:rPr>
      </w:pPr>
      <w:r>
        <w:rPr>
          <w:rFonts w:ascii="Arial" w:cs="Arial" w:eastAsia="Arial" w:hAnsi="Arial"/>
          <w:sz w:val="14"/>
          <w:szCs w:val="14"/>
          <w:b w:val="1"/>
          <w:bCs w:val="1"/>
          <w:color w:val="auto"/>
        </w:rPr>
        <w:t>Arthur H. Penn</w:t>
      </w:r>
    </w:p>
    <w:p>
      <w:pPr>
        <w:spacing w:after="0" w:line="3" w:lineRule="exact"/>
        <w:rPr>
          <w:sz w:val="20"/>
          <w:szCs w:val="20"/>
          <w:color w:val="auto"/>
        </w:rPr>
      </w:pPr>
    </w:p>
    <w:p>
      <w:pPr>
        <w:jc w:val="center"/>
        <w:ind w:right="640"/>
        <w:spacing w:after="0"/>
        <w:rPr>
          <w:sz w:val="20"/>
          <w:szCs w:val="20"/>
          <w:color w:val="auto"/>
        </w:rPr>
      </w:pPr>
      <w:r>
        <w:rPr>
          <w:rFonts w:ascii="Arial" w:cs="Arial" w:eastAsia="Arial" w:hAnsi="Arial"/>
          <w:sz w:val="13"/>
          <w:szCs w:val="13"/>
          <w:b w:val="1"/>
          <w:bCs w:val="1"/>
          <w:color w:val="auto"/>
        </w:rPr>
        <w:t>Chief Executive Officer and Chairman of the Board of Directors</w:t>
      </w:r>
    </w:p>
    <w:p>
      <w:pPr>
        <w:jc w:val="center"/>
        <w:ind w:right="640"/>
        <w:spacing w:after="0"/>
        <w:rPr>
          <w:sz w:val="20"/>
          <w:szCs w:val="20"/>
          <w:color w:val="auto"/>
        </w:rPr>
      </w:pPr>
      <w:r>
        <w:rPr>
          <w:rFonts w:ascii="Arial" w:cs="Arial" w:eastAsia="Arial" w:hAnsi="Arial"/>
          <w:sz w:val="14"/>
          <w:szCs w:val="14"/>
          <w:b w:val="1"/>
          <w:bCs w:val="1"/>
          <w:color w:val="auto"/>
        </w:rPr>
        <w:t>(Principal Executive Officer)</w:t>
      </w:r>
    </w:p>
    <w:p>
      <w:pPr>
        <w:spacing w:after="0" w:line="192" w:lineRule="exact"/>
        <w:rPr>
          <w:sz w:val="20"/>
          <w:szCs w:val="20"/>
          <w:color w:val="auto"/>
        </w:rPr>
      </w:pPr>
    </w:p>
    <w:p>
      <w:pPr>
        <w:jc w:val="center"/>
        <w:ind w:right="640"/>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3810</wp:posOffset>
            </wp:positionV>
            <wp:extent cx="29057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2905760" cy="8255"/>
                    </a:xfrm>
                    <a:prstGeom prst="rect">
                      <a:avLst/>
                    </a:prstGeom>
                    <a:noFill/>
                  </pic:spPr>
                </pic:pic>
              </a:graphicData>
            </a:graphic>
          </wp:anchor>
        </w:drawing>
      </w:r>
    </w:p>
    <w:p>
      <w:pPr>
        <w:spacing w:after="0" w:line="18"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Aviv Efrat</w:t>
      </w:r>
    </w:p>
    <w:p>
      <w:pPr>
        <w:spacing w:after="0" w:line="82"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Chief Financial Officer and Treasurer</w:t>
      </w:r>
    </w:p>
    <w:p>
      <w:pPr>
        <w:spacing w:after="0" w:line="4" w:lineRule="exact"/>
        <w:rPr>
          <w:sz w:val="20"/>
          <w:szCs w:val="20"/>
          <w:color w:val="auto"/>
        </w:rPr>
      </w:pPr>
    </w:p>
    <w:p>
      <w:pPr>
        <w:jc w:val="center"/>
        <w:ind w:right="640"/>
        <w:spacing w:after="0"/>
        <w:rPr>
          <w:sz w:val="20"/>
          <w:szCs w:val="20"/>
          <w:color w:val="auto"/>
        </w:rPr>
      </w:pPr>
      <w:r>
        <w:rPr>
          <w:rFonts w:ascii="Arial" w:cs="Arial" w:eastAsia="Arial" w:hAnsi="Arial"/>
          <w:sz w:val="14"/>
          <w:szCs w:val="14"/>
          <w:b w:val="1"/>
          <w:bCs w:val="1"/>
          <w:color w:val="auto"/>
        </w:rPr>
        <w:t>(Principal Financial and Accounting Officer)</w:t>
      </w:r>
    </w:p>
    <w:p>
      <w:pPr>
        <w:spacing w:after="0" w:line="200" w:lineRule="exact"/>
        <w:rPr>
          <w:sz w:val="20"/>
          <w:szCs w:val="20"/>
          <w:color w:val="auto"/>
        </w:rPr>
      </w:pPr>
    </w:p>
    <w:p>
      <w:pPr>
        <w:sectPr>
          <w:pgSz w:w="11900" w:h="16838" w:orient="portrait"/>
          <w:cols w:equalWidth="0" w:num="2">
            <w:col w:w="5620" w:space="720"/>
            <w:col w:w="4600"/>
          </w:cols>
          <w:pgMar w:left="320" w:top="333" w:right="639" w:bottom="1440" w:gutter="0" w:footer="0" w:header="0"/>
          <w:type w:val="continuous"/>
        </w:sectPr>
      </w:pPr>
    </w:p>
    <w:p>
      <w:pPr>
        <w:spacing w:after="0" w:line="289" w:lineRule="exact"/>
        <w:rPr>
          <w:sz w:val="20"/>
          <w:szCs w:val="20"/>
          <w:color w:val="auto"/>
        </w:rPr>
      </w:pPr>
    </w:p>
    <w:p>
      <w:pPr>
        <w:jc w:val="center"/>
        <w:ind w:right="-319"/>
        <w:spacing w:after="0"/>
        <w:rPr>
          <w:sz w:val="20"/>
          <w:szCs w:val="20"/>
          <w:color w:val="auto"/>
        </w:rPr>
      </w:pPr>
      <w:r>
        <w:rPr>
          <w:rFonts w:ascii="Arial" w:cs="Arial" w:eastAsia="Arial" w:hAnsi="Arial"/>
          <w:sz w:val="12"/>
          <w:szCs w:val="12"/>
          <w:color w:val="auto"/>
        </w:rPr>
        <w:t>36</w:t>
      </w:r>
    </w:p>
    <w:p>
      <w:pPr>
        <w:sectPr>
          <w:pgSz w:w="11900" w:h="16838" w:orient="portrait"/>
          <w:cols w:equalWidth="0" w:num="1">
            <w:col w:w="10940"/>
          </w:cols>
          <w:pgMar w:left="320" w:top="333" w:right="639" w:bottom="1440" w:gutter="0" w:footer="0" w:header="0"/>
          <w:type w:val="continuous"/>
        </w:sectPr>
      </w:pPr>
    </w:p>
    <w:bookmarkStart w:id="36" w:name="page37"/>
    <w:bookmarkEnd w:id="36"/>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4"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CHIEF EXECUTIVE OFFICER CERTIFICATION</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I, Arthur H. Penn, Chief Executive Officer of PennantPark Investment Corporation, certify that:</w:t>
      </w:r>
    </w:p>
    <w:p>
      <w:pPr>
        <w:spacing w:after="0" w:line="123" w:lineRule="exact"/>
        <w:rPr>
          <w:sz w:val="20"/>
          <w:szCs w:val="20"/>
          <w:color w:val="auto"/>
        </w:rPr>
      </w:pPr>
    </w:p>
    <w:p>
      <w:pPr>
        <w:ind w:left="600" w:hanging="145"/>
        <w:spacing w:after="0"/>
        <w:tabs>
          <w:tab w:leader="none" w:pos="600" w:val="left"/>
        </w:tabs>
        <w:numPr>
          <w:ilvl w:val="1"/>
          <w:numId w:val="27"/>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480" w:firstLine="441"/>
        <w:spacing w:after="0" w:line="313" w:lineRule="auto"/>
        <w:tabs>
          <w:tab w:leader="none" w:pos="577"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right="580" w:firstLine="448"/>
        <w:spacing w:after="0" w:line="253" w:lineRule="auto"/>
        <w:tabs>
          <w:tab w:leader="none" w:pos="584" w:val="left"/>
        </w:tabs>
        <w:numPr>
          <w:ilvl w:val="0"/>
          <w:numId w:val="28"/>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4"/>
          <w:szCs w:val="14"/>
          <w:color w:val="auto"/>
        </w:rPr>
      </w:pPr>
    </w:p>
    <w:p>
      <w:pPr>
        <w:ind w:right="200" w:firstLine="455"/>
        <w:spacing w:after="0" w:line="253" w:lineRule="auto"/>
        <w:tabs>
          <w:tab w:leader="none" w:pos="591" w:val="left"/>
        </w:tabs>
        <w:numPr>
          <w:ilvl w:val="1"/>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6" w:lineRule="exact"/>
        <w:rPr>
          <w:rFonts w:ascii="Arial" w:cs="Arial" w:eastAsia="Arial" w:hAnsi="Arial"/>
          <w:sz w:val="14"/>
          <w:szCs w:val="14"/>
          <w:color w:val="auto"/>
        </w:rPr>
      </w:pPr>
    </w:p>
    <w:p>
      <w:pPr>
        <w:ind w:right="440" w:firstLine="695"/>
        <w:spacing w:after="0" w:line="405" w:lineRule="auto"/>
        <w:tabs>
          <w:tab w:leader="none" w:pos="832" w:val="left"/>
        </w:tabs>
        <w:numPr>
          <w:ilvl w:val="2"/>
          <w:numId w:val="28"/>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2"/>
          <w:szCs w:val="12"/>
          <w:color w:val="auto"/>
        </w:rPr>
      </w:pPr>
    </w:p>
    <w:p>
      <w:pPr>
        <w:ind w:right="620" w:firstLine="692"/>
        <w:spacing w:after="0" w:line="405" w:lineRule="auto"/>
        <w:tabs>
          <w:tab w:leader="none" w:pos="838" w:val="left"/>
        </w:tabs>
        <w:numPr>
          <w:ilvl w:val="2"/>
          <w:numId w:val="28"/>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2"/>
          <w:szCs w:val="12"/>
          <w:color w:val="auto"/>
        </w:rPr>
      </w:pPr>
    </w:p>
    <w:p>
      <w:pPr>
        <w:ind w:right="340" w:firstLine="719"/>
        <w:spacing w:after="0" w:line="313" w:lineRule="auto"/>
        <w:tabs>
          <w:tab w:leader="none" w:pos="856" w:val="left"/>
        </w:tabs>
        <w:numPr>
          <w:ilvl w:val="3"/>
          <w:numId w:val="28"/>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right="480" w:firstLine="705"/>
        <w:spacing w:after="0" w:line="355" w:lineRule="auto"/>
        <w:tabs>
          <w:tab w:leader="none" w:pos="850" w:val="left"/>
        </w:tabs>
        <w:numPr>
          <w:ilvl w:val="3"/>
          <w:numId w:val="28"/>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380" w:firstLine="447"/>
        <w:spacing w:after="0" w:line="313" w:lineRule="auto"/>
        <w:tabs>
          <w:tab w:leader="none" w:pos="583" w:val="left"/>
        </w:tabs>
        <w:numPr>
          <w:ilvl w:val="1"/>
          <w:numId w:val="28"/>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right="100" w:firstLine="719"/>
        <w:spacing w:after="0" w:line="313" w:lineRule="auto"/>
        <w:tabs>
          <w:tab w:leader="none" w:pos="856" w:val="left"/>
        </w:tabs>
        <w:numPr>
          <w:ilvl w:val="3"/>
          <w:numId w:val="29"/>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4"/>
          <w:szCs w:val="14"/>
          <w:color w:val="auto"/>
        </w:rPr>
      </w:pPr>
    </w:p>
    <w:p>
      <w:pPr>
        <w:ind w:left="860" w:hanging="161"/>
        <w:spacing w:after="0"/>
        <w:tabs>
          <w:tab w:leader="none" w:pos="860" w:val="left"/>
        </w:tabs>
        <w:numPr>
          <w:ilvl w:val="3"/>
          <w:numId w:val="29"/>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color w:val="auto"/>
        </w:rPr>
        <w:t>Dated: August 8, 2018</w:t>
      </w:r>
    </w:p>
    <w:p>
      <w:pPr>
        <w:spacing w:after="0" w:line="298"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ectPr>
          <w:pgSz w:w="11900" w:h="16838" w:orient="portrait"/>
          <w:cols w:equalWidth="0" w:num="1">
            <w:col w:w="11240"/>
          </w:cols>
          <w:pgMar w:left="320" w:top="346" w:right="339" w:bottom="1440" w:gutter="0" w:footer="0" w:header="0"/>
        </w:sectPr>
      </w:pPr>
    </w:p>
    <w:bookmarkStart w:id="37" w:name="page38"/>
    <w:bookmarkEnd w:id="37"/>
    <w:p>
      <w:pPr>
        <w:ind w:left="9960"/>
        <w:spacing w:after="0"/>
        <w:rPr>
          <w:sz w:val="20"/>
          <w:szCs w:val="20"/>
          <w:color w:val="auto"/>
        </w:rPr>
      </w:pPr>
      <w:r>
        <w:rPr>
          <w:rFonts w:ascii="Arial" w:cs="Arial" w:eastAsia="Arial" w:hAnsi="Arial"/>
          <w:sz w:val="14"/>
          <w:szCs w:val="14"/>
          <w:b w:val="1"/>
          <w:bCs w:val="1"/>
          <w:color w:val="auto"/>
        </w:rPr>
        <w:t>EXHIBIT 31.2</w:t>
      </w:r>
    </w:p>
    <w:p>
      <w:pPr>
        <w:spacing w:after="0" w:line="176" w:lineRule="exact"/>
        <w:rPr>
          <w:sz w:val="20"/>
          <w:szCs w:val="20"/>
          <w:color w:val="auto"/>
        </w:rPr>
      </w:pPr>
    </w:p>
    <w:p>
      <w:pPr>
        <w:ind w:left="4100"/>
        <w:spacing w:after="0"/>
        <w:rPr>
          <w:sz w:val="20"/>
          <w:szCs w:val="20"/>
          <w:color w:val="auto"/>
        </w:rPr>
      </w:pPr>
      <w:r>
        <w:rPr>
          <w:rFonts w:ascii="Arial" w:cs="Arial" w:eastAsia="Arial" w:hAnsi="Arial"/>
          <w:sz w:val="14"/>
          <w:szCs w:val="14"/>
          <w:b w:val="1"/>
          <w:bCs w:val="1"/>
          <w:color w:val="auto"/>
        </w:rPr>
        <w:t>CERTIFICATION PURSUANT TO SECTION 302</w:t>
      </w:r>
    </w:p>
    <w:p>
      <w:pPr>
        <w:spacing w:after="0" w:line="17" w:lineRule="exact"/>
        <w:rPr>
          <w:sz w:val="20"/>
          <w:szCs w:val="20"/>
          <w:color w:val="auto"/>
        </w:rPr>
      </w:pPr>
    </w:p>
    <w:p>
      <w:pPr>
        <w:ind w:left="4080"/>
        <w:spacing w:after="0"/>
        <w:rPr>
          <w:sz w:val="20"/>
          <w:szCs w:val="20"/>
          <w:color w:val="auto"/>
        </w:rPr>
      </w:pPr>
      <w:r>
        <w:rPr>
          <w:rFonts w:ascii="Arial" w:cs="Arial" w:eastAsia="Arial" w:hAnsi="Arial"/>
          <w:sz w:val="14"/>
          <w:szCs w:val="14"/>
          <w:b w:val="1"/>
          <w:bCs w:val="1"/>
          <w:color w:val="auto"/>
        </w:rPr>
        <w:t>CHIEF FINANCIAL OFFICER CERTIFICATION</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color w:val="auto"/>
        </w:rPr>
        <w:t>I, Aviv Efrat, Chief Financial Officer of PennantPark Investment Corporation, certify that:</w:t>
      </w:r>
    </w:p>
    <w:p>
      <w:pPr>
        <w:spacing w:after="0" w:line="123" w:lineRule="exact"/>
        <w:rPr>
          <w:sz w:val="20"/>
          <w:szCs w:val="20"/>
          <w:color w:val="auto"/>
        </w:rPr>
      </w:pPr>
    </w:p>
    <w:p>
      <w:pPr>
        <w:ind w:left="600" w:hanging="145"/>
        <w:spacing w:after="0"/>
        <w:tabs>
          <w:tab w:leader="none" w:pos="600" w:val="left"/>
        </w:tabs>
        <w:numPr>
          <w:ilvl w:val="1"/>
          <w:numId w:val="30"/>
        </w:numPr>
        <w:rPr>
          <w:rFonts w:ascii="Arial" w:cs="Arial" w:eastAsia="Arial" w:hAnsi="Arial"/>
          <w:sz w:val="14"/>
          <w:szCs w:val="14"/>
          <w:color w:val="auto"/>
        </w:rPr>
      </w:pPr>
      <w:r>
        <w:rPr>
          <w:rFonts w:ascii="Arial" w:cs="Arial" w:eastAsia="Arial" w:hAnsi="Arial"/>
          <w:sz w:val="14"/>
          <w:szCs w:val="14"/>
          <w:color w:val="auto"/>
        </w:rPr>
        <w:t>I have reviewed this Report on Form 10-Q of PennantPark Investment Corporation;</w:t>
      </w:r>
    </w:p>
    <w:p>
      <w:pPr>
        <w:spacing w:after="0" w:line="163" w:lineRule="exact"/>
        <w:rPr>
          <w:rFonts w:ascii="Arial" w:cs="Arial" w:eastAsia="Arial" w:hAnsi="Arial"/>
          <w:sz w:val="14"/>
          <w:szCs w:val="14"/>
          <w:color w:val="auto"/>
        </w:rPr>
      </w:pPr>
    </w:p>
    <w:p>
      <w:pPr>
        <w:ind w:right="380" w:firstLine="441"/>
        <w:spacing w:after="0" w:line="313" w:lineRule="auto"/>
        <w:tabs>
          <w:tab w:leader="none" w:pos="577"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9" w:lineRule="exact"/>
        <w:rPr>
          <w:rFonts w:ascii="Arial" w:cs="Arial" w:eastAsia="Arial" w:hAnsi="Arial"/>
          <w:sz w:val="14"/>
          <w:szCs w:val="14"/>
          <w:color w:val="auto"/>
        </w:rPr>
      </w:pPr>
    </w:p>
    <w:p>
      <w:pPr>
        <w:ind w:right="480" w:firstLine="448"/>
        <w:spacing w:after="0" w:line="253" w:lineRule="auto"/>
        <w:tabs>
          <w:tab w:leader="none" w:pos="584" w:val="left"/>
        </w:tabs>
        <w:numPr>
          <w:ilvl w:val="0"/>
          <w:numId w:val="3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4"/>
          <w:szCs w:val="14"/>
          <w:color w:val="auto"/>
        </w:rPr>
      </w:pPr>
    </w:p>
    <w:p>
      <w:pPr>
        <w:ind w:left="580" w:hanging="139"/>
        <w:spacing w:after="0"/>
        <w:tabs>
          <w:tab w:leader="none" w:pos="580" w:val="left"/>
        </w:tabs>
        <w:numPr>
          <w:ilvl w:val="0"/>
          <w:numId w:val="31"/>
        </w:numPr>
        <w:rPr>
          <w:rFonts w:ascii="Arial" w:cs="Arial" w:eastAsia="Arial" w:hAnsi="Arial"/>
          <w:sz w:val="13"/>
          <w:szCs w:val="13"/>
          <w:color w:val="auto"/>
        </w:rPr>
      </w:pPr>
      <w:r>
        <w:rPr>
          <w:rFonts w:ascii="Arial" w:cs="Arial" w:eastAsia="Arial" w:hAnsi="Arial"/>
          <w:sz w:val="13"/>
          <w:szCs w:val="13"/>
          <w:color w:val="auto"/>
        </w:rPr>
        <w:t>The registrant’s other certifying officer and I are responsible for establishing and maintaining disclosure controls and procedures (as defined in Exchange Act Rules 13a-15(e) and</w:t>
      </w:r>
    </w:p>
    <w:p>
      <w:pPr>
        <w:spacing w:after="0" w:line="1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51" w:lineRule="exact"/>
        <w:rPr>
          <w:rFonts w:ascii="Arial" w:cs="Arial" w:eastAsia="Arial" w:hAnsi="Arial"/>
          <w:sz w:val="13"/>
          <w:szCs w:val="13"/>
          <w:color w:val="auto"/>
        </w:rPr>
      </w:pPr>
    </w:p>
    <w:p>
      <w:pPr>
        <w:ind w:right="340" w:firstLine="695"/>
        <w:spacing w:after="0" w:line="405" w:lineRule="auto"/>
        <w:tabs>
          <w:tab w:leader="none" w:pos="832" w:val="left"/>
        </w:tabs>
        <w:numPr>
          <w:ilvl w:val="2"/>
          <w:numId w:val="3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2"/>
          <w:szCs w:val="12"/>
          <w:color w:val="auto"/>
        </w:rPr>
      </w:pPr>
    </w:p>
    <w:p>
      <w:pPr>
        <w:ind w:right="520" w:firstLine="692"/>
        <w:spacing w:after="0" w:line="405" w:lineRule="auto"/>
        <w:tabs>
          <w:tab w:leader="none" w:pos="838" w:val="left"/>
        </w:tabs>
        <w:numPr>
          <w:ilvl w:val="2"/>
          <w:numId w:val="3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2"/>
          <w:szCs w:val="12"/>
          <w:color w:val="auto"/>
        </w:rPr>
      </w:pPr>
    </w:p>
    <w:p>
      <w:pPr>
        <w:ind w:right="240" w:firstLine="719"/>
        <w:spacing w:after="0" w:line="313" w:lineRule="auto"/>
        <w:tabs>
          <w:tab w:leader="none" w:pos="856" w:val="left"/>
        </w:tabs>
        <w:numPr>
          <w:ilvl w:val="3"/>
          <w:numId w:val="3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Arial" w:cs="Arial" w:eastAsia="Arial" w:hAnsi="Arial"/>
          <w:sz w:val="14"/>
          <w:szCs w:val="14"/>
          <w:color w:val="auto"/>
        </w:rPr>
      </w:pPr>
    </w:p>
    <w:p>
      <w:pPr>
        <w:ind w:right="380" w:firstLine="705"/>
        <w:spacing w:after="0" w:line="355" w:lineRule="auto"/>
        <w:tabs>
          <w:tab w:leader="none" w:pos="850" w:val="left"/>
        </w:tabs>
        <w:numPr>
          <w:ilvl w:val="3"/>
          <w:numId w:val="3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7" w:lineRule="exact"/>
        <w:rPr>
          <w:rFonts w:ascii="Arial" w:cs="Arial" w:eastAsia="Arial" w:hAnsi="Arial"/>
          <w:sz w:val="13"/>
          <w:szCs w:val="13"/>
          <w:color w:val="auto"/>
        </w:rPr>
      </w:pPr>
    </w:p>
    <w:p>
      <w:pPr>
        <w:ind w:right="280" w:firstLine="447"/>
        <w:spacing w:after="0" w:line="313" w:lineRule="auto"/>
        <w:tabs>
          <w:tab w:leader="none" w:pos="583" w:val="left"/>
        </w:tabs>
        <w:numPr>
          <w:ilvl w:val="1"/>
          <w:numId w:val="31"/>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0" w:lineRule="exact"/>
        <w:rPr>
          <w:rFonts w:ascii="Arial" w:cs="Arial" w:eastAsia="Arial" w:hAnsi="Arial"/>
          <w:sz w:val="14"/>
          <w:szCs w:val="14"/>
          <w:color w:val="auto"/>
        </w:rPr>
      </w:pPr>
    </w:p>
    <w:p>
      <w:pPr>
        <w:ind w:firstLine="719"/>
        <w:spacing w:after="0" w:line="313" w:lineRule="auto"/>
        <w:tabs>
          <w:tab w:leader="none" w:pos="856" w:val="left"/>
        </w:tabs>
        <w:numPr>
          <w:ilvl w:val="3"/>
          <w:numId w:val="3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3" w:lineRule="exact"/>
        <w:rPr>
          <w:rFonts w:ascii="Arial" w:cs="Arial" w:eastAsia="Arial" w:hAnsi="Arial"/>
          <w:sz w:val="14"/>
          <w:szCs w:val="14"/>
          <w:color w:val="auto"/>
        </w:rPr>
      </w:pPr>
    </w:p>
    <w:p>
      <w:pPr>
        <w:ind w:left="860" w:hanging="161"/>
        <w:spacing w:after="0"/>
        <w:tabs>
          <w:tab w:leader="none" w:pos="860" w:val="left"/>
        </w:tabs>
        <w:numPr>
          <w:ilvl w:val="3"/>
          <w:numId w:val="32"/>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color w:val="auto"/>
        </w:rPr>
        <w:t>Dated: August 8, 2018</w:t>
      </w:r>
    </w:p>
    <w:p>
      <w:pPr>
        <w:spacing w:after="0" w:line="352"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Financial Officer</w:t>
      </w:r>
    </w:p>
    <w:p>
      <w:pPr>
        <w:sectPr>
          <w:pgSz w:w="11900" w:h="16838" w:orient="portrait"/>
          <w:cols w:equalWidth="0" w:num="1">
            <w:col w:w="11140"/>
          </w:cols>
          <w:pgMar w:left="320" w:top="118" w:right="439" w:bottom="1440" w:gutter="0" w:footer="0" w:header="0"/>
        </w:sectPr>
      </w:pPr>
    </w:p>
    <w:bookmarkStart w:id="38" w:name="page39"/>
    <w:bookmarkEnd w:id="38"/>
    <w:p>
      <w:pPr>
        <w:jc w:val="right"/>
        <w:spacing w:after="0"/>
        <w:rPr>
          <w:sz w:val="20"/>
          <w:szCs w:val="20"/>
          <w:color w:val="auto"/>
        </w:rPr>
      </w:pPr>
      <w:r>
        <w:rPr>
          <w:rFonts w:ascii="Arial" w:cs="Arial" w:eastAsia="Arial" w:hAnsi="Arial"/>
          <w:sz w:val="14"/>
          <w:szCs w:val="14"/>
          <w:b w:val="1"/>
          <w:bCs w:val="1"/>
          <w:color w:val="auto"/>
        </w:rPr>
        <w:t>EXHIBIT 32.1</w:t>
      </w:r>
    </w:p>
    <w:p>
      <w:pPr>
        <w:spacing w:after="0" w:line="258" w:lineRule="exact"/>
        <w:rPr>
          <w:sz w:val="20"/>
          <w:szCs w:val="20"/>
          <w:color w:val="auto"/>
        </w:rPr>
      </w:pPr>
    </w:p>
    <w:p>
      <w:pPr>
        <w:ind w:left="3940"/>
        <w:spacing w:after="0"/>
        <w:rPr>
          <w:sz w:val="20"/>
          <w:szCs w:val="20"/>
          <w:color w:val="auto"/>
        </w:rPr>
      </w:pPr>
      <w:r>
        <w:rPr>
          <w:rFonts w:ascii="Arial" w:cs="Arial" w:eastAsia="Arial" w:hAnsi="Arial"/>
          <w:sz w:val="14"/>
          <w:szCs w:val="14"/>
          <w:b w:val="1"/>
          <w:bCs w:val="1"/>
          <w:color w:val="auto"/>
        </w:rPr>
        <w:t>CERTIFICATION OF CHIEF EXECUTIVE OFFICER</w:t>
      </w:r>
    </w:p>
    <w:p>
      <w:pPr>
        <w:spacing w:after="0" w:line="55" w:lineRule="exact"/>
        <w:rPr>
          <w:sz w:val="20"/>
          <w:szCs w:val="20"/>
          <w:color w:val="auto"/>
        </w:rPr>
      </w:pPr>
    </w:p>
    <w:p>
      <w:pPr>
        <w:ind w:left="5140"/>
        <w:spacing w:after="0"/>
        <w:rPr>
          <w:sz w:val="20"/>
          <w:szCs w:val="20"/>
          <w:color w:val="auto"/>
        </w:rPr>
      </w:pPr>
      <w:r>
        <w:rPr>
          <w:rFonts w:ascii="Arial" w:cs="Arial" w:eastAsia="Arial" w:hAnsi="Arial"/>
          <w:sz w:val="14"/>
          <w:szCs w:val="14"/>
          <w:b w:val="1"/>
          <w:bCs w:val="1"/>
          <w:color w:val="auto"/>
        </w:rPr>
        <w:t>PURSUANT TO</w:t>
      </w:r>
    </w:p>
    <w:p>
      <w:pPr>
        <w:spacing w:after="0" w:line="28" w:lineRule="exact"/>
        <w:rPr>
          <w:sz w:val="20"/>
          <w:szCs w:val="20"/>
          <w:color w:val="auto"/>
        </w:rPr>
      </w:pPr>
    </w:p>
    <w:p>
      <w:pPr>
        <w:jc w:val="center"/>
        <w:ind w:right="-419"/>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81" w:lineRule="exact"/>
        <w:rPr>
          <w:sz w:val="20"/>
          <w:szCs w:val="20"/>
          <w:color w:val="auto"/>
        </w:rPr>
      </w:pPr>
    </w:p>
    <w:p>
      <w:pPr>
        <w:ind w:left="120" w:right="40" w:firstLine="408"/>
        <w:spacing w:after="0" w:line="290" w:lineRule="auto"/>
        <w:rPr>
          <w:sz w:val="20"/>
          <w:szCs w:val="20"/>
          <w:color w:val="auto"/>
        </w:rPr>
      </w:pPr>
      <w:r>
        <w:rPr>
          <w:rFonts w:ascii="Arial" w:cs="Arial" w:eastAsia="Arial" w:hAnsi="Arial"/>
          <w:sz w:val="13"/>
          <w:szCs w:val="13"/>
          <w:color w:val="auto"/>
        </w:rPr>
        <w:t>In connection with this Report on Form 10-Q for the three and nine months ended June 30, 2018 (the “Report”) of PennantPark Investment Corporation (the “Registrant”), as filed with the Securities and Exchange Commission on the date hereof, I, Arthur H. Penn, Chief Executive Officer of the Registrant, hereby certify, to the best of my knowledge, that:</w:t>
      </w:r>
    </w:p>
    <w:p>
      <w:pPr>
        <w:spacing w:after="0" w:line="84" w:lineRule="exact"/>
        <w:rPr>
          <w:sz w:val="20"/>
          <w:szCs w:val="20"/>
          <w:color w:val="auto"/>
        </w:rPr>
      </w:pPr>
    </w:p>
    <w:p>
      <w:pPr>
        <w:ind w:left="920" w:hanging="318"/>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920" w:hanging="316"/>
        <w:spacing w:after="0"/>
        <w:tabs>
          <w:tab w:leader="none" w:pos="92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24688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Name: Arthur H. Penn</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3"/>
          <w:szCs w:val="13"/>
          <w:color w:val="auto"/>
        </w:rPr>
        <w:t>Chief Executive Officer</w:t>
      </w:r>
    </w:p>
    <w:p>
      <w:pPr>
        <w:spacing w:after="0" w:line="28" w:lineRule="exact"/>
        <w:rPr>
          <w:sz w:val="20"/>
          <w:szCs w:val="20"/>
          <w:color w:val="auto"/>
        </w:rPr>
      </w:pPr>
    </w:p>
    <w:p>
      <w:pPr>
        <w:spacing w:after="0"/>
        <w:tabs>
          <w:tab w:leader="none" w:pos="440" w:val="left"/>
        </w:tabs>
        <w:rPr>
          <w:sz w:val="20"/>
          <w:szCs w:val="20"/>
          <w:color w:val="auto"/>
        </w:rPr>
      </w:pPr>
      <w:r>
        <w:rPr>
          <w:rFonts w:ascii="Arial" w:cs="Arial" w:eastAsia="Arial" w:hAnsi="Arial"/>
          <w:sz w:val="14"/>
          <w:szCs w:val="14"/>
          <w:color w:val="auto"/>
        </w:rPr>
        <w:t>Date:</w:t>
      </w:r>
      <w:r>
        <w:rPr>
          <w:sz w:val="20"/>
          <w:szCs w:val="20"/>
          <w:color w:val="auto"/>
        </w:rPr>
        <w:tab/>
      </w:r>
      <w:r>
        <w:rPr>
          <w:rFonts w:ascii="Arial" w:cs="Arial" w:eastAsia="Arial" w:hAnsi="Arial"/>
          <w:sz w:val="13"/>
          <w:szCs w:val="13"/>
          <w:color w:val="auto"/>
        </w:rPr>
        <w:t>August 8, 2018</w:t>
      </w:r>
    </w:p>
    <w:p>
      <w:pPr>
        <w:sectPr>
          <w:pgSz w:w="11900" w:h="16838" w:orient="portrait"/>
          <w:cols w:equalWidth="0" w:num="1">
            <w:col w:w="10840"/>
          </w:cols>
          <w:pgMar w:left="320" w:top="130" w:right="739" w:bottom="1440" w:gutter="0" w:footer="0" w:header="0"/>
        </w:sectPr>
      </w:pPr>
    </w:p>
    <w:bookmarkStart w:id="39" w:name="page40"/>
    <w:bookmarkEnd w:id="39"/>
    <w:p>
      <w:pPr>
        <w:jc w:val="right"/>
        <w:spacing w:after="0"/>
        <w:rPr>
          <w:sz w:val="20"/>
          <w:szCs w:val="20"/>
          <w:color w:val="auto"/>
        </w:rPr>
      </w:pPr>
      <w:r>
        <w:rPr>
          <w:rFonts w:ascii="Arial" w:cs="Arial" w:eastAsia="Arial" w:hAnsi="Arial"/>
          <w:sz w:val="14"/>
          <w:szCs w:val="14"/>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CHIEF FINANCIAL OFFICER</w:t>
      </w:r>
    </w:p>
    <w:p>
      <w:pPr>
        <w:jc w:val="center"/>
        <w:spacing w:after="0" w:line="226" w:lineRule="auto"/>
        <w:rPr>
          <w:sz w:val="20"/>
          <w:szCs w:val="20"/>
          <w:color w:val="auto"/>
        </w:rPr>
      </w:pPr>
      <w:r>
        <w:rPr>
          <w:rFonts w:ascii="Arial" w:cs="Arial" w:eastAsia="Arial" w:hAnsi="Arial"/>
          <w:sz w:val="14"/>
          <w:szCs w:val="14"/>
          <w:b w:val="1"/>
          <w:bCs w:val="1"/>
          <w:color w:val="auto"/>
        </w:rPr>
        <w:t>PURSUANT TO</w:t>
      </w:r>
    </w:p>
    <w:p>
      <w:pPr>
        <w:jc w:val="center"/>
        <w:spacing w:after="0"/>
        <w:rPr>
          <w:sz w:val="20"/>
          <w:szCs w:val="20"/>
          <w:color w:val="auto"/>
        </w:rPr>
      </w:pPr>
      <w:r>
        <w:rPr>
          <w:rFonts w:ascii="Arial" w:cs="Arial" w:eastAsia="Arial" w:hAnsi="Arial"/>
          <w:sz w:val="14"/>
          <w:szCs w:val="14"/>
          <w:b w:val="1"/>
          <w:bCs w:val="1"/>
          <w:color w:val="auto"/>
        </w:rPr>
        <w:t>SECTION 906 OF THE SARBANES-OXLEY ACT OF 2002 (18 U.S.C. 1350)</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3"/>
          <w:szCs w:val="13"/>
          <w:color w:val="auto"/>
        </w:rPr>
        <w:t>In connection with this Report on Form 10-Q for the three and nine months ended June 30, 2018 (the “Report”) of PennantPark Investment Corporation (the “Registrant”), as filed with the</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Securities and Exchange Commission on the date hereof, I, Aviv Efrat, Chief Financial Officer of the Registrant, hereby certify, to the best of my knowledge, that:</w:t>
      </w:r>
    </w:p>
    <w:p>
      <w:pPr>
        <w:spacing w:after="0" w:line="124" w:lineRule="exact"/>
        <w:rPr>
          <w:sz w:val="20"/>
          <w:szCs w:val="20"/>
          <w:color w:val="auto"/>
        </w:rPr>
      </w:pPr>
    </w:p>
    <w:p>
      <w:pPr>
        <w:ind w:left="920" w:hanging="318"/>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Report fully complies with the requirements of Section 13(a) or 15(d) of the Securities Exchange Act of 1934, as amended; and</w:t>
      </w:r>
    </w:p>
    <w:p>
      <w:pPr>
        <w:spacing w:after="0" w:line="136" w:lineRule="exact"/>
        <w:rPr>
          <w:rFonts w:ascii="Arial" w:cs="Arial" w:eastAsia="Arial" w:hAnsi="Arial"/>
          <w:sz w:val="14"/>
          <w:szCs w:val="14"/>
          <w:color w:val="auto"/>
        </w:rPr>
      </w:pPr>
    </w:p>
    <w:p>
      <w:pPr>
        <w:ind w:left="920" w:hanging="316"/>
        <w:spacing w:after="0"/>
        <w:tabs>
          <w:tab w:leader="none" w:pos="92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information contained in the Report fairly presents, in all material respects, the financial condition and results of operations of the Registrant.</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color w:val="auto"/>
        </w:rPr>
        <w:t>/s/ Aviv Efrat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126873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1268730" cy="8255"/>
                    </a:xfrm>
                    <a:prstGeom prst="rect">
                      <a:avLst/>
                    </a:prstGeom>
                    <a:noFill/>
                  </pic:spPr>
                </pic:pic>
              </a:graphicData>
            </a:graphic>
          </wp:anchor>
        </w:drawing>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color w:val="auto"/>
        </w:rPr>
        <w:t>Name: Aviv Efrat</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Title:  Chief Financial Officer</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Date:  August 8, 2018</w:t>
      </w:r>
    </w:p>
    <w:sectPr>
      <w:pgSz w:w="11900" w:h="16838" w:orient="portrait"/>
      <w:cols w:equalWidth="0" w:num="1">
        <w:col w:w="11240"/>
      </w:cols>
      <w:pgMar w:left="320" w:top="3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1)"/>
      <w:numFmt w:val="decimal"/>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lowerLetter"/>
      <w:start w:val="1"/>
    </w:lvl>
  </w:abstractNum>
  <w:abstractNum w:abstractNumId="5">
    <w:nsid w:val="62BBD95A"/>
    <w:multiLevelType w:val="hybridMultilevel"/>
    <w:lvl w:ilvl="0">
      <w:lvlJc w:val="left"/>
      <w:lvlText w:val="(%1)"/>
      <w:numFmt w:val="decimal"/>
      <w:start w:val="1"/>
    </w:lvl>
  </w:abstractNum>
  <w:abstractNum w:abstractNumId="6">
    <w:nsid w:val="436C6125"/>
    <w:multiLevelType w:val="hybridMultilevel"/>
    <w:lvl w:ilvl="0">
      <w:lvlJc w:val="left"/>
      <w:lvlText w:val="(%1)"/>
      <w:numFmt w:val="lowerLetter"/>
      <w:start w:val="2"/>
    </w:lvl>
  </w:abstractNum>
  <w:abstractNum w:abstractNumId="7">
    <w:nsid w:val="628C895D"/>
    <w:multiLevelType w:val="hybridMultilevel"/>
    <w:lvl w:ilvl="0">
      <w:lvlJc w:val="left"/>
      <w:lvlText w:val="(%1)"/>
      <w:numFmt w:val="lowerLetter"/>
      <w:start w:val="3"/>
    </w:lvl>
  </w:abstractNum>
  <w:abstractNum w:abstractNumId="8">
    <w:nsid w:val="333AB105"/>
    <w:multiLevelType w:val="hybridMultilevel"/>
    <w:lvl w:ilvl="0">
      <w:lvlJc w:val="left"/>
      <w:lvlText w:val="(%1)"/>
      <w:numFmt w:val="lowerLetter"/>
      <w:start w:val="4"/>
    </w:lvl>
  </w:abstractNum>
  <w:abstractNum w:abstractNumId="9">
    <w:nsid w:val="721DA317"/>
    <w:multiLevelType w:val="hybridMultilevel"/>
    <w:lvl w:ilvl="0">
      <w:lvlJc w:val="left"/>
      <w:lvlText w:val="(%1)"/>
      <w:numFmt w:val="lowerLetter"/>
      <w:start w:val="5"/>
    </w:lvl>
  </w:abstractNum>
  <w:abstractNum w:abstractNumId="10">
    <w:nsid w:val="2443A858"/>
    <w:multiLevelType w:val="hybridMultilevel"/>
    <w:lvl w:ilvl="0">
      <w:lvlJc w:val="left"/>
      <w:lvlText w:val="%1."/>
      <w:numFmt w:val="decimal"/>
      <w:start w:val="1"/>
    </w:lvl>
  </w:abstractNum>
  <w:abstractNum w:abstractNumId="11">
    <w:nsid w:val="2D1D5AE9"/>
    <w:multiLevelType w:val="hybridMultilevel"/>
    <w:lvl w:ilvl="0">
      <w:lvlJc w:val="left"/>
      <w:lvlText w:val="(%1)"/>
      <w:numFmt w:val="lowerLetter"/>
      <w:start w:val="6"/>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1)"/>
      <w:numFmt w:val="decimal"/>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1)"/>
      <w:numFmt w:val="decimal"/>
      <w:start w:val="1"/>
    </w:lvl>
  </w:abstractNum>
  <w:abstractNum w:abstractNumId="16">
    <w:nsid w:val="4353D0CD"/>
    <w:multiLevelType w:val="hybridMultilevel"/>
    <w:lvl w:ilvl="0">
      <w:lvlJc w:val="left"/>
      <w:lvlText w:val="%1"/>
      <w:numFmt w:val="upperLetter"/>
      <w:start w:val="35"/>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1)"/>
      <w:numFmt w:val="decimal"/>
      <w:start w:val="1"/>
    </w:lvl>
  </w:abstractNum>
  <w:abstractNum w:abstractNumId="20">
    <w:nsid w:val="71F32454"/>
    <w:multiLevelType w:val="hybridMultilevel"/>
    <w:lvl w:ilvl="0">
      <w:lvlJc w:val="left"/>
      <w:lvlText w:val="%1."/>
      <w:numFmt w:val="decimal"/>
      <w:start w:val="1"/>
    </w:lvl>
  </w:abstractNum>
  <w:abstractNum w:abstractNumId="21">
    <w:nsid w:val="2CA88611"/>
    <w:multiLevelType w:val="hybridMultilevel"/>
    <w:lvl w:ilvl="0">
      <w:lvlJc w:val="left"/>
      <w:lvlText w:val="%1"/>
      <w:numFmt w:val="upperLetter"/>
      <w:start w:val="35"/>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1"/>
    </w:lvl>
  </w:abstractNum>
  <w:abstractNum w:abstractNumId="25">
    <w:nsid w:val="8138641"/>
    <w:multiLevelType w:val="hybridMultilevel"/>
    <w:lvl w:ilvl="0">
      <w:lvlJc w:val="left"/>
      <w:lvlText w:val="%1"/>
      <w:numFmt w:val="decimal"/>
      <w:start w:val="11"/>
    </w:lvl>
  </w:abstractNum>
  <w:abstractNum w:abstractNumId="26">
    <w:nsid w:val="1E7FF52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7">
    <w:nsid w:val="7C3DBD3D"/>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28">
    <w:nsid w:val="737B8D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29">
    <w:nsid w:val="6CEAF087"/>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0">
    <w:nsid w:val="22221A70"/>
    <w:multiLevelType w:val="hybridMultilevel"/>
    <w:lvl w:ilvl="0">
      <w:lvlJc w:val="left"/>
      <w:lvlText w:val="%1."/>
      <w:numFmt w:val="decimal"/>
      <w:start w:val="2"/>
    </w:lvl>
    <w:lvl w:ilvl="1">
      <w:lvlJc w:val="left"/>
      <w:lvlText w:val="%2."/>
      <w:numFmt w:val="decimal"/>
      <w:start w:val="4"/>
    </w:lvl>
    <w:lvl w:ilvl="2">
      <w:lvlJc w:val="left"/>
      <w:lvlText w:val="%3)"/>
      <w:numFmt w:val="lowerLetter"/>
      <w:start w:val="1"/>
    </w:lvl>
    <w:lvl w:ilvl="3">
      <w:lvlJc w:val="left"/>
      <w:lvlText w:val="%4)"/>
      <w:numFmt w:val="lowerLetter"/>
      <w:start w:val="3"/>
    </w:lvl>
  </w:abstractNum>
  <w:abstractNum w:abstractNumId="31">
    <w:nsid w:val="4516DDE9"/>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32">
    <w:nsid w:val="3006C83E"/>
    <w:multiLevelType w:val="hybridMultilevel"/>
    <w:lvl w:ilvl="0">
      <w:lvlJc w:val="left"/>
      <w:lvlText w:val="(%1)"/>
      <w:numFmt w:val="decimal"/>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61" Type="http://schemas.openxmlformats.org/officeDocument/2006/relationships/image" Target="media/image50.png"/><Relationship Id="rId62" Type="http://schemas.openxmlformats.org/officeDocument/2006/relationships/image" Target="media/image51.png"/><Relationship Id="rId63"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57" Type="http://schemas.openxmlformats.org/officeDocument/2006/relationships/hyperlink" Target="http://www.sec.gov/Archives/edgar/data/1383414/000119312507075646/dex99a.htm" TargetMode="External"/><Relationship Id="rId58" Type="http://schemas.openxmlformats.org/officeDocument/2006/relationships/hyperlink" Target="http://www.sec.gov/Archives/edgar/data/1383414/000119312515393210/d59522dex31.htm" TargetMode="External"/><Relationship Id="rId59" Type="http://schemas.openxmlformats.org/officeDocument/2006/relationships/hyperlink" Target="http://www.sec.gov/Archives/edgar/data/1383414/000119312508072557/dex99d1.htm" TargetMode="External"/><Relationship Id="rId60" Type="http://schemas.openxmlformats.org/officeDocument/2006/relationships/hyperlink" Target="http://www.sec.gov/Archives/edgar/data/1383414/000138341411000013/pnntprivacypolicy0920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2020-05-05T15:17:30Z</dcterms:created>
  <dcterms:modified xsi:type="dcterms:W3CDTF">2020-05-05T15:17:30Z</dcterms:modified>
</cp:coreProperties>
</file>