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nnt-20260115.htm"/>
      <w:bookmarkStart w:id="1" w:name="kspnnt20260115"/>
      <w:bookmarkEnd w:id="0"/>
      <w:bookmarkEnd w:id="1"/>
      <w:r>
        <w:rPr/>
        <w:t> </w:t>
      </w:r>
    </w:p>
    <w:tbl>
      <w:tblPr>
        <w:tblW w:w="4482" w:type="dxa"/>
        <w:jc w:val="left"/>
        <w:tblInd w:w="0" w:type="dxa"/>
        <w:tblLayout w:type="fixed"/>
        <w:tblCellMar>
          <w:top w:w="28" w:type="dxa"/>
          <w:left w:w="28" w:type="dxa"/>
          <w:bottom w:w="28" w:type="dxa"/>
          <w:right w:w="28" w:type="dxa"/>
        </w:tblCellMar>
      </w:tblPr>
      <w:tblGrid>
        <w:gridCol w:w="4291"/>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center"/>
              <w:rPr>
                <w:rFonts w:ascii="Times New Roman" w:hAnsi="Times New Roman"/>
                <w:b/>
                <w:color w:val="000000"/>
                <w:sz w:val="20"/>
              </w:rPr>
            </w:pPr>
            <w:r>
              <w:rPr>
                <w:rFonts w:ascii="Times New Roman" w:hAnsi="Times New Roman"/>
                <w:b/>
                <w:color w:val="000000"/>
                <w:sz w:val="20"/>
              </w:rPr>
              <w:t>UNITED STATES</w:t>
            </w:r>
          </w:p>
          <w:p>
            <w:pPr>
              <w:pStyle w:val="TableContents"/>
              <w:bidi w:val="0"/>
              <w:jc w:val="center"/>
              <w:rPr>
                <w:color w:val="000000"/>
              </w:rPr>
            </w:pPr>
            <w:r>
              <w:rPr>
                <w:color w:val="000000"/>
              </w:rPr>
              <w:t> </w:t>
            </w:r>
            <w:r>
              <w:rPr>
                <w:rFonts w:ascii="Times New Roman" w:hAnsi="Times New Roman"/>
                <w:b/>
                <w:color w:val="000000"/>
                <w:sz w:val="20"/>
              </w:rPr>
              <w:t>SECURITIES AND EXCHANGE COMMISSION</w:t>
            </w:r>
          </w:p>
          <w:p>
            <w:pPr>
              <w:pStyle w:val="TableContents"/>
              <w:bidi w:val="0"/>
              <w:jc w:val="center"/>
              <w:rPr>
                <w:color w:val="000000"/>
              </w:rPr>
            </w:pPr>
            <w:r>
              <w:rPr>
                <w:color w:val="000000"/>
              </w:rPr>
              <w:t> </w:t>
            </w:r>
            <w:r>
              <w:rPr>
                <w:rFonts w:ascii="Times New Roman" w:hAnsi="Times New Roman"/>
                <w:color w:val="000000"/>
                <w:sz w:val="20"/>
              </w:rPr>
              <w:t>Washington, D.C. 20549</w:t>
            </w:r>
          </w:p>
          <w:p>
            <w:pPr>
              <w:pStyle w:val="TableContents"/>
              <w:bidi w:val="0"/>
              <w:jc w:val="left"/>
              <w:rPr/>
            </w:pPr>
            <w:r>
              <w:rPr/>
              <w:t> </w:t>
            </w:r>
          </w:p>
          <w:p>
            <w:pPr>
              <w:pStyle w:val="TableContents"/>
              <w:pBdr>
                <w:top w:val="single" w:sz="6" w:space="1" w:color="7F0000"/>
              </w:pBdr>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center"/>
              <w:rPr>
                <w:rFonts w:ascii="Times New Roman" w:hAnsi="Times New Roman"/>
                <w:b/>
                <w:color w:val="000000"/>
                <w:sz w:val="20"/>
              </w:rPr>
            </w:pPr>
            <w:r>
              <w:rPr>
                <w:rFonts w:ascii="Times New Roman" w:hAnsi="Times New Roman"/>
                <w:b/>
                <w:color w:val="000000"/>
                <w:sz w:val="20"/>
              </w:rPr>
              <w:t>FORM 8-K</w:t>
            </w:r>
          </w:p>
          <w:p>
            <w:pPr>
              <w:pStyle w:val="TableContents"/>
              <w:bidi w:val="0"/>
              <w:jc w:val="left"/>
              <w:rPr/>
            </w:pPr>
            <w:r>
              <w:rPr/>
              <w:t> </w:t>
            </w:r>
          </w:p>
          <w:p>
            <w:pPr>
              <w:pStyle w:val="TableContents"/>
              <w:bidi w:val="0"/>
              <w:jc w:val="center"/>
              <w:rPr>
                <w:rFonts w:ascii="Times New Roman" w:hAnsi="Times New Roman"/>
                <w:color w:val="000000"/>
                <w:sz w:val="20"/>
              </w:rPr>
            </w:pPr>
            <w:r>
              <w:rPr>
                <w:rFonts w:ascii="Times New Roman" w:hAnsi="Times New Roman"/>
                <w:color w:val="000000"/>
                <w:sz w:val="20"/>
              </w:rPr>
              <w:t>CURRENT REPORT</w:t>
            </w:r>
          </w:p>
          <w:p>
            <w:pPr>
              <w:pStyle w:val="TableContents"/>
              <w:bidi w:val="0"/>
              <w:jc w:val="left"/>
              <w:rPr/>
            </w:pPr>
            <w:r>
              <w:rPr/>
              <w:t> </w:t>
            </w:r>
          </w:p>
          <w:p>
            <w:pPr>
              <w:pStyle w:val="TableContents"/>
              <w:bidi w:val="0"/>
              <w:jc w:val="center"/>
              <w:rPr>
                <w:rFonts w:ascii="Times New Roman" w:hAnsi="Times New Roman"/>
                <w:color w:val="000000"/>
                <w:sz w:val="20"/>
              </w:rPr>
            </w:pPr>
            <w:r>
              <w:rPr>
                <w:rFonts w:ascii="Times New Roman" w:hAnsi="Times New Roman"/>
                <w:color w:val="000000"/>
                <w:sz w:val="20"/>
              </w:rPr>
              <w:t>Pursuant to Section 13 or 15(d) of the</w:t>
            </w:r>
          </w:p>
          <w:p>
            <w:pPr>
              <w:pStyle w:val="TableContents"/>
              <w:bidi w:val="0"/>
              <w:spacing w:before="0" w:after="283"/>
              <w:jc w:val="center"/>
              <w:rPr>
                <w:color w:val="000000"/>
              </w:rPr>
            </w:pPr>
            <w:r>
              <w:rPr>
                <w:color w:val="000000"/>
              </w:rPr>
              <w:t> </w:t>
            </w:r>
            <w:r>
              <w:rPr>
                <w:rFonts w:ascii="Times New Roman" w:hAnsi="Times New Roman"/>
                <w:color w:val="000000"/>
                <w:sz w:val="20"/>
              </w:rPr>
              <w:t>Securities Exchange Act of 1934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351" w:type="dxa"/>
        <w:jc w:val="left"/>
        <w:tblInd w:w="0" w:type="dxa"/>
        <w:tblLayout w:type="fixed"/>
        <w:tblCellMar>
          <w:top w:w="28" w:type="dxa"/>
          <w:left w:w="28" w:type="dxa"/>
          <w:bottom w:w="28" w:type="dxa"/>
          <w:right w:w="28" w:type="dxa"/>
        </w:tblCellMar>
      </w:tblPr>
      <w:tblGrid>
        <w:gridCol w:w="4351"/>
      </w:tblGrid>
      <w:tr>
        <w:trPr/>
        <w:tc>
          <w:tcPr>
            <w:tcW w:w="4351" w:type="dxa"/>
            <w:tcBorders/>
            <w:vAlign w:val="center"/>
          </w:tcPr>
          <w:p>
            <w:pPr>
              <w:pStyle w:val="TableContents"/>
              <w:bidi w:val="0"/>
              <w:spacing w:before="0" w:after="283"/>
              <w:jc w:val="left"/>
              <w:rPr>
                <w:sz w:val="4"/>
                <w:szCs w:val="4"/>
              </w:rPr>
            </w:pPr>
            <w:r>
              <w:rPr>
                <w:sz w:val="4"/>
                <w:szCs w:val="4"/>
              </w:rPr>
            </w:r>
          </w:p>
        </w:tc>
      </w:tr>
      <w:tr>
        <w:trPr/>
        <w:tc>
          <w:tcPr>
            <w:tcW w:w="43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Date of Report: January 16, 2026</w:t>
            </w:r>
          </w:p>
          <w:p>
            <w:pPr>
              <w:pStyle w:val="TableContents"/>
              <w:bidi w:val="0"/>
              <w:jc w:val="center"/>
              <w:rPr>
                <w:color w:val="000000"/>
              </w:rPr>
            </w:pPr>
            <w:r>
              <w:rPr>
                <w:color w:val="000000"/>
              </w:rPr>
              <w:t> </w:t>
            </w:r>
            <w:r>
              <w:rPr>
                <w:rFonts w:ascii="Times New Roman" w:hAnsi="Times New Roman"/>
                <w:color w:val="000000"/>
                <w:sz w:val="20"/>
              </w:rPr>
              <w:t>(Date of earliest event reported)</w:t>
            </w:r>
          </w:p>
          <w:p>
            <w:pPr>
              <w:pStyle w:val="TableContents"/>
              <w:bidi w:val="0"/>
              <w:jc w:val="left"/>
              <w:rPr/>
            </w:pPr>
            <w:r>
              <w:rPr/>
              <w:t> </w:t>
            </w:r>
          </w:p>
          <w:p>
            <w:pPr>
              <w:pStyle w:val="TableContents"/>
              <w:bidi w:val="0"/>
              <w:spacing w:before="0" w:after="283"/>
              <w:jc w:val="left"/>
              <w:rPr/>
            </w:pPr>
            <w:r>
              <w:rPr/>
              <w:t> </w:t>
            </w:r>
          </w:p>
        </w:tc>
      </w:tr>
      <w:tr>
        <w:trPr/>
        <w:tc>
          <w:tcPr>
            <w:tcW w:w="43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PennantPark Investment Corporation</w:t>
            </w:r>
          </w:p>
          <w:p>
            <w:pPr>
              <w:pStyle w:val="TableContents"/>
              <w:bidi w:val="0"/>
              <w:spacing w:before="0" w:after="283"/>
              <w:jc w:val="center"/>
              <w:rPr>
                <w:color w:val="000000"/>
              </w:rPr>
            </w:pPr>
            <w:r>
              <w:rPr>
                <w:color w:val="000000"/>
              </w:rPr>
              <w:t> </w:t>
            </w:r>
            <w:r>
              <w:rPr>
                <w:rFonts w:ascii="Times New Roman" w:hAnsi="Times New Roman"/>
                <w:color w:val="000000"/>
                <w:sz w:val="20"/>
              </w:rPr>
              <w:t>(Exact name of registrant as specified in its charter)</w:t>
            </w:r>
          </w:p>
        </w:tc>
      </w:tr>
    </w:tbl>
    <w:p>
      <w:pPr>
        <w:pStyle w:val="TextBody"/>
        <w:bidi w:val="0"/>
        <w:jc w:val="left"/>
        <w:rPr/>
      </w:pPr>
      <w:r>
        <w:rPr/>
        <w:t> </w:t>
      </w:r>
    </w:p>
    <w:tbl>
      <w:tblPr>
        <w:tblW w:w="6738" w:type="dxa"/>
        <w:jc w:val="left"/>
        <w:tblInd w:w="0" w:type="dxa"/>
        <w:tblLayout w:type="fixed"/>
        <w:tblCellMar>
          <w:top w:w="28" w:type="dxa"/>
          <w:left w:w="28" w:type="dxa"/>
          <w:bottom w:w="28" w:type="dxa"/>
          <w:right w:w="28" w:type="dxa"/>
        </w:tblCellMar>
      </w:tblPr>
      <w:tblGrid>
        <w:gridCol w:w="2311"/>
        <w:gridCol w:w="2356"/>
        <w:gridCol w:w="2071"/>
      </w:tblGrid>
      <w:tr>
        <w:trPr/>
        <w:tc>
          <w:tcPr>
            <w:tcW w:w="231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6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Maryland</w:t>
            </w:r>
          </w:p>
          <w:p>
            <w:pPr>
              <w:pStyle w:val="TableContents"/>
              <w:bidi w:val="0"/>
              <w:jc w:val="center"/>
              <w:rPr>
                <w:color w:val="000000"/>
              </w:rPr>
            </w:pPr>
            <w:r>
              <w:rPr>
                <w:color w:val="000000"/>
              </w:rPr>
              <w:t> </w:t>
            </w:r>
            <w:r>
              <w:rPr>
                <w:rFonts w:ascii="Times New Roman" w:hAnsi="Times New Roman"/>
                <w:color w:val="000000"/>
                <w:sz w:val="20"/>
              </w:rPr>
              <w:t>(State or other jurisdiction</w:t>
            </w:r>
          </w:p>
          <w:p>
            <w:pPr>
              <w:pStyle w:val="TableContents"/>
              <w:bidi w:val="0"/>
              <w:spacing w:before="0" w:after="283"/>
              <w:jc w:val="center"/>
              <w:rPr>
                <w:color w:val="000000"/>
              </w:rPr>
            </w:pPr>
            <w:r>
              <w:rPr>
                <w:color w:val="000000"/>
              </w:rPr>
              <w:t> </w:t>
            </w:r>
            <w:r>
              <w:rPr>
                <w:rFonts w:ascii="Times New Roman" w:hAnsi="Times New Roman"/>
                <w:color w:val="000000"/>
                <w:sz w:val="20"/>
              </w:rPr>
              <w:t>of incorporation)</w:t>
            </w:r>
          </w:p>
        </w:tc>
        <w:tc>
          <w:tcPr>
            <w:tcW w:w="23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814-00736</w:t>
            </w:r>
          </w:p>
          <w:p>
            <w:pPr>
              <w:pStyle w:val="TableContents"/>
              <w:bidi w:val="0"/>
              <w:spacing w:before="0" w:after="283"/>
              <w:jc w:val="center"/>
              <w:rPr>
                <w:color w:val="000000"/>
              </w:rPr>
            </w:pPr>
            <w:r>
              <w:rPr>
                <w:color w:val="000000"/>
              </w:rPr>
              <w:t> </w:t>
            </w:r>
            <w:r>
              <w:rPr>
                <w:rFonts w:ascii="Times New Roman" w:hAnsi="Times New Roman"/>
                <w:color w:val="000000"/>
                <w:sz w:val="20"/>
              </w:rPr>
              <w:t>(Commission File Number)</w:t>
            </w:r>
          </w:p>
        </w:tc>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20-8250744</w:t>
            </w:r>
          </w:p>
          <w:p>
            <w:pPr>
              <w:pStyle w:val="TableContents"/>
              <w:bidi w:val="0"/>
              <w:jc w:val="center"/>
              <w:rPr>
                <w:color w:val="000000"/>
              </w:rPr>
            </w:pPr>
            <w:r>
              <w:rPr>
                <w:color w:val="000000"/>
              </w:rPr>
              <w:t> </w:t>
            </w:r>
            <w:r>
              <w:rPr>
                <w:rFonts w:ascii="Times New Roman" w:hAnsi="Times New Roman"/>
                <w:color w:val="000000"/>
                <w:sz w:val="20"/>
              </w:rPr>
              <w:t>(IRS Employer</w:t>
            </w:r>
          </w:p>
          <w:p>
            <w:pPr>
              <w:pStyle w:val="TableContents"/>
              <w:bidi w:val="0"/>
              <w:spacing w:before="0" w:after="283"/>
              <w:jc w:val="center"/>
              <w:rPr>
                <w:color w:val="000000"/>
              </w:rPr>
            </w:pPr>
            <w:r>
              <w:rPr>
                <w:color w:val="000000"/>
              </w:rPr>
              <w:t> </w:t>
            </w:r>
            <w:r>
              <w:rPr>
                <w:rFonts w:ascii="Times New Roman" w:hAnsi="Times New Roman"/>
                <w:color w:val="000000"/>
                <w:sz w:val="20"/>
              </w:rPr>
              <w:t>Identification Number)</w:t>
            </w:r>
          </w:p>
        </w:tc>
      </w:tr>
    </w:tbl>
    <w:p>
      <w:pPr>
        <w:pStyle w:val="TextBody"/>
        <w:bidi w:val="0"/>
        <w:jc w:val="left"/>
        <w:rPr/>
      </w:pPr>
      <w:r>
        <w:rPr/>
        <w:t> </w:t>
      </w:r>
    </w:p>
    <w:tbl>
      <w:tblPr>
        <w:tblW w:w="4566" w:type="dxa"/>
        <w:jc w:val="left"/>
        <w:tblInd w:w="0" w:type="dxa"/>
        <w:tblLayout w:type="fixed"/>
        <w:tblCellMar>
          <w:top w:w="28" w:type="dxa"/>
          <w:left w:w="28" w:type="dxa"/>
          <w:bottom w:w="28" w:type="dxa"/>
          <w:right w:w="28" w:type="dxa"/>
        </w:tblCellMar>
      </w:tblPr>
      <w:tblGrid>
        <w:gridCol w:w="3361"/>
        <w:gridCol w:w="109"/>
        <w:gridCol w:w="1096"/>
      </w:tblGrid>
      <w:tr>
        <w:trPr/>
        <w:tc>
          <w:tcPr>
            <w:tcW w:w="3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1691 Michigan Avenue</w:t>
            </w:r>
          </w:p>
          <w:p>
            <w:pPr>
              <w:pStyle w:val="TableContents"/>
              <w:bidi w:val="0"/>
              <w:jc w:val="center"/>
              <w:rPr>
                <w:rFonts w:ascii="Times New Roman" w:hAnsi="Times New Roman"/>
                <w:sz w:val="20"/>
              </w:rPr>
            </w:pPr>
            <w:r>
              <w:rPr>
                <w:rFonts w:ascii="Times New Roman" w:hAnsi="Times New Roman"/>
                <w:b/>
                <w:color w:val="000000"/>
                <w:sz w:val="20"/>
              </w:rPr>
              <w:t>Miami Beach,</w:t>
            </w:r>
            <w:r>
              <w:rPr>
                <w:rFonts w:ascii="Times New Roman" w:hAnsi="Times New Roman"/>
                <w:color w:val="000000"/>
                <w:sz w:val="20"/>
              </w:rPr>
              <w:t xml:space="preserve"> </w:t>
            </w:r>
            <w:r>
              <w:rPr>
                <w:rFonts w:ascii="Times New Roman" w:hAnsi="Times New Roman"/>
                <w:b/>
                <w:color w:val="000000"/>
                <w:sz w:val="20"/>
              </w:rPr>
              <w:t>Florida</w:t>
            </w:r>
          </w:p>
          <w:p>
            <w:pPr>
              <w:pStyle w:val="TableContents"/>
              <w:bidi w:val="0"/>
              <w:spacing w:before="0" w:after="283"/>
              <w:jc w:val="center"/>
              <w:rPr>
                <w:color w:val="000000"/>
              </w:rPr>
            </w:pPr>
            <w:r>
              <w:rPr>
                <w:color w:val="000000"/>
              </w:rPr>
              <w:t> </w:t>
            </w:r>
            <w:r>
              <w:rPr>
                <w:rFonts w:ascii="Times New Roman" w:hAnsi="Times New Roman"/>
                <w:color w:val="000000"/>
                <w:sz w:val="20"/>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33139</w:t>
            </w:r>
          </w:p>
          <w:p>
            <w:pPr>
              <w:pStyle w:val="TableContents"/>
              <w:bidi w:val="0"/>
              <w:spacing w:before="0" w:after="283"/>
              <w:jc w:val="center"/>
              <w:rPr>
                <w:color w:val="000000"/>
              </w:rPr>
            </w:pPr>
            <w:r>
              <w:rPr>
                <w:color w:val="000000"/>
              </w:rPr>
              <w:t> </w:t>
            </w:r>
            <w:r>
              <w:rPr>
                <w:rFonts w:ascii="Times New Roman" w:hAnsi="Times New Roman"/>
                <w:color w:val="000000"/>
                <w:sz w:val="20"/>
              </w:rPr>
              <w:t>(Zip Code)</w:t>
            </w:r>
          </w:p>
        </w:tc>
      </w:tr>
    </w:tbl>
    <w:p>
      <w:pPr>
        <w:pStyle w:val="TextBody"/>
        <w:bidi w:val="0"/>
        <w:jc w:val="left"/>
        <w:rPr/>
      </w:pPr>
      <w:r>
        <w:rPr/>
        <w:t> </w:t>
      </w:r>
    </w:p>
    <w:tbl>
      <w:tblPr>
        <w:tblW w:w="4501" w:type="dxa"/>
        <w:jc w:val="left"/>
        <w:tblInd w:w="0" w:type="dxa"/>
        <w:tblLayout w:type="fixed"/>
        <w:tblCellMar>
          <w:top w:w="28" w:type="dxa"/>
          <w:left w:w="28" w:type="dxa"/>
          <w:bottom w:w="28" w:type="dxa"/>
          <w:right w:w="28" w:type="dxa"/>
        </w:tblCellMar>
      </w:tblPr>
      <w:tblGrid>
        <w:gridCol w:w="4501"/>
      </w:tblGrid>
      <w:tr>
        <w:trPr/>
        <w:tc>
          <w:tcPr>
            <w:tcW w:w="4501" w:type="dxa"/>
            <w:tcBorders/>
            <w:vAlign w:val="center"/>
          </w:tcPr>
          <w:p>
            <w:pPr>
              <w:pStyle w:val="TableContents"/>
              <w:bidi w:val="0"/>
              <w:spacing w:before="0" w:after="283"/>
              <w:jc w:val="left"/>
              <w:rPr>
                <w:sz w:val="4"/>
                <w:szCs w:val="4"/>
              </w:rPr>
            </w:pPr>
            <w:r>
              <w:rPr>
                <w:sz w:val="4"/>
                <w:szCs w:val="4"/>
              </w:rPr>
            </w:r>
          </w:p>
        </w:tc>
      </w:tr>
      <w:tr>
        <w:trPr/>
        <w:tc>
          <w:tcPr>
            <w:tcW w:w="45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(786) 297-9500</w:t>
            </w:r>
          </w:p>
          <w:p>
            <w:pPr>
              <w:pStyle w:val="TableContents"/>
              <w:bidi w:val="0"/>
              <w:spacing w:before="0" w:after="283"/>
              <w:jc w:val="center"/>
              <w:rPr>
                <w:color w:val="000000"/>
              </w:rPr>
            </w:pPr>
            <w:r>
              <w:rPr>
                <w:color w:val="000000"/>
              </w:rPr>
              <w:t> </w:t>
            </w:r>
            <w:r>
              <w:rPr>
                <w:rFonts w:ascii="Times New Roman" w:hAnsi="Times New Roman"/>
                <w:color w:val="000000"/>
                <w:sz w:val="20"/>
              </w:rPr>
              <w:t>(Registrant's telephone number, including area code)</w:t>
            </w:r>
          </w:p>
        </w:tc>
      </w:tr>
    </w:tbl>
    <w:p>
      <w:pPr>
        <w:pStyle w:val="TextBody"/>
        <w:bidi w:val="0"/>
        <w:jc w:val="left"/>
        <w:rPr/>
      </w:pPr>
      <w:r>
        <w:rPr/>
        <w:t> </w:t>
      </w:r>
    </w:p>
    <w:tbl>
      <w:tblPr>
        <w:tblW w:w="5206" w:type="dxa"/>
        <w:jc w:val="left"/>
        <w:tblInd w:w="0" w:type="dxa"/>
        <w:tblLayout w:type="fixed"/>
        <w:tblCellMar>
          <w:top w:w="28" w:type="dxa"/>
          <w:left w:w="28" w:type="dxa"/>
          <w:bottom w:w="28" w:type="dxa"/>
          <w:right w:w="28" w:type="dxa"/>
        </w:tblCellMar>
      </w:tblPr>
      <w:tblGrid>
        <w:gridCol w:w="5206"/>
      </w:tblGrid>
      <w:tr>
        <w:trPr/>
        <w:tc>
          <w:tcPr>
            <w:tcW w:w="5206" w:type="dxa"/>
            <w:tcBorders/>
            <w:vAlign w:val="center"/>
          </w:tcPr>
          <w:p>
            <w:pPr>
              <w:pStyle w:val="TableContents"/>
              <w:bidi w:val="0"/>
              <w:spacing w:before="0" w:after="283"/>
              <w:jc w:val="left"/>
              <w:rPr>
                <w:sz w:val="4"/>
                <w:szCs w:val="4"/>
              </w:rPr>
            </w:pPr>
            <w:r>
              <w:rPr>
                <w:sz w:val="4"/>
                <w:szCs w:val="4"/>
              </w:rPr>
            </w:r>
          </w:p>
        </w:tc>
      </w:tr>
      <w:tr>
        <w:trPr/>
        <w:tc>
          <w:tcPr>
            <w:tcW w:w="5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Not Applicable</w:t>
            </w:r>
          </w:p>
          <w:p>
            <w:pPr>
              <w:pStyle w:val="TableContents"/>
              <w:bidi w:val="0"/>
              <w:jc w:val="center"/>
              <w:rPr>
                <w:color w:val="000000"/>
              </w:rPr>
            </w:pPr>
            <w:r>
              <w:rPr>
                <w:color w:val="000000"/>
              </w:rPr>
              <w:t> </w:t>
            </w:r>
            <w:r>
              <w:rPr>
                <w:rFonts w:ascii="Times New Roman" w:hAnsi="Times New Roman"/>
                <w:color w:val="000000"/>
                <w:sz w:val="20"/>
              </w:rPr>
              <w:t>(Former Name or Former Address, if changed since last report)</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both"/>
        <w:rPr/>
      </w:pPr>
      <w:r>
        <w:rPr/>
        <w:t> </w:t>
      </w:r>
    </w:p>
    <w:tbl>
      <w:tblPr>
        <w:tblW w:w="9318" w:type="dxa"/>
        <w:jc w:val="left"/>
        <w:tblInd w:w="0" w:type="dxa"/>
        <w:tblLayout w:type="fixed"/>
        <w:tblCellMar>
          <w:top w:w="28" w:type="dxa"/>
          <w:left w:w="28" w:type="dxa"/>
          <w:bottom w:w="28" w:type="dxa"/>
          <w:right w:w="28" w:type="dxa"/>
        </w:tblCellMar>
      </w:tblPr>
      <w:tblGrid>
        <w:gridCol w:w="3601"/>
        <w:gridCol w:w="1696"/>
        <w:gridCol w:w="4021"/>
      </w:tblGrid>
      <w:tr>
        <w:trPr/>
        <w:tc>
          <w:tcPr>
            <w:tcW w:w="360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40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PNNT</w:t>
            </w:r>
          </w:p>
        </w:tc>
        <w:tc>
          <w:tcPr>
            <w:tcW w:w="40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(17 CFR §230.405) or Rule 12b-2 of the Securities Exchange Act of 1934 (17 CFR §240.12b-2). Emerging growth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top w:val="single" w:sz="6" w:space="1" w:color="7F0000"/>
        </w:pBdr>
        <w:bidi w:val="0"/>
        <w:jc w:val="left"/>
        <w:rPr/>
      </w:pPr>
      <w:r>
        <w:rPr/>
        <w:t> </w:t>
      </w:r>
    </w:p>
    <w:p>
      <w:pPr>
        <w:pStyle w:val="TextBody"/>
        <w:bidi w:val="0"/>
        <w:jc w:val="left"/>
        <w:rPr/>
      </w:pPr>
      <w:r>
        <w:rPr/>
        <w:t> </w:t>
      </w:r>
    </w:p>
    <w:p>
      <w:pPr>
        <w:pStyle w:val="TextBody"/>
        <w:bidi w:val="0"/>
        <w:jc w:val="left"/>
        <w:rPr/>
      </w:pPr>
      <w:bookmarkStart w:id="2" w:name="item_1_45_1"/>
      <w:bookmarkStart w:id="3" w:name="part_1_2_1"/>
      <w:bookmarkEnd w:id="2"/>
      <w:bookmarkEnd w:id="3"/>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ableContents"/>
              <w:bidi w:val="0"/>
              <w:jc w:val="left"/>
              <w:rPr/>
            </w:pPr>
            <w:r>
              <w:rPr/>
              <w:t> </w:t>
            </w:r>
          </w:p>
          <w:p>
            <w:pPr>
              <w:pStyle w:val="TableContents"/>
              <w:bidi w:val="0"/>
              <w:jc w:val="both"/>
              <w:rPr>
                <w:rFonts w:ascii="Times New Roman" w:hAnsi="Times New Roman"/>
                <w:b/>
                <w:i/>
                <w:color w:val="000000"/>
                <w:sz w:val="18"/>
              </w:rPr>
            </w:pPr>
            <w:r>
              <w:rPr>
                <w:rFonts w:ascii="Times New Roman" w:hAnsi="Times New Roman"/>
                <w:b/>
                <w:i/>
                <w:color w:val="000000"/>
                <w:sz w:val="18"/>
              </w:rPr>
              <w:t>Highlights and Preliminary Estimates of Results as of December 31, 2025</w:t>
            </w:r>
          </w:p>
          <w:p>
            <w:pPr>
              <w:pStyle w:val="TableContents"/>
              <w:bidi w:val="0"/>
              <w:spacing w:before="120" w:after="283"/>
              <w:jc w:val="both"/>
              <w:rPr>
                <w:rFonts w:ascii="Times New Roman" w:hAnsi="Times New Roman"/>
                <w:color w:val="000000"/>
                <w:sz w:val="18"/>
              </w:rPr>
            </w:pPr>
            <w:r>
              <w:rPr>
                <w:rFonts w:ascii="Times New Roman" w:hAnsi="Times New Roman"/>
                <w:color w:val="000000"/>
                <w:sz w:val="18"/>
              </w:rPr>
              <w:t xml:space="preserve">On January 16, 2026, PennantPark Investment Corporation (the "Company") announced certain preliminary estimates of its financial results for the quarter ended December 31, 2025. </w:t>
            </w:r>
          </w:p>
          <w:p>
            <w:pPr>
              <w:pStyle w:val="TableContents"/>
              <w:bidi w:val="0"/>
              <w:jc w:val="left"/>
              <w:rPr>
                <w:rFonts w:ascii="Times New Roman" w:hAnsi="Times New Roman"/>
                <w:color w:val="000000"/>
                <w:sz w:val="18"/>
              </w:rPr>
            </w:pPr>
            <w:r>
              <w:rPr>
                <w:rFonts w:ascii="Times New Roman" w:hAnsi="Times New Roman"/>
                <w:color w:val="000000"/>
                <w:sz w:val="18"/>
              </w:rPr>
              <w:t>Highlights:</w:t>
            </w:r>
          </w:p>
          <w:p>
            <w:pPr>
              <w:pStyle w:val="TableContents"/>
              <w:bidi w:val="0"/>
              <w:spacing w:before="120" w:after="283"/>
              <w:jc w:val="both"/>
              <w:rPr>
                <w:color w:val="000000"/>
              </w:rPr>
            </w:pPr>
            <w:r>
              <w:rPr>
                <w:color w:val="000000"/>
              </w:rPr>
              <w:t>•</w:t>
            </w:r>
          </w:p>
          <w:p>
            <w:pPr>
              <w:pStyle w:val="TableContents"/>
              <w:bidi w:val="0"/>
              <w:spacing w:before="120" w:after="283"/>
              <w:jc w:val="both"/>
              <w:rPr>
                <w:rFonts w:ascii="Times New Roman" w:hAnsi="Times New Roman"/>
                <w:color w:val="000000"/>
                <w:sz w:val="18"/>
              </w:rPr>
            </w:pPr>
            <w:r>
              <w:rPr>
                <w:rFonts w:ascii="Times New Roman" w:hAnsi="Times New Roman"/>
                <w:color w:val="000000"/>
                <w:sz w:val="18"/>
              </w:rPr>
              <w:t>In December 2025, PennantPark Investment Corporation sold its equity investment in JF Intermediate, LLC for $67.5 million, resulting in a realized gain of $63.1 million. This amount approximates the fair value of the investment as of September 30, 2025. JF represented 23% of the equity investment portfolio of the Company at fair value on that date, excluding its equity investment in PennantPark Senior Loan Fund LLC.</w:t>
            </w:r>
          </w:p>
          <w:p>
            <w:pPr>
              <w:pStyle w:val="TableContents"/>
              <w:bidi w:val="0"/>
              <w:spacing w:before="120" w:after="283"/>
              <w:jc w:val="both"/>
              <w:rPr>
                <w:color w:val="000000"/>
              </w:rPr>
            </w:pPr>
            <w:r>
              <w:rPr>
                <w:color w:val="000000"/>
              </w:rPr>
              <w:t>•</w:t>
            </w:r>
          </w:p>
          <w:p>
            <w:pPr>
              <w:pStyle w:val="TableContents"/>
              <w:bidi w:val="0"/>
              <w:spacing w:before="120" w:after="283"/>
              <w:jc w:val="both"/>
              <w:rPr>
                <w:rFonts w:ascii="Times New Roman" w:hAnsi="Times New Roman"/>
                <w:color w:val="000000"/>
                <w:sz w:val="18"/>
              </w:rPr>
            </w:pPr>
            <w:r>
              <w:rPr>
                <w:rFonts w:ascii="Times New Roman" w:hAnsi="Times New Roman"/>
                <w:color w:val="000000"/>
                <w:sz w:val="18"/>
              </w:rPr>
              <w:t xml:space="preserve">In December 2025, PennantPark Investment Corporation, amended and extended its multi-currency senior revolving credit facility with Truist Bank and other lenders (the “Credit Facility”). Among other things, the amendment increased lender commitments to $535 million from $500 million, decreased our borrowing cost to SOFR + 2.10%, down from SOFR + 2.35%, extended the revolving period to 2029, and maturity to 2030. </w:t>
            </w:r>
          </w:p>
          <w:p>
            <w:pPr>
              <w:pStyle w:val="TableContents"/>
              <w:bidi w:val="0"/>
              <w:jc w:val="left"/>
              <w:rPr>
                <w:rFonts w:ascii="Times New Roman" w:hAnsi="Times New Roman"/>
                <w:color w:val="000000"/>
                <w:sz w:val="18"/>
              </w:rPr>
            </w:pPr>
            <w:r>
              <w:rPr>
                <w:rFonts w:ascii="Times New Roman" w:hAnsi="Times New Roman"/>
                <w:color w:val="000000"/>
                <w:sz w:val="18"/>
              </w:rPr>
              <w:t>Preliminary estimates:</w:t>
            </w:r>
          </w:p>
          <w:p>
            <w:pPr>
              <w:pStyle w:val="TableContents"/>
              <w:bidi w:val="0"/>
              <w:spacing w:before="120" w:after="283"/>
              <w:jc w:val="both"/>
              <w:rPr>
                <w:color w:val="000000"/>
              </w:rPr>
            </w:pPr>
            <w:r>
              <w:rPr>
                <w:color w:val="000000"/>
              </w:rPr>
              <w:t>•</w:t>
            </w:r>
          </w:p>
          <w:p>
            <w:pPr>
              <w:pStyle w:val="TableContents"/>
              <w:bidi w:val="0"/>
              <w:spacing w:before="120" w:after="283"/>
              <w:jc w:val="both"/>
              <w:rPr>
                <w:rFonts w:ascii="Times New Roman" w:hAnsi="Times New Roman"/>
                <w:color w:val="000000"/>
                <w:sz w:val="18"/>
              </w:rPr>
            </w:pPr>
            <w:r>
              <w:rPr>
                <w:rFonts w:ascii="Times New Roman" w:hAnsi="Times New Roman"/>
                <w:color w:val="000000"/>
                <w:sz w:val="18"/>
              </w:rPr>
              <w:t xml:space="preserve">Net asset value per share is estimated to be between $6.97 and $7.02 per common share at December 31, 2025. This compares to a net asset value per common share of $7.11 at September 30, 2025. The decrease in net asset value per share is estimated to be attributable to distributions in excess of net investment income, which included a one-time non-recurring net expense of $0.03 per common share related to the Company’s Credit Facility amendment as noted above. The performance of the overall portfolio is estimated to result in a gain of $0.02 to $0.04 per common share. </w:t>
            </w:r>
          </w:p>
          <w:p>
            <w:pPr>
              <w:pStyle w:val="TableContents"/>
              <w:bidi w:val="0"/>
              <w:jc w:val="both"/>
              <w:rPr/>
            </w:pPr>
            <w:r>
              <w:rPr/>
              <w:t> </w:t>
            </w:r>
          </w:p>
          <w:p>
            <w:pPr>
              <w:pStyle w:val="TableContents"/>
              <w:bidi w:val="0"/>
              <w:spacing w:before="120" w:after="283"/>
              <w:jc w:val="both"/>
              <w:rPr>
                <w:color w:val="000000"/>
              </w:rPr>
            </w:pPr>
            <w:r>
              <w:rPr>
                <w:color w:val="000000"/>
              </w:rPr>
              <w:t>•</w:t>
            </w:r>
          </w:p>
          <w:p>
            <w:pPr>
              <w:pStyle w:val="TableContents"/>
              <w:bidi w:val="0"/>
              <w:spacing w:before="120" w:after="283"/>
              <w:jc w:val="both"/>
              <w:rPr/>
            </w:pPr>
            <w:r>
              <w:rPr>
                <w:rFonts w:ascii="Times New Roman" w:hAnsi="Times New Roman"/>
                <w:color w:val="000000"/>
                <w:sz w:val="18"/>
              </w:rPr>
              <w:t>Core net investment income is estimated to be between $0.13 and $0.15 per common share for the quarter ended December 31, 2025 and excludes approximately $0.03 per common share of one-time non-recurring expenses related to the Company’s Credit Facility amendment and extension noted above, which is net of the impact on incentive fees</w:t>
            </w:r>
            <w:r>
              <w:rPr>
                <w:rFonts w:ascii="Times New Roman" w:hAnsi="Times New Roman"/>
                <w:color w:val="000000"/>
                <w:sz w:val="12"/>
              </w:rPr>
              <w:t>(1)</w:t>
            </w:r>
            <w:r>
              <w:rPr>
                <w:rFonts w:ascii="Times New Roman" w:hAnsi="Times New Roman"/>
                <w:color w:val="000000"/>
                <w:sz w:val="18"/>
              </w:rPr>
              <w:t>. This compares to core net investment income of $0.15 per common share for the quarter ended September 30, 2025.</w:t>
            </w:r>
          </w:p>
          <w:p>
            <w:pPr>
              <w:pStyle w:val="TableContents"/>
              <w:bidi w:val="0"/>
              <w:spacing w:before="120" w:after="283"/>
              <w:jc w:val="both"/>
              <w:rPr>
                <w:color w:val="000000"/>
              </w:rPr>
            </w:pPr>
            <w:r>
              <w:rPr>
                <w:color w:val="000000"/>
              </w:rPr>
              <w:t>•</w:t>
            </w:r>
          </w:p>
          <w:p>
            <w:pPr>
              <w:pStyle w:val="TableContents"/>
              <w:bidi w:val="0"/>
              <w:spacing w:before="120" w:after="283"/>
              <w:jc w:val="both"/>
              <w:rPr>
                <w:rFonts w:ascii="Times New Roman" w:hAnsi="Times New Roman"/>
                <w:color w:val="000000"/>
                <w:sz w:val="18"/>
              </w:rPr>
            </w:pPr>
            <w:r>
              <w:rPr>
                <w:rFonts w:ascii="Times New Roman" w:hAnsi="Times New Roman"/>
                <w:color w:val="000000"/>
                <w:sz w:val="18"/>
              </w:rPr>
              <w:t>Net investment income is estimated to be between $0.10 and $0.12 per common share for the quarter ended December 31, 2025 and includes approximately $0.03 per common share of one-time non-recurring expenses related to the Company’s Credit Facility amendment and extension noted above, which is net of the impact on incentive fees. This compares to net investment income of $0.15 per common share for the quarter ended September 30, 2025.</w:t>
            </w:r>
          </w:p>
          <w:p>
            <w:pPr>
              <w:pStyle w:val="TableContents"/>
              <w:bidi w:val="0"/>
              <w:jc w:val="left"/>
              <w:rPr/>
            </w:pPr>
            <w:r>
              <w:rPr/>
              <w:t> </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The investment portfolio at fair value was $1.2 billion, compared to $1.3 billion as of September 30, 2025.</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At December 31, 2025, there were four loans on non-accrual representing 2.2% of the portfolio at cost and 1.1% at fair market value versus four loans on non-accrual at September 30, 2025 representing 1.3% of the portfolio at cost and 0.1% at fair market value.</w:t>
            </w:r>
          </w:p>
          <w:p>
            <w:pPr>
              <w:pStyle w:val="TableContents"/>
              <w:bidi w:val="0"/>
              <w:spacing w:before="120" w:after="283"/>
              <w:jc w:val="both"/>
              <w:rPr>
                <w:color w:val="000000"/>
              </w:rPr>
            </w:pPr>
            <w:r>
              <w:rPr>
                <w:color w:val="000000"/>
              </w:rPr>
              <w:t>•</w:t>
            </w:r>
          </w:p>
          <w:p>
            <w:pPr>
              <w:pStyle w:val="TableContents"/>
              <w:bidi w:val="0"/>
              <w:spacing w:before="120" w:after="283"/>
              <w:jc w:val="both"/>
              <w:rPr>
                <w:rFonts w:ascii="Times New Roman" w:hAnsi="Times New Roman"/>
                <w:color w:val="000000"/>
                <w:sz w:val="18"/>
              </w:rPr>
            </w:pPr>
            <w:r>
              <w:rPr>
                <w:rFonts w:ascii="Times New Roman" w:hAnsi="Times New Roman"/>
                <w:color w:val="000000"/>
                <w:sz w:val="18"/>
              </w:rPr>
              <w:t>As of December 31, 2025, the Company had approximately $611 million of total debt consisting of, $296 million of borrowings outstanding at cost under the Company’s Credit Facility, $150 million in aggregate principal amount of 4.50% Notes due in May 2026 outstanding, and $165 million in aggregate principal amount of 4.00% Notes due in November 2026.</w:t>
            </w:r>
          </w:p>
          <w:p>
            <w:pPr>
              <w:pStyle w:val="TableContents"/>
              <w:bidi w:val="0"/>
              <w:jc w:val="both"/>
              <w:rPr/>
            </w:pPr>
            <w:r>
              <w:rPr/>
              <w:t> </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At December 31, 2025, our debt to equity ratio is estimated to be 1.34x compared to 1.60x at September 30, 2025.</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At December 31, 2025, we had approximately $46 million in cash and approximately $239 million in unused capacity under the Credit Facility.</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ind w:left="0" w:right="0" w:firstLine="720"/>
              <w:jc w:val="left"/>
              <w:rPr/>
            </w:pPr>
            <w:r>
              <w:rPr/>
              <w:t> </w:t>
            </w:r>
          </w:p>
          <w:p>
            <w:pPr>
              <w:pStyle w:val="TableContents"/>
              <w:bidi w:val="0"/>
              <w:ind w:left="0" w:right="0" w:firstLine="720"/>
              <w:jc w:val="left"/>
              <w:rPr/>
            </w:pPr>
            <w:r>
              <w:rPr/>
              <w:t> </w:t>
            </w:r>
          </w:p>
          <w:p>
            <w:pPr>
              <w:pStyle w:val="TableContents"/>
              <w:bidi w:val="0"/>
              <w:ind w:left="0" w:right="0" w:firstLine="720"/>
              <w:jc w:val="left"/>
              <w:rPr/>
            </w:pPr>
            <w:r>
              <w:rPr/>
              <w:t> </w:t>
            </w:r>
          </w:p>
          <w:p>
            <w:pPr>
              <w:pStyle w:val="TableContents"/>
              <w:bidi w:val="0"/>
              <w:ind w:left="0" w:right="0" w:firstLine="720"/>
              <w:jc w:val="left"/>
              <w:rPr/>
            </w:pPr>
            <w:r>
              <w:rPr/>
              <w:t> </w:t>
            </w:r>
          </w:p>
          <w:p>
            <w:pPr>
              <w:pStyle w:val="TableContents"/>
              <w:bidi w:val="0"/>
              <w:ind w:left="0" w:right="0" w:firstLine="720"/>
              <w:jc w:val="left"/>
              <w:rPr/>
            </w:pPr>
            <w:r>
              <w:rPr/>
              <w:t> </w:t>
            </w:r>
          </w:p>
          <w:p>
            <w:pPr>
              <w:pStyle w:val="TableContents"/>
              <w:bidi w:val="0"/>
              <w:ind w:left="0" w:right="0" w:firstLine="720"/>
              <w:jc w:val="left"/>
              <w:rPr/>
            </w:pPr>
            <w:r>
              <w:rPr/>
              <w:t> </w:t>
            </w:r>
          </w:p>
          <w:p>
            <w:pPr>
              <w:pStyle w:val="TableContents"/>
              <w:bidi w:val="0"/>
              <w:ind w:left="0" w:right="0" w:firstLine="720"/>
              <w:jc w:val="left"/>
              <w:rPr>
                <w:rFonts w:ascii="Times New Roman" w:hAnsi="Times New Roman"/>
                <w:color w:val="000000"/>
                <w:sz w:val="18"/>
              </w:rPr>
            </w:pPr>
            <w:r>
              <w:rPr>
                <w:rFonts w:ascii="Times New Roman" w:hAnsi="Times New Roman"/>
                <w:color w:val="000000"/>
                <w:sz w:val="18"/>
              </w:rPr>
              <w:t>These estimates are subject to the completion of the Company’s financial closing procedures and are not a comprehensive statement of the Company’s financial position, results of operations or cash flows for the quarter ended December 31, 2025. Final results may differ materially from these estimates as a result of the completion of the Company’s financial closing procedures, as well as any subsequent events, including the discovery of information affecting fair values of the Company’s portfolio investments as of December 31, 2025, arising between the date hereof and the completion of the Company’s financial statements and the filing of the Company’s Form 10-Q for the quarter then ended.</w:t>
            </w:r>
          </w:p>
          <w:p>
            <w:pPr>
              <w:pStyle w:val="TableContents"/>
              <w:bidi w:val="0"/>
              <w:ind w:left="0" w:right="0" w:firstLine="720"/>
              <w:jc w:val="left"/>
              <w:rPr>
                <w:rFonts w:ascii="Times New Roman" w:hAnsi="Times New Roman"/>
                <w:color w:val="000000"/>
                <w:sz w:val="18"/>
              </w:rPr>
            </w:pPr>
            <w:r>
              <w:rPr>
                <w:rFonts w:ascii="Times New Roman" w:hAnsi="Times New Roman"/>
                <w:color w:val="000000"/>
                <w:sz w:val="18"/>
              </w:rPr>
              <w:t>The preliminary financial estimates provided herein have been prepared by, and are the responsibility of the Company’s management. RSM US LLP, the Company’s independent registered public accounting firm, has not audited, reviewed, compiled, or performed any procedures with respect to the accompanying preliminary financial data. Accordingly, RSM US LLP does not express an opinion or any other form of assurance with respect thereto.</w:t>
            </w:r>
          </w:p>
          <w:p>
            <w:pPr>
              <w:pStyle w:val="TableContents"/>
              <w:bidi w:val="0"/>
              <w:ind w:left="0" w:right="0" w:firstLine="720"/>
              <w:jc w:val="left"/>
              <w:rPr/>
            </w:pPr>
            <w:r>
              <w:rPr/>
              <w:t> </w:t>
            </w:r>
          </w:p>
          <w:p>
            <w:pPr>
              <w:pStyle w:val="TableContents"/>
              <w:bidi w:val="0"/>
              <w:ind w:left="0" w:right="0" w:firstLine="720"/>
              <w:jc w:val="left"/>
              <w:rPr>
                <w:rFonts w:ascii="Times New Roman" w:hAnsi="Times New Roman"/>
                <w:b/>
                <w:color w:val="000000"/>
                <w:sz w:val="18"/>
              </w:rPr>
            </w:pPr>
            <w:r>
              <w:rPr>
                <w:rFonts w:ascii="Times New Roman" w:hAnsi="Times New Roman"/>
                <w:b/>
                <w:color w:val="000000"/>
                <w:sz w:val="18"/>
              </w:rPr>
              <w:t>(1) Supplemental information regarding core net investment income</w:t>
            </w:r>
          </w:p>
          <w:p>
            <w:pPr>
              <w:pStyle w:val="TableContents"/>
              <w:bidi w:val="0"/>
              <w:ind w:left="0" w:right="0" w:firstLine="720"/>
              <w:jc w:val="left"/>
              <w:rPr>
                <w:rFonts w:ascii="Times New Roman" w:hAnsi="Times New Roman"/>
                <w:color w:val="000000"/>
                <w:sz w:val="18"/>
              </w:rPr>
            </w:pPr>
            <w:r>
              <w:rPr>
                <w:rFonts w:ascii="Times New Roman" w:hAnsi="Times New Roman"/>
                <w:color w:val="000000"/>
                <w:sz w:val="18"/>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December 31, 2025, Core NII excluded: i) $3.9 million or $0.06 per share of financing costs that were expensed in connection with the amendment and extension of the Credit Facility on December 11, 2025; and iii) an add back of $1.9 million or $0.03 per share of incentive fee expense.</w:t>
            </w:r>
          </w:p>
          <w:p>
            <w:pPr>
              <w:pStyle w:val="TableContents"/>
              <w:bidi w:val="0"/>
              <w:spacing w:before="120" w:after="283"/>
              <w:ind w:left="0" w:right="0" w:firstLine="720"/>
              <w:jc w:val="left"/>
              <w:rPr/>
            </w:pPr>
            <w:r>
              <w:rPr/>
              <w:t> </w:t>
            </w:r>
          </w:p>
          <w:p>
            <w:pPr>
              <w:pStyle w:val="TableContents"/>
              <w:bidi w:val="0"/>
              <w:ind w:left="0" w:right="0" w:firstLine="720"/>
              <w:jc w:val="left"/>
              <w:rPr>
                <w:rFonts w:ascii="Times New Roman" w:hAnsi="Times New Roman"/>
                <w:b/>
                <w:color w:val="000000"/>
                <w:sz w:val="20"/>
              </w:rPr>
            </w:pPr>
            <w:r>
              <w:rPr>
                <w:rFonts w:ascii="Times New Roman" w:hAnsi="Times New Roman"/>
                <w:b/>
                <w:color w:val="000000"/>
                <w:sz w:val="20"/>
              </w:rPr>
              <w:t>Forward-Looking Statements</w:t>
            </w:r>
          </w:p>
          <w:p>
            <w:pPr>
              <w:pStyle w:val="TableContents"/>
              <w:bidi w:val="0"/>
              <w:ind w:left="0" w:right="0" w:firstLine="720"/>
              <w:jc w:val="left"/>
              <w:rPr/>
            </w:pPr>
            <w:r>
              <w:rPr/>
              <w:t> </w:t>
            </w:r>
          </w:p>
          <w:p>
            <w:pPr>
              <w:pStyle w:val="TableContents"/>
              <w:bidi w:val="0"/>
              <w:ind w:left="0" w:right="0" w:firstLine="720"/>
              <w:jc w:val="left"/>
              <w:rPr>
                <w:rFonts w:ascii="Times New Roman" w:hAnsi="Times New Roman"/>
                <w:color w:val="000000"/>
                <w:sz w:val="18"/>
              </w:rPr>
            </w:pPr>
            <w:r>
              <w:rPr>
                <w:rFonts w:ascii="Times New Roman" w:hAnsi="Times New Roman"/>
                <w:color w:val="000000"/>
                <w:sz w:val="18"/>
              </w:rPr>
              <w:t>This report on Form 8-K, may contain “forward-looking statements” within the meaning of the Private Securities Litigation Reform Act of 1995. You should understand that under Section 27A(b)(2)(B) of the Securities Act of 1933, as amended, and Section 21E(b)(2)(B) of the Securities Exchange Act of 1934, as amended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pStyle w:val="TableContents"/>
              <w:bidi w:val="0"/>
              <w:ind w:left="0" w:right="0" w:firstLine="720"/>
              <w:jc w:val="left"/>
              <w:rPr/>
            </w:pPr>
            <w:r>
              <w:rPr/>
              <w:t> </w:t>
            </w:r>
          </w:p>
          <w:p>
            <w:pPr>
              <w:pStyle w:val="TableContents"/>
              <w:bidi w:val="0"/>
              <w:ind w:left="0" w:right="0" w:firstLine="720"/>
              <w:jc w:val="left"/>
              <w:rPr>
                <w:rFonts w:ascii="Times New Roman" w:hAnsi="Times New Roman"/>
                <w:sz w:val="20"/>
              </w:rPr>
            </w:pPr>
            <w:r>
              <w:rPr>
                <w:rFonts w:ascii="Times New Roman" w:hAnsi="Times New Roman"/>
                <w:b/>
                <w:color w:val="000000"/>
                <w:sz w:val="20"/>
              </w:rPr>
              <w:t>I</w:t>
            </w:r>
            <w:r>
              <w:rPr>
                <w:rFonts w:ascii="Times New Roman" w:hAnsi="Times New Roman"/>
                <w:b/>
                <w:color w:val="000000"/>
                <w:sz w:val="18"/>
              </w:rPr>
              <w:t>Item 8.01 Other Information</w:t>
            </w:r>
          </w:p>
          <w:p>
            <w:pPr>
              <w:pStyle w:val="TableContents"/>
              <w:bidi w:val="0"/>
              <w:ind w:left="0" w:right="0" w:firstLine="720"/>
              <w:jc w:val="left"/>
              <w:rPr>
                <w:rFonts w:ascii="Times New Roman" w:hAnsi="Times New Roman"/>
                <w:color w:val="000000"/>
                <w:sz w:val="18"/>
              </w:rPr>
            </w:pPr>
            <w:r>
              <w:rPr>
                <w:rFonts w:ascii="Times New Roman" w:hAnsi="Times New Roman"/>
                <w:color w:val="000000"/>
                <w:sz w:val="18"/>
              </w:rPr>
              <w:t>The information set forth under Item 2.02 above is incorporated herein by reference.</w:t>
            </w:r>
          </w:p>
          <w:p>
            <w:pPr>
              <w:pStyle w:val="TableContents"/>
              <w:bidi w:val="0"/>
              <w:ind w:left="0" w:right="0" w:firstLine="720"/>
              <w:jc w:val="left"/>
              <w:rPr/>
            </w:pPr>
            <w:r>
              <w:rPr/>
              <w:t> </w:t>
            </w:r>
          </w:p>
          <w:p>
            <w:pPr>
              <w:pStyle w:val="TableContents"/>
              <w:bidi w:val="0"/>
              <w:ind w:left="0" w:right="0" w:firstLine="720"/>
              <w:jc w:val="left"/>
              <w:rPr/>
            </w:pPr>
            <w:r>
              <w:rPr/>
              <w:t> </w:t>
            </w:r>
          </w:p>
          <w:p>
            <w:pPr>
              <w:pStyle w:val="TableContents"/>
              <w:bidi w:val="0"/>
              <w:ind w:left="0" w:right="0" w:firstLine="720"/>
              <w:jc w:val="left"/>
              <w:rPr/>
            </w:pPr>
            <w:r>
              <w:rPr/>
              <w:t> </w:t>
            </w:r>
          </w:p>
          <w:p>
            <w:pPr>
              <w:pStyle w:val="TableContents"/>
              <w:bidi w:val="0"/>
              <w:ind w:left="0" w:right="0" w:firstLine="720"/>
              <w:jc w:val="left"/>
              <w:rPr/>
            </w:pPr>
            <w:r>
              <w:rPr/>
              <w:t> </w:t>
            </w:r>
          </w:p>
          <w:p>
            <w:pPr>
              <w:pStyle w:val="TableContents"/>
              <w:bidi w:val="0"/>
              <w:ind w:left="0" w:right="0" w:firstLine="720"/>
              <w:jc w:val="left"/>
              <w:rPr/>
            </w:pPr>
            <w:r>
              <w:rPr/>
              <w:t> </w:t>
            </w:r>
          </w:p>
          <w:p>
            <w:pPr>
              <w:pStyle w:val="TableContents"/>
              <w:pBdr>
                <w:top w:val="single" w:sz="6" w:space="1" w:color="7F0000"/>
              </w:pBdr>
              <w:bidi w:val="0"/>
              <w:ind w:left="0" w:right="0" w:firstLine="720"/>
              <w:jc w:val="left"/>
              <w:rPr/>
            </w:pPr>
            <w:r>
              <w:rPr/>
              <w:t> </w:t>
            </w:r>
          </w:p>
          <w:p>
            <w:pPr>
              <w:pStyle w:val="TableContents"/>
              <w:bidi w:val="0"/>
              <w:ind w:left="0" w:right="0" w:firstLine="720"/>
              <w:jc w:val="left"/>
              <w:rPr/>
            </w:pPr>
            <w:r>
              <w:rPr/>
              <w:t> </w:t>
            </w:r>
          </w:p>
          <w:p>
            <w:pPr>
              <w:pStyle w:val="TableContents"/>
              <w:bidi w:val="0"/>
              <w:ind w:left="0" w:right="0" w:firstLine="720"/>
              <w:jc w:val="left"/>
              <w:rPr/>
            </w:pPr>
            <w:r>
              <w:rPr/>
              <w:t> </w:t>
            </w:r>
          </w:p>
          <w:p>
            <w:pPr>
              <w:pStyle w:val="TableContents"/>
              <w:bidi w:val="0"/>
              <w:ind w:left="0" w:right="0" w:firstLine="720"/>
              <w:jc w:val="center"/>
              <w:rPr>
                <w:rFonts w:ascii="Times New Roman" w:hAnsi="Times New Roman"/>
                <w:b/>
                <w:color w:val="000000"/>
                <w:sz w:val="20"/>
              </w:rPr>
            </w:pPr>
            <w:r>
              <w:rPr>
                <w:rFonts w:ascii="Times New Roman" w:hAnsi="Times New Roman"/>
                <w:b/>
                <w:color w:val="000000"/>
                <w:sz w:val="20"/>
              </w:rPr>
              <w:t>SIGNATURE</w:t>
            </w:r>
          </w:p>
          <w:p>
            <w:pPr>
              <w:pStyle w:val="TableContents"/>
              <w:bidi w:val="0"/>
              <w:ind w:left="0" w:right="0" w:firstLine="720"/>
              <w:jc w:val="left"/>
              <w:rPr/>
            </w:pPr>
            <w:r>
              <w:rPr/>
              <w:t> </w:t>
            </w:r>
          </w:p>
          <w:p>
            <w:pPr>
              <w:pStyle w:val="TableContents"/>
              <w:bidi w:val="0"/>
              <w:spacing w:before="0" w:after="283"/>
              <w:ind w:left="0" w:right="0" w:firstLine="720"/>
              <w:jc w:val="left"/>
              <w:rPr>
                <w:color w:val="000000"/>
              </w:rPr>
            </w:pPr>
            <w:r>
              <w:rPr>
                <w:color w:val="000000"/>
              </w:rPr>
              <w:t>      </w:t>
            </w: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c>
      </w:tr>
    </w:tbl>
    <w:p>
      <w:pPr>
        <w:pStyle w:val="TextBody"/>
        <w:bidi w:val="0"/>
        <w:jc w:val="left"/>
        <w:rPr/>
      </w:pPr>
      <w:r>
        <w:rPr/>
        <w:t> </w:t>
      </w:r>
    </w:p>
    <w:tbl>
      <w:tblPr>
        <w:tblW w:w="6572" w:type="dxa"/>
        <w:jc w:val="left"/>
        <w:tblInd w:w="0" w:type="dxa"/>
        <w:tblLayout w:type="fixed"/>
        <w:tblCellMar>
          <w:top w:w="28" w:type="dxa"/>
          <w:left w:w="28" w:type="dxa"/>
          <w:bottom w:w="28" w:type="dxa"/>
          <w:right w:w="28" w:type="dxa"/>
        </w:tblCellMar>
      </w:tblPr>
      <w:tblGrid>
        <w:gridCol w:w="2101"/>
        <w:gridCol w:w="4471"/>
      </w:tblGrid>
      <w:tr>
        <w:trPr/>
        <w:tc>
          <w:tcPr>
            <w:tcW w:w="2101"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Dated: January 16, 2026</w:t>
            </w:r>
          </w:p>
          <w:p>
            <w:pPr>
              <w:pStyle w:val="TableContents"/>
              <w:bidi w:val="0"/>
              <w:spacing w:before="0" w:after="283"/>
              <w:jc w:val="left"/>
              <w:rPr/>
            </w:pPr>
            <w:r>
              <w:rPr/>
              <w:t> </w:t>
            </w:r>
          </w:p>
        </w:tc>
        <w:tc>
          <w:tcPr>
            <w:tcW w:w="447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PENNANTPARK INVESTMENT CORPORATION</w:t>
            </w:r>
          </w:p>
          <w:p>
            <w:pPr>
              <w:pStyle w:val="TableContents"/>
              <w:bidi w:val="0"/>
              <w:jc w:val="left"/>
              <w:rPr/>
            </w:pPr>
            <w:r>
              <w:rPr/>
              <w:t> </w:t>
            </w:r>
          </w:p>
          <w:p>
            <w:pPr>
              <w:pStyle w:val="TableContents"/>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/s/ Richard T. Allorto, Jr.</w:t>
            </w:r>
            <w:r>
              <w:rPr>
                <w:rFonts w:ascii="Times New Roman" w:hAnsi="Times New Roman"/>
                <w:color w:val="000000"/>
                <w:sz w:val="20"/>
              </w:rPr>
              <w:t xml:space="preserve"> </w:t>
            </w:r>
          </w:p>
          <w:p>
            <w:pPr>
              <w:pStyle w:val="TableContents"/>
              <w:bidi w:val="0"/>
              <w:jc w:val="left"/>
              <w:rPr>
                <w:color w:val="000000"/>
              </w:rPr>
            </w:pPr>
            <w:r>
              <w:rPr>
                <w:color w:val="000000"/>
              </w:rPr>
              <w:t>      </w:t>
            </w:r>
            <w:r>
              <w:rPr>
                <w:rFonts w:ascii="Times New Roman" w:hAnsi="Times New Roman"/>
                <w:color w:val="000000"/>
                <w:sz w:val="20"/>
              </w:rPr>
              <w:t>Richard T. Allorto, Jr.</w:t>
            </w:r>
          </w:p>
          <w:p>
            <w:pPr>
              <w:pStyle w:val="TableContents"/>
              <w:bidi w:val="0"/>
              <w:jc w:val="left"/>
              <w:rPr>
                <w:color w:val="000000"/>
              </w:rPr>
            </w:pPr>
            <w:r>
              <w:rPr>
                <w:color w:val="000000"/>
              </w:rPr>
              <w:t> </w:t>
            </w:r>
            <w:r>
              <w:rPr>
                <w:rFonts w:ascii="Times New Roman" w:hAnsi="Times New Roman"/>
                <w:i/>
                <w:color w:val="000000"/>
                <w:sz w:val="20"/>
              </w:rPr>
              <w:t>Chief Financial Officer &amp; Treasurer</w:t>
            </w:r>
          </w:p>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1442</Words>
  <Characters>7823</Characters>
  <CharactersWithSpaces>9284</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