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right="-143"/>
        <w:spacing w:after="0"/>
        <w:rPr>
          <w:sz w:val="20"/>
          <w:szCs w:val="20"/>
          <w:color w:val="auto"/>
        </w:rPr>
      </w:pPr>
      <w:r>
        <w:rPr>
          <w:rFonts w:ascii="Arial" w:cs="Arial" w:eastAsia="Arial" w:hAnsi="Arial"/>
          <w:sz w:val="32"/>
          <w:szCs w:val="32"/>
          <w:b w:val="1"/>
          <w:bCs w:val="1"/>
          <w:color w:val="auto"/>
        </w:rPr>
        <w:drawing>
          <wp:anchor simplePos="0" relativeHeight="251657728" behindDoc="1" locked="0" layoutInCell="0" allowOverlap="1">
            <wp:simplePos x="0" y="0"/>
            <wp:positionH relativeFrom="page">
              <wp:posOffset>276860</wp:posOffset>
            </wp:positionH>
            <wp:positionV relativeFrom="page">
              <wp:posOffset>166370</wp:posOffset>
            </wp:positionV>
            <wp:extent cx="6995160" cy="825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6995160" cy="8255"/>
                    </a:xfrm>
                    <a:prstGeom prst="rect">
                      <a:avLst/>
                    </a:prstGeom>
                    <a:noFill/>
                  </pic:spPr>
                </pic:pic>
              </a:graphicData>
            </a:graphic>
          </wp:anchor>
        </w:drawing>
        <w:drawing>
          <wp:anchor simplePos="0" relativeHeight="251657728" behindDoc="1" locked="0" layoutInCell="0" allowOverlap="1">
            <wp:simplePos x="0" y="0"/>
            <wp:positionH relativeFrom="page">
              <wp:posOffset>276860</wp:posOffset>
            </wp:positionH>
            <wp:positionV relativeFrom="page">
              <wp:posOffset>208915</wp:posOffset>
            </wp:positionV>
            <wp:extent cx="6995160" cy="825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6995160" cy="8255"/>
                    </a:xfrm>
                    <a:prstGeom prst="rect">
                      <a:avLst/>
                    </a:prstGeom>
                    <a:noFill/>
                  </pic:spPr>
                </pic:pic>
              </a:graphicData>
            </a:graphic>
          </wp:anchor>
        </w:drawing>
        <w:t>UNITED STATES</w:t>
      </w:r>
    </w:p>
    <w:p>
      <w:pPr>
        <w:spacing w:after="0" w:line="31" w:lineRule="exact"/>
        <w:rPr>
          <w:sz w:val="24"/>
          <w:szCs w:val="24"/>
          <w:color w:val="auto"/>
        </w:rPr>
      </w:pPr>
    </w:p>
    <w:p>
      <w:pPr>
        <w:jc w:val="center"/>
        <w:ind w:right="-143"/>
        <w:spacing w:after="0"/>
        <w:rPr>
          <w:sz w:val="20"/>
          <w:szCs w:val="20"/>
          <w:color w:val="auto"/>
        </w:rPr>
      </w:pPr>
      <w:r>
        <w:rPr>
          <w:rFonts w:ascii="Arial" w:cs="Arial" w:eastAsia="Arial" w:hAnsi="Arial"/>
          <w:sz w:val="32"/>
          <w:szCs w:val="32"/>
          <w:b w:val="1"/>
          <w:bCs w:val="1"/>
          <w:color w:val="auto"/>
        </w:rPr>
        <w:t>SECURITIES AND EXCHANGE COMMISSION</w:t>
      </w:r>
    </w:p>
    <w:p>
      <w:pPr>
        <w:jc w:val="center"/>
        <w:ind w:right="-143"/>
        <w:spacing w:after="0"/>
        <w:rPr>
          <w:sz w:val="20"/>
          <w:szCs w:val="20"/>
          <w:color w:val="auto"/>
        </w:rPr>
      </w:pPr>
      <w:r>
        <w:rPr>
          <w:rFonts w:ascii="Arial" w:cs="Arial" w:eastAsia="Arial" w:hAnsi="Arial"/>
          <w:sz w:val="22"/>
          <w:szCs w:val="22"/>
          <w:b w:val="1"/>
          <w:bCs w:val="1"/>
          <w:color w:val="auto"/>
        </w:rPr>
        <w:t>Washington, D.C. 20549</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2760345</wp:posOffset>
            </wp:positionH>
            <wp:positionV relativeFrom="paragraph">
              <wp:posOffset>227330</wp:posOffset>
            </wp:positionV>
            <wp:extent cx="1474470" cy="825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1474470" cy="8255"/>
                    </a:xfrm>
                    <a:prstGeom prst="rect">
                      <a:avLst/>
                    </a:prstGeom>
                    <a:noFill/>
                  </pic:spPr>
                </pic:pic>
              </a:graphicData>
            </a:graphic>
          </wp:anchor>
        </w:drawing>
      </w:r>
    </w:p>
    <w:p>
      <w:pPr>
        <w:spacing w:after="0" w:line="200" w:lineRule="exact"/>
        <w:rPr>
          <w:sz w:val="24"/>
          <w:szCs w:val="24"/>
          <w:color w:val="auto"/>
        </w:rPr>
      </w:pPr>
    </w:p>
    <w:p>
      <w:pPr>
        <w:spacing w:after="0" w:line="340" w:lineRule="exact"/>
        <w:rPr>
          <w:sz w:val="24"/>
          <w:szCs w:val="24"/>
          <w:color w:val="auto"/>
        </w:rPr>
      </w:pPr>
    </w:p>
    <w:p>
      <w:pPr>
        <w:jc w:val="center"/>
        <w:ind w:right="-143"/>
        <w:spacing w:after="0"/>
        <w:rPr>
          <w:sz w:val="20"/>
          <w:szCs w:val="20"/>
          <w:color w:val="auto"/>
        </w:rPr>
      </w:pPr>
      <w:r>
        <w:rPr>
          <w:rFonts w:ascii="Arial" w:cs="Arial" w:eastAsia="Arial" w:hAnsi="Arial"/>
          <w:sz w:val="22"/>
          <w:szCs w:val="22"/>
          <w:b w:val="1"/>
          <w:bCs w:val="1"/>
          <w:color w:val="auto"/>
        </w:rPr>
        <w:t>NOTICE OF INTENTION TO REDEEM SECURITIES PURSUANT TO RULE 23C-2</w:t>
      </w:r>
    </w:p>
    <w:p>
      <w:pPr>
        <w:spacing w:after="0" w:line="14" w:lineRule="exact"/>
        <w:rPr>
          <w:sz w:val="24"/>
          <w:szCs w:val="24"/>
          <w:color w:val="auto"/>
        </w:rPr>
      </w:pPr>
    </w:p>
    <w:p>
      <w:pPr>
        <w:jc w:val="center"/>
        <w:ind w:right="-143"/>
        <w:spacing w:after="0"/>
        <w:rPr>
          <w:sz w:val="20"/>
          <w:szCs w:val="20"/>
          <w:color w:val="auto"/>
        </w:rPr>
      </w:pPr>
      <w:r>
        <w:rPr>
          <w:rFonts w:ascii="Arial" w:cs="Arial" w:eastAsia="Arial" w:hAnsi="Arial"/>
          <w:sz w:val="22"/>
          <w:szCs w:val="22"/>
          <w:b w:val="1"/>
          <w:bCs w:val="1"/>
          <w:color w:val="auto"/>
        </w:rPr>
        <w:t>UNDER THE INVESTMENT COMPANY ACT OF 1940</w:t>
      </w:r>
    </w:p>
    <w:p>
      <w:pPr>
        <w:spacing w:after="0" w:line="182" w:lineRule="exact"/>
        <w:rPr>
          <w:sz w:val="24"/>
          <w:szCs w:val="24"/>
          <w:color w:val="auto"/>
        </w:rPr>
      </w:pPr>
    </w:p>
    <w:p>
      <w:pPr>
        <w:jc w:val="center"/>
        <w:ind w:right="-143"/>
        <w:spacing w:after="0"/>
        <w:rPr>
          <w:sz w:val="20"/>
          <w:szCs w:val="20"/>
          <w:color w:val="auto"/>
        </w:rPr>
      </w:pPr>
      <w:r>
        <w:rPr>
          <w:rFonts w:ascii="Arial" w:cs="Arial" w:eastAsia="Arial" w:hAnsi="Arial"/>
          <w:sz w:val="22"/>
          <w:szCs w:val="22"/>
          <w:b w:val="1"/>
          <w:bCs w:val="1"/>
          <w:color w:val="auto"/>
        </w:rPr>
        <w:t>File No. 817-01317</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2760345</wp:posOffset>
            </wp:positionH>
            <wp:positionV relativeFrom="paragraph">
              <wp:posOffset>233680</wp:posOffset>
            </wp:positionV>
            <wp:extent cx="1474470" cy="825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1474470" cy="8255"/>
                    </a:xfrm>
                    <a:prstGeom prst="rect">
                      <a:avLst/>
                    </a:prstGeom>
                    <a:noFill/>
                  </pic:spPr>
                </pic:pic>
              </a:graphicData>
            </a:graphic>
          </wp:anchor>
        </w:drawing>
      </w:r>
    </w:p>
    <w:p>
      <w:pPr>
        <w:spacing w:after="0" w:line="200" w:lineRule="exact"/>
        <w:rPr>
          <w:sz w:val="24"/>
          <w:szCs w:val="24"/>
          <w:color w:val="auto"/>
        </w:rPr>
      </w:pPr>
    </w:p>
    <w:p>
      <w:pPr>
        <w:spacing w:after="0" w:line="335" w:lineRule="exact"/>
        <w:rPr>
          <w:sz w:val="24"/>
          <w:szCs w:val="24"/>
          <w:color w:val="auto"/>
        </w:rPr>
      </w:pPr>
    </w:p>
    <w:p>
      <w:pPr>
        <w:jc w:val="center"/>
        <w:ind w:right="-143"/>
        <w:spacing w:after="0"/>
        <w:rPr>
          <w:sz w:val="20"/>
          <w:szCs w:val="20"/>
          <w:color w:val="auto"/>
        </w:rPr>
      </w:pPr>
      <w:r>
        <w:rPr>
          <w:rFonts w:ascii="Arial" w:cs="Arial" w:eastAsia="Arial" w:hAnsi="Arial"/>
          <w:sz w:val="43"/>
          <w:szCs w:val="43"/>
          <w:b w:val="1"/>
          <w:bCs w:val="1"/>
          <w:color w:val="auto"/>
        </w:rPr>
        <w:t>PENNANTPARK INVESTMENT CORPORATION</w:t>
      </w:r>
    </w:p>
    <w:p>
      <w:pPr>
        <w:spacing w:after="0" w:line="50" w:lineRule="exact"/>
        <w:rPr>
          <w:sz w:val="24"/>
          <w:szCs w:val="24"/>
          <w:color w:val="auto"/>
        </w:rPr>
      </w:pPr>
    </w:p>
    <w:p>
      <w:pPr>
        <w:jc w:val="center"/>
        <w:ind w:right="-143"/>
        <w:spacing w:after="0"/>
        <w:rPr>
          <w:sz w:val="20"/>
          <w:szCs w:val="20"/>
          <w:color w:val="auto"/>
        </w:rPr>
      </w:pPr>
      <w:r>
        <w:rPr>
          <w:rFonts w:ascii="Arial" w:cs="Arial" w:eastAsia="Arial" w:hAnsi="Arial"/>
          <w:sz w:val="18"/>
          <w:szCs w:val="18"/>
          <w:b w:val="1"/>
          <w:bCs w:val="1"/>
          <w:color w:val="auto"/>
        </w:rPr>
        <w:t>(Name of Registrant)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2760345</wp:posOffset>
            </wp:positionH>
            <wp:positionV relativeFrom="paragraph">
              <wp:posOffset>227330</wp:posOffset>
            </wp:positionV>
            <wp:extent cx="1474470" cy="825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1474470" cy="8255"/>
                    </a:xfrm>
                    <a:prstGeom prst="rect">
                      <a:avLst/>
                    </a:prstGeom>
                    <a:noFill/>
                  </pic:spPr>
                </pic:pic>
              </a:graphicData>
            </a:graphic>
          </wp:anchor>
        </w:drawing>
      </w:r>
    </w:p>
    <w:p>
      <w:pPr>
        <w:spacing w:after="0" w:line="200" w:lineRule="exact"/>
        <w:rPr>
          <w:sz w:val="24"/>
          <w:szCs w:val="24"/>
          <w:color w:val="auto"/>
        </w:rPr>
      </w:pPr>
    </w:p>
    <w:p>
      <w:pPr>
        <w:spacing w:after="0" w:line="350" w:lineRule="exact"/>
        <w:rPr>
          <w:sz w:val="24"/>
          <w:szCs w:val="24"/>
          <w:color w:val="auto"/>
        </w:rPr>
      </w:pPr>
    </w:p>
    <w:p>
      <w:pPr>
        <w:ind w:left="5104" w:right="4560" w:hanging="389"/>
        <w:spacing w:after="0" w:line="293" w:lineRule="auto"/>
        <w:tabs>
          <w:tab w:leader="none" w:pos="5028" w:val="left"/>
        </w:tabs>
        <w:numPr>
          <w:ilvl w:val="0"/>
          <w:numId w:val="1"/>
        </w:numPr>
        <w:rPr>
          <w:rFonts w:ascii="Arial" w:cs="Arial" w:eastAsia="Arial" w:hAnsi="Arial"/>
          <w:sz w:val="16"/>
          <w:szCs w:val="16"/>
          <w:b w:val="1"/>
          <w:bCs w:val="1"/>
          <w:color w:val="auto"/>
        </w:rPr>
      </w:pPr>
      <w:r>
        <w:rPr>
          <w:rFonts w:ascii="Arial" w:cs="Arial" w:eastAsia="Arial" w:hAnsi="Arial"/>
          <w:sz w:val="16"/>
          <w:szCs w:val="16"/>
          <w:b w:val="1"/>
          <w:bCs w:val="1"/>
          <w:color w:val="auto"/>
        </w:rPr>
        <w:t>Madison Avenue 15th Floor</w:t>
      </w:r>
    </w:p>
    <w:p>
      <w:pPr>
        <w:spacing w:after="0" w:line="1" w:lineRule="exact"/>
        <w:rPr>
          <w:sz w:val="24"/>
          <w:szCs w:val="24"/>
          <w:color w:val="auto"/>
        </w:rPr>
      </w:pPr>
    </w:p>
    <w:p>
      <w:pPr>
        <w:jc w:val="center"/>
        <w:ind w:right="-143"/>
        <w:spacing w:after="0"/>
        <w:rPr>
          <w:sz w:val="20"/>
          <w:szCs w:val="20"/>
          <w:color w:val="auto"/>
        </w:rPr>
      </w:pPr>
      <w:r>
        <w:rPr>
          <w:rFonts w:ascii="Arial" w:cs="Arial" w:eastAsia="Arial" w:hAnsi="Arial"/>
          <w:sz w:val="18"/>
          <w:szCs w:val="18"/>
          <w:b w:val="1"/>
          <w:bCs w:val="1"/>
          <w:color w:val="auto"/>
        </w:rPr>
        <w:t>New York, NY 10022</w:t>
      </w:r>
    </w:p>
    <w:p>
      <w:pPr>
        <w:spacing w:after="0" w:line="2" w:lineRule="exact"/>
        <w:rPr>
          <w:sz w:val="24"/>
          <w:szCs w:val="24"/>
          <w:color w:val="auto"/>
        </w:rPr>
      </w:pPr>
    </w:p>
    <w:p>
      <w:pPr>
        <w:jc w:val="center"/>
        <w:ind w:right="-143"/>
        <w:spacing w:after="0"/>
        <w:rPr>
          <w:sz w:val="20"/>
          <w:szCs w:val="20"/>
          <w:color w:val="auto"/>
        </w:rPr>
      </w:pPr>
      <w:r>
        <w:rPr>
          <w:rFonts w:ascii="Arial" w:cs="Arial" w:eastAsia="Arial" w:hAnsi="Arial"/>
          <w:sz w:val="14"/>
          <w:szCs w:val="14"/>
          <w:b w:val="1"/>
          <w:bCs w:val="1"/>
          <w:color w:val="auto"/>
        </w:rPr>
        <w:t>(Address of Principal Executive Offices)</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2760345</wp:posOffset>
            </wp:positionH>
            <wp:positionV relativeFrom="paragraph">
              <wp:posOffset>227965</wp:posOffset>
            </wp:positionV>
            <wp:extent cx="1474470" cy="825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1474470" cy="8255"/>
                    </a:xfrm>
                    <a:prstGeom prst="rect">
                      <a:avLst/>
                    </a:prstGeom>
                    <a:noFill/>
                  </pic:spPr>
                </pic:pic>
              </a:graphicData>
            </a:graphic>
          </wp:anchor>
        </w:drawing>
      </w:r>
    </w:p>
    <w:p>
      <w:pPr>
        <w:spacing w:after="0" w:line="200" w:lineRule="exact"/>
        <w:rPr>
          <w:sz w:val="24"/>
          <w:szCs w:val="24"/>
          <w:color w:val="auto"/>
        </w:rPr>
      </w:pPr>
    </w:p>
    <w:p>
      <w:pPr>
        <w:spacing w:after="0" w:line="354" w:lineRule="exact"/>
        <w:rPr>
          <w:sz w:val="24"/>
          <w:szCs w:val="24"/>
          <w:color w:val="auto"/>
        </w:rPr>
      </w:pPr>
    </w:p>
    <w:p>
      <w:pPr>
        <w:ind w:left="4" w:right="60" w:firstLine="440"/>
        <w:spacing w:after="0" w:line="342" w:lineRule="auto"/>
        <w:rPr>
          <w:sz w:val="20"/>
          <w:szCs w:val="20"/>
          <w:color w:val="auto"/>
        </w:rPr>
      </w:pPr>
      <w:r>
        <w:rPr>
          <w:rFonts w:ascii="Arial" w:cs="Arial" w:eastAsia="Arial" w:hAnsi="Arial"/>
          <w:sz w:val="16"/>
          <w:szCs w:val="16"/>
          <w:color w:val="auto"/>
        </w:rPr>
        <w:t>The undersigned hereby notifies the Securities and Exchange Commission (the “Commission”) that it intends to redeem securities of which it is the issuer, as set forth below in accordance with the requirements of Rule 23c-2 under the Investment Company Act of 1940, as amended.</w:t>
      </w:r>
    </w:p>
    <w:p>
      <w:pPr>
        <w:spacing w:after="0" w:line="29" w:lineRule="exact"/>
        <w:rPr>
          <w:sz w:val="24"/>
          <w:szCs w:val="24"/>
          <w:color w:val="auto"/>
        </w:rPr>
      </w:pPr>
    </w:p>
    <w:p>
      <w:pPr>
        <w:ind w:left="444" w:right="2940" w:hanging="444"/>
        <w:spacing w:after="0" w:line="383" w:lineRule="auto"/>
        <w:tabs>
          <w:tab w:leader="none" w:pos="436" w:val="left"/>
        </w:tabs>
        <w:numPr>
          <w:ilvl w:val="0"/>
          <w:numId w:val="2"/>
        </w:numPr>
        <w:rPr>
          <w:rFonts w:ascii="Arial" w:cs="Arial" w:eastAsia="Arial" w:hAnsi="Arial"/>
          <w:sz w:val="18"/>
          <w:szCs w:val="18"/>
          <w:color w:val="auto"/>
        </w:rPr>
      </w:pPr>
      <w:r>
        <w:rPr>
          <w:rFonts w:ascii="Arial" w:cs="Arial" w:eastAsia="Arial" w:hAnsi="Arial"/>
          <w:sz w:val="18"/>
          <w:szCs w:val="18"/>
          <w:color w:val="auto"/>
        </w:rPr>
        <w:t>Title of the class of securities of PennantPark Investment Corporation (the “Company”) to be redeemed: 5.50% Notes due 2024 (CUSIP: 708062 401; ISIN: US7080624015) (the “Notes”)</w:t>
      </w:r>
    </w:p>
    <w:p>
      <w:pPr>
        <w:ind w:left="444" w:right="6880" w:hanging="444"/>
        <w:spacing w:after="0" w:line="431" w:lineRule="auto"/>
        <w:tabs>
          <w:tab w:leader="none" w:pos="436" w:val="left"/>
        </w:tabs>
        <w:numPr>
          <w:ilvl w:val="0"/>
          <w:numId w:val="2"/>
        </w:numPr>
        <w:rPr>
          <w:rFonts w:ascii="Arial" w:cs="Arial" w:eastAsia="Arial" w:hAnsi="Arial"/>
          <w:sz w:val="16"/>
          <w:szCs w:val="16"/>
          <w:color w:val="auto"/>
        </w:rPr>
      </w:pPr>
      <w:r>
        <w:rPr>
          <w:rFonts w:ascii="Arial" w:cs="Arial" w:eastAsia="Arial" w:hAnsi="Arial"/>
          <w:sz w:val="16"/>
          <w:szCs w:val="16"/>
          <w:color w:val="auto"/>
        </w:rPr>
        <w:t>Date on which the securities are to be redeemed: The Notes will be redeemed November 13, 2021.</w:t>
      </w:r>
    </w:p>
    <w:p>
      <w:pPr>
        <w:ind w:left="424" w:hanging="424"/>
        <w:spacing w:after="0"/>
        <w:tabs>
          <w:tab w:leader="none" w:pos="424" w:val="left"/>
        </w:tabs>
        <w:numPr>
          <w:ilvl w:val="0"/>
          <w:numId w:val="2"/>
        </w:numPr>
        <w:rPr>
          <w:rFonts w:ascii="Arial" w:cs="Arial" w:eastAsia="Arial" w:hAnsi="Arial"/>
          <w:sz w:val="18"/>
          <w:szCs w:val="18"/>
          <w:color w:val="auto"/>
        </w:rPr>
      </w:pPr>
      <w:r>
        <w:rPr>
          <w:rFonts w:ascii="Arial" w:cs="Arial" w:eastAsia="Arial" w:hAnsi="Arial"/>
          <w:sz w:val="18"/>
          <w:szCs w:val="18"/>
          <w:color w:val="auto"/>
        </w:rPr>
        <w:t>Applicable provisions of the governing instrument pursuant to which the securities are to be redeemed:</w:t>
      </w:r>
    </w:p>
    <w:p>
      <w:pPr>
        <w:spacing w:after="0" w:line="225" w:lineRule="exact"/>
        <w:rPr>
          <w:sz w:val="24"/>
          <w:szCs w:val="24"/>
          <w:color w:val="auto"/>
        </w:rPr>
      </w:pPr>
    </w:p>
    <w:p>
      <w:pPr>
        <w:ind w:left="4" w:right="60" w:firstLine="440"/>
        <w:spacing w:after="0" w:line="259" w:lineRule="auto"/>
        <w:rPr>
          <w:sz w:val="20"/>
          <w:szCs w:val="20"/>
          <w:color w:val="auto"/>
        </w:rPr>
      </w:pPr>
      <w:r>
        <w:rPr>
          <w:rFonts w:ascii="Arial" w:cs="Arial" w:eastAsia="Arial" w:hAnsi="Arial"/>
          <w:sz w:val="18"/>
          <w:szCs w:val="18"/>
          <w:color w:val="auto"/>
        </w:rPr>
        <w:t>The Notes are to be redeemed pursuant to (i) Article Eleven of the Company’s base indenture governing the Notes, dated as of January 22, 2013 (the “Base Indenture”), between the Company and American Stock Transfer &amp; Trust Company, LLC, as trustee, and (ii) Section 1.01(h) of the Third Supplemental Indenture, dated as of September 27, 2019, between the Company and American Stock Transfer &amp; Trust Company, LLC, as trustee (the “Third Supplemental Indenture”).</w:t>
      </w:r>
    </w:p>
    <w:p>
      <w:pPr>
        <w:spacing w:after="0" w:line="92" w:lineRule="exact"/>
        <w:rPr>
          <w:sz w:val="24"/>
          <w:szCs w:val="24"/>
          <w:color w:val="auto"/>
        </w:rPr>
      </w:pPr>
    </w:p>
    <w:p>
      <w:pPr>
        <w:ind w:left="424" w:hanging="424"/>
        <w:spacing w:after="0"/>
        <w:tabs>
          <w:tab w:leader="none" w:pos="424" w:val="left"/>
        </w:tabs>
        <w:numPr>
          <w:ilvl w:val="0"/>
          <w:numId w:val="3"/>
        </w:numPr>
        <w:rPr>
          <w:rFonts w:ascii="Arial" w:cs="Arial" w:eastAsia="Arial" w:hAnsi="Arial"/>
          <w:sz w:val="18"/>
          <w:szCs w:val="18"/>
          <w:color w:val="auto"/>
        </w:rPr>
      </w:pPr>
      <w:r>
        <w:rPr>
          <w:rFonts w:ascii="Arial" w:cs="Arial" w:eastAsia="Arial" w:hAnsi="Arial"/>
          <w:sz w:val="18"/>
          <w:szCs w:val="18"/>
          <w:color w:val="auto"/>
        </w:rPr>
        <w:t>The principal amount or number of shares and the basis upon which the securities to be redeemed are to be selected:</w:t>
      </w:r>
    </w:p>
    <w:p>
      <w:pPr>
        <w:spacing w:after="0" w:line="225" w:lineRule="exact"/>
        <w:rPr>
          <w:sz w:val="24"/>
          <w:szCs w:val="24"/>
          <w:color w:val="auto"/>
        </w:rPr>
      </w:pPr>
    </w:p>
    <w:p>
      <w:pPr>
        <w:ind w:left="4" w:firstLine="440"/>
        <w:spacing w:after="0" w:line="277" w:lineRule="auto"/>
        <w:rPr>
          <w:sz w:val="20"/>
          <w:szCs w:val="20"/>
          <w:color w:val="auto"/>
        </w:rPr>
      </w:pPr>
      <w:r>
        <w:rPr>
          <w:rFonts w:ascii="Arial" w:cs="Arial" w:eastAsia="Arial" w:hAnsi="Arial"/>
          <w:sz w:val="18"/>
          <w:szCs w:val="18"/>
          <w:color w:val="auto"/>
        </w:rPr>
        <w:t>The Company will redeem 100% of the outstanding Notes ($86,250,000 aggregate principal amount) pursuant to the terms of the Base Indenture and the Third Supplemental Indenture.</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0</wp:posOffset>
            </wp:positionH>
            <wp:positionV relativeFrom="paragraph">
              <wp:posOffset>125730</wp:posOffset>
            </wp:positionV>
            <wp:extent cx="6995160" cy="8890"/>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6995160" cy="8890"/>
                    </a:xfrm>
                    <a:prstGeom prst="rect">
                      <a:avLst/>
                    </a:prstGeom>
                    <a:noFill/>
                  </pic:spPr>
                </pic:pic>
              </a:graphicData>
            </a:graphic>
          </wp:anchor>
        </w:drawing>
        <w:drawing>
          <wp:anchor simplePos="0" relativeHeight="251657728" behindDoc="1" locked="0" layoutInCell="0" allowOverlap="1">
            <wp:simplePos x="0" y="0"/>
            <wp:positionH relativeFrom="column">
              <wp:posOffset>0</wp:posOffset>
            </wp:positionH>
            <wp:positionV relativeFrom="paragraph">
              <wp:posOffset>168910</wp:posOffset>
            </wp:positionV>
            <wp:extent cx="6995160" cy="8890"/>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6995160" cy="8890"/>
                    </a:xfrm>
                    <a:prstGeom prst="rect">
                      <a:avLst/>
                    </a:prstGeom>
                    <a:noFill/>
                  </pic:spPr>
                </pic:pic>
              </a:graphicData>
            </a:graphic>
          </wp:anchor>
        </w:drawing>
      </w:r>
    </w:p>
    <w:p>
      <w:pPr>
        <w:sectPr>
          <w:pgSz w:w="11900" w:h="16838" w:orient="portrait"/>
          <w:cols w:equalWidth="0" w:num="1">
            <w:col w:w="10864"/>
          </w:cols>
          <w:pgMar w:left="436" w:top="368" w:right="599" w:bottom="1440" w:gutter="0" w:footer="0" w:header="0"/>
        </w:sectPr>
      </w:pPr>
    </w:p>
    <w:bookmarkStart w:id="1" w:name="page2"/>
    <w:bookmarkEnd w:id="1"/>
    <w:p>
      <w:pPr>
        <w:jc w:val="center"/>
        <w:ind w:right="-59"/>
        <w:spacing w:after="0"/>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174865" cy="38735"/>
                    </a:xfrm>
                    <a:prstGeom prst="rect">
                      <a:avLst/>
                    </a:prstGeom>
                    <a:noFill/>
                  </pic:spPr>
                </pic:pic>
              </a:graphicData>
            </a:graphic>
          </wp:anchor>
        </w:drawing>
        <w:t>SIGNATURE</w:t>
      </w:r>
    </w:p>
    <w:p>
      <w:pPr>
        <w:spacing w:after="0" w:line="225" w:lineRule="exact"/>
        <w:rPr>
          <w:sz w:val="20"/>
          <w:szCs w:val="20"/>
          <w:color w:val="auto"/>
        </w:rPr>
      </w:pPr>
    </w:p>
    <w:p>
      <w:pPr>
        <w:ind w:firstLine="440"/>
        <w:spacing w:after="0" w:line="277" w:lineRule="auto"/>
        <w:rPr>
          <w:sz w:val="20"/>
          <w:szCs w:val="20"/>
          <w:color w:val="auto"/>
        </w:rPr>
      </w:pPr>
      <w:r>
        <w:rPr>
          <w:rFonts w:ascii="Arial" w:cs="Arial" w:eastAsia="Arial" w:hAnsi="Arial"/>
          <w:sz w:val="18"/>
          <w:szCs w:val="18"/>
          <w:color w:val="auto"/>
        </w:rPr>
        <w:t>Pursuant to the requirements of Rule 23c-2 under the Investment Company Act of 1940, as amended, the Company has duly caused this Notice of Intention to Redeem Securities to be signed on its behalf by the undersigned on this 15th day of October, 2021.</w:t>
      </w:r>
    </w:p>
    <w:p>
      <w:pPr>
        <w:spacing w:after="0" w:line="193" w:lineRule="exact"/>
        <w:rPr>
          <w:sz w:val="20"/>
          <w:szCs w:val="20"/>
          <w:color w:val="auto"/>
        </w:rPr>
      </w:pPr>
    </w:p>
    <w:p>
      <w:pPr>
        <w:ind w:left="6620"/>
        <w:spacing w:after="0"/>
        <w:rPr>
          <w:sz w:val="20"/>
          <w:szCs w:val="20"/>
          <w:color w:val="auto"/>
        </w:rPr>
      </w:pPr>
      <w:r>
        <w:rPr>
          <w:rFonts w:ascii="Arial" w:cs="Arial" w:eastAsia="Arial" w:hAnsi="Arial"/>
          <w:sz w:val="18"/>
          <w:szCs w:val="18"/>
          <w:b w:val="1"/>
          <w:bCs w:val="1"/>
          <w:color w:val="auto"/>
        </w:rPr>
        <w:t>PENNANTPARK INVESTMENT CORPORATION</w:t>
      </w:r>
    </w:p>
    <w:p>
      <w:pPr>
        <w:spacing w:after="0" w:line="229" w:lineRule="exact"/>
        <w:rPr>
          <w:sz w:val="20"/>
          <w:szCs w:val="20"/>
          <w:color w:val="auto"/>
        </w:rPr>
      </w:pPr>
    </w:p>
    <w:p>
      <w:pPr>
        <w:ind w:left="6620"/>
        <w:spacing w:after="0"/>
        <w:rPr>
          <w:sz w:val="20"/>
          <w:szCs w:val="20"/>
          <w:color w:val="auto"/>
        </w:rPr>
      </w:pPr>
      <w:r>
        <w:rPr>
          <w:rFonts w:ascii="Arial" w:cs="Arial" w:eastAsia="Arial" w:hAnsi="Arial"/>
          <w:sz w:val="18"/>
          <w:szCs w:val="18"/>
          <w:color w:val="auto"/>
        </w:rPr>
        <w:t>By: /s/ Richard Cheung</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4429125</wp:posOffset>
            </wp:positionH>
            <wp:positionV relativeFrom="paragraph">
              <wp:posOffset>14605</wp:posOffset>
            </wp:positionV>
            <wp:extent cx="2562860" cy="8890"/>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2562860" cy="8890"/>
                    </a:xfrm>
                    <a:prstGeom prst="rect">
                      <a:avLst/>
                    </a:prstGeom>
                    <a:noFill/>
                  </pic:spPr>
                </pic:pic>
              </a:graphicData>
            </a:graphic>
          </wp:anchor>
        </w:drawing>
      </w:r>
    </w:p>
    <w:p>
      <w:pPr>
        <w:spacing w:after="0" w:line="16" w:lineRule="exact"/>
        <w:rPr>
          <w:sz w:val="20"/>
          <w:szCs w:val="20"/>
          <w:color w:val="auto"/>
        </w:rPr>
      </w:pPr>
    </w:p>
    <w:p>
      <w:pPr>
        <w:ind w:left="6980"/>
        <w:spacing w:after="0"/>
        <w:rPr>
          <w:sz w:val="20"/>
          <w:szCs w:val="20"/>
          <w:color w:val="auto"/>
        </w:rPr>
      </w:pPr>
      <w:r>
        <w:rPr>
          <w:rFonts w:ascii="Arial" w:cs="Arial" w:eastAsia="Arial" w:hAnsi="Arial"/>
          <w:sz w:val="18"/>
          <w:szCs w:val="18"/>
          <w:color w:val="auto"/>
        </w:rPr>
        <w:t>Name: Richard Cheung</w:t>
      </w:r>
    </w:p>
    <w:p>
      <w:pPr>
        <w:spacing w:after="0" w:line="23" w:lineRule="exact"/>
        <w:rPr>
          <w:sz w:val="20"/>
          <w:szCs w:val="20"/>
          <w:color w:val="auto"/>
        </w:rPr>
      </w:pPr>
    </w:p>
    <w:p>
      <w:pPr>
        <w:ind w:left="6980"/>
        <w:spacing w:after="0"/>
        <w:rPr>
          <w:sz w:val="20"/>
          <w:szCs w:val="20"/>
          <w:color w:val="auto"/>
        </w:rPr>
      </w:pPr>
      <w:r>
        <w:rPr>
          <w:rFonts w:ascii="Arial" w:cs="Arial" w:eastAsia="Arial" w:hAnsi="Arial"/>
          <w:sz w:val="18"/>
          <w:szCs w:val="18"/>
          <w:color w:val="auto"/>
        </w:rPr>
        <w:t>Title: Chief Financial Officer</w:t>
      </w:r>
    </w:p>
    <w:sectPr>
      <w:pgSz w:w="11900" w:h="16838" w:orient="portrait"/>
      <w:cols w:equalWidth="0" w:num="1">
        <w:col w:w="10940"/>
      </w:cols>
      <w:pgMar w:left="440" w:top="274" w:right="51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66334873"/>
    <w:multiLevelType w:val="hybridMultilevel"/>
    <w:lvl w:ilvl="0">
      <w:lvlJc w:val="left"/>
      <w:lvlText w:val="%1"/>
      <w:numFmt w:val="decimal"/>
      <w:start w:val="590"/>
    </w:lvl>
  </w:abstractNum>
  <w:abstractNum w:abstractNumId="1">
    <w:nsid w:val="74B0DC51"/>
    <w:multiLevelType w:val="hybridMultilevel"/>
    <w:lvl w:ilvl="0">
      <w:lvlJc w:val="left"/>
      <w:lvlText w:val="(%1)"/>
      <w:numFmt w:val="decimal"/>
      <w:start w:val="1"/>
    </w:lvl>
  </w:abstractNum>
  <w:abstractNum w:abstractNumId="2">
    <w:nsid w:val="19495CFF"/>
    <w:multiLevelType w:val="hybridMultilevel"/>
    <w:lvl w:ilvl="0">
      <w:lvlJc w:val="left"/>
      <w:lvlText w:val="(%1)"/>
      <w:numFmt w:val="decimal"/>
      <w:start w:val="4"/>
    </w:lvl>
  </w:abstractNum>
  <w:num w:numId="1">
    <w:abstractNumId w:val="0"/>
  </w:num>
  <w:num w:numId="2">
    <w:abstractNumId w:val="1"/>
  </w:num>
  <w:num w:numId="3">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2021-10-15T15:47:09Z</dcterms:created>
  <dcterms:modified xsi:type="dcterms:W3CDTF">2021-10-15T15:47:09Z</dcterms:modified>
</cp:coreProperties>
</file>